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Times New Roman"/>
        </w:rPr>
      </w:pPr>
      <w:bookmarkStart w:id="0" w:name="_Toc370224329"/>
      <w:bookmarkStart w:id="1" w:name="_Toc6905"/>
      <w:bookmarkStart w:id="2" w:name="_Toc370222216"/>
      <w:bookmarkStart w:id="3" w:name="_Toc364775791"/>
      <w:bookmarkStart w:id="4" w:name="_Toc25070"/>
      <w:bookmarkStart w:id="5" w:name="_Toc364775806"/>
      <w:bookmarkStart w:id="6" w:name="_Toc362963060"/>
      <w:bookmarkStart w:id="7" w:name="_Toc20845"/>
      <w:bookmarkStart w:id="8" w:name="_Toc362529650"/>
      <w:bookmarkStart w:id="9" w:name="_Toc9105"/>
      <w:bookmarkStart w:id="10" w:name="_Toc362963066"/>
      <w:bookmarkStart w:id="11" w:name="_Toc361838470"/>
      <w:bookmarkStart w:id="12" w:name="_Toc361838455"/>
      <w:bookmarkStart w:id="13" w:name="_Toc362529656"/>
      <w:bookmarkStart w:id="14" w:name="_Toc364775792"/>
    </w:p>
    <w:p>
      <w:pPr>
        <w:rPr>
          <w:rFonts w:ascii="宋体" w:cs="Times New Roman"/>
        </w:rPr>
      </w:pPr>
    </w:p>
    <w:p>
      <w:pPr>
        <w:rPr>
          <w:rFonts w:ascii="宋体" w:cs="Times New Roman"/>
        </w:rPr>
      </w:pPr>
    </w:p>
    <w:p>
      <w:pPr>
        <w:rPr>
          <w:rFonts w:ascii="宋体" w:cs="Times New Roman"/>
        </w:rPr>
      </w:pPr>
    </w:p>
    <w:p>
      <w:pPr>
        <w:rPr>
          <w:rFonts w:ascii="宋体" w:cs="Times New Roman"/>
        </w:rPr>
      </w:pPr>
    </w:p>
    <w:p>
      <w:pPr>
        <w:spacing w:line="360" w:lineRule="auto"/>
        <w:jc w:val="center"/>
        <w:rPr>
          <w:rFonts w:ascii="宋体" w:cs="Times New Roman"/>
          <w:b/>
          <w:bCs/>
          <w:sz w:val="36"/>
          <w:szCs w:val="36"/>
        </w:rPr>
      </w:pPr>
      <w:r>
        <w:rPr>
          <w:rFonts w:hint="eastAsia" w:ascii="宋体" w:hAnsi="宋体" w:cs="宋体"/>
          <w:b/>
          <w:bCs/>
          <w:sz w:val="36"/>
          <w:szCs w:val="36"/>
        </w:rPr>
        <w:t>广东省湛江市遂溪县遂城镇洪家村矿区</w:t>
      </w:r>
    </w:p>
    <w:p>
      <w:pPr>
        <w:spacing w:line="360" w:lineRule="auto"/>
        <w:jc w:val="center"/>
        <w:rPr>
          <w:rFonts w:ascii="宋体" w:cs="Times New Roman"/>
          <w:b/>
          <w:bCs/>
          <w:sz w:val="36"/>
          <w:szCs w:val="36"/>
        </w:rPr>
      </w:pPr>
      <w:r>
        <w:rPr>
          <w:rFonts w:hint="eastAsia" w:ascii="宋体" w:hAnsi="宋体" w:cs="宋体"/>
          <w:b/>
          <w:bCs/>
          <w:sz w:val="36"/>
          <w:szCs w:val="36"/>
        </w:rPr>
        <w:t>建筑用玄武岩矿采矿权出让收益</w:t>
      </w:r>
    </w:p>
    <w:p>
      <w:pPr>
        <w:spacing w:line="360" w:lineRule="auto"/>
        <w:jc w:val="center"/>
        <w:rPr>
          <w:rFonts w:ascii="宋体" w:cs="Times New Roman"/>
          <w:b/>
          <w:bCs/>
          <w:sz w:val="36"/>
          <w:szCs w:val="36"/>
        </w:rPr>
      </w:pPr>
      <w:r>
        <w:rPr>
          <w:rFonts w:hint="eastAsia" w:ascii="宋体" w:hAnsi="宋体" w:cs="宋体"/>
          <w:b/>
          <w:bCs/>
          <w:sz w:val="36"/>
          <w:szCs w:val="36"/>
        </w:rPr>
        <w:t>评估报告</w:t>
      </w:r>
    </w:p>
    <w:p>
      <w:pPr>
        <w:spacing w:line="360" w:lineRule="auto"/>
        <w:jc w:val="center"/>
        <w:rPr>
          <w:rFonts w:ascii="宋体" w:cs="Times New Roman"/>
          <w:sz w:val="24"/>
          <w:szCs w:val="24"/>
        </w:rPr>
      </w:pPr>
      <w:r>
        <w:rPr>
          <w:rFonts w:hint="eastAsia" w:ascii="宋体" w:hAnsi="宋体" w:cs="宋体"/>
          <w:sz w:val="24"/>
          <w:szCs w:val="24"/>
        </w:rPr>
        <w:t>国融兴华矿评字</w:t>
      </w:r>
      <w:r>
        <w:rPr>
          <w:rFonts w:ascii="宋体" w:hAnsi="宋体" w:cs="宋体"/>
          <w:sz w:val="24"/>
          <w:szCs w:val="24"/>
        </w:rPr>
        <w:t>[2018]</w:t>
      </w:r>
      <w:r>
        <w:rPr>
          <w:rFonts w:hint="eastAsia" w:ascii="宋体" w:hAnsi="宋体" w:cs="宋体"/>
          <w:sz w:val="24"/>
          <w:szCs w:val="24"/>
        </w:rPr>
        <w:t>第</w:t>
      </w:r>
      <w:r>
        <w:rPr>
          <w:rFonts w:ascii="宋体" w:hAnsi="宋体" w:cs="宋体"/>
          <w:sz w:val="24"/>
          <w:szCs w:val="24"/>
        </w:rPr>
        <w:t>400029</w:t>
      </w:r>
      <w:r>
        <w:rPr>
          <w:rFonts w:hint="eastAsia" w:ascii="宋体" w:hAnsi="宋体" w:cs="宋体"/>
          <w:sz w:val="24"/>
          <w:szCs w:val="24"/>
        </w:rPr>
        <w:t>号</w:t>
      </w:r>
    </w:p>
    <w:p>
      <w:pPr>
        <w:spacing w:line="360" w:lineRule="auto"/>
        <w:jc w:val="center"/>
        <w:rPr>
          <w:rFonts w:ascii="宋体" w:cs="宋体"/>
          <w:sz w:val="28"/>
          <w:szCs w:val="28"/>
        </w:rPr>
      </w:pPr>
      <w:r>
        <w:rPr>
          <w:rFonts w:hint="eastAsia" w:ascii="宋体" w:hAnsi="宋体" w:cs="宋体"/>
          <w:sz w:val="28"/>
          <w:szCs w:val="28"/>
        </w:rPr>
        <w:t>（共一册）</w:t>
      </w: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color w:val="FF0000"/>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jc w:val="center"/>
        <w:rPr>
          <w:rFonts w:ascii="宋体" w:cs="Times New Roman"/>
          <w:b/>
          <w:bCs/>
          <w:sz w:val="28"/>
          <w:szCs w:val="28"/>
        </w:rPr>
      </w:pPr>
      <w:r>
        <w:rPr>
          <w:rFonts w:hint="eastAsia" w:ascii="宋体" w:hAnsi="宋体" w:cs="宋体"/>
          <w:b/>
          <w:bCs/>
          <w:sz w:val="28"/>
          <w:szCs w:val="28"/>
        </w:rPr>
        <w:t>评估机构名称：北京国融兴华资产评估有限责任公司</w:t>
      </w:r>
    </w:p>
    <w:p>
      <w:pPr>
        <w:jc w:val="center"/>
        <w:rPr>
          <w:rFonts w:ascii="宋体" w:cs="Times New Roman"/>
          <w:b/>
          <w:bCs/>
          <w:sz w:val="28"/>
          <w:szCs w:val="28"/>
        </w:rPr>
      </w:pPr>
      <w:r>
        <w:rPr>
          <w:rFonts w:hint="eastAsia" w:ascii="宋体" w:hAnsi="宋体" w:cs="宋体"/>
          <w:b/>
          <w:bCs/>
          <w:sz w:val="28"/>
          <w:szCs w:val="28"/>
        </w:rPr>
        <w:t>评估报告日：</w:t>
      </w:r>
      <w:r>
        <w:rPr>
          <w:rFonts w:ascii="宋体" w:hAnsi="宋体" w:cs="宋体"/>
          <w:b/>
          <w:bCs/>
          <w:sz w:val="28"/>
          <w:szCs w:val="28"/>
        </w:rPr>
        <w:t>2018</w:t>
      </w:r>
      <w:r>
        <w:rPr>
          <w:rFonts w:hint="eastAsia" w:ascii="宋体" w:hAnsi="宋体" w:cs="宋体"/>
          <w:b/>
          <w:bCs/>
          <w:sz w:val="28"/>
          <w:szCs w:val="28"/>
        </w:rPr>
        <w:t>年</w:t>
      </w:r>
      <w:r>
        <w:rPr>
          <w:rFonts w:ascii="宋体" w:hAnsi="宋体" w:cs="宋体"/>
          <w:b/>
          <w:bCs/>
          <w:sz w:val="28"/>
          <w:szCs w:val="28"/>
        </w:rPr>
        <w:t>8</w:t>
      </w:r>
      <w:r>
        <w:rPr>
          <w:rFonts w:hint="eastAsia" w:ascii="宋体" w:hAnsi="宋体" w:cs="宋体"/>
          <w:b/>
          <w:bCs/>
          <w:sz w:val="28"/>
          <w:szCs w:val="28"/>
        </w:rPr>
        <w:t>月</w:t>
      </w:r>
      <w:r>
        <w:rPr>
          <w:rFonts w:ascii="宋体" w:hAnsi="宋体" w:cs="宋体"/>
          <w:b/>
          <w:bCs/>
          <w:sz w:val="28"/>
          <w:szCs w:val="28"/>
        </w:rPr>
        <w:t>23</w:t>
      </w:r>
      <w:r>
        <w:rPr>
          <w:rFonts w:hint="eastAsia" w:ascii="宋体" w:hAnsi="宋体" w:cs="宋体"/>
          <w:b/>
          <w:bCs/>
          <w:sz w:val="28"/>
          <w:szCs w:val="28"/>
        </w:rPr>
        <w:t>日</w:t>
      </w:r>
    </w:p>
    <w:p>
      <w:pPr>
        <w:widowControl/>
        <w:jc w:val="left"/>
        <w:rPr>
          <w:rFonts w:ascii="宋体" w:cs="Times New Roman"/>
          <w:b/>
          <w:bCs/>
          <w:color w:val="FF0000"/>
          <w:kern w:val="44"/>
          <w:sz w:val="24"/>
          <w:szCs w:val="24"/>
          <w:highlight w:val="yellow"/>
        </w:rPr>
        <w:sectPr>
          <w:headerReference r:id="rId3" w:type="default"/>
          <w:footerReference r:id="rId4" w:type="default"/>
          <w:pgSz w:w="11906" w:h="16838"/>
          <w:pgMar w:top="1701" w:right="1247" w:bottom="1134" w:left="1531" w:header="992" w:footer="992" w:gutter="0"/>
          <w:pgNumType w:start="1"/>
          <w:cols w:space="720" w:num="1"/>
          <w:titlePg/>
          <w:docGrid w:type="lines" w:linePitch="312" w:charSpace="0"/>
        </w:sectPr>
      </w:pPr>
    </w:p>
    <w:p>
      <w:pPr>
        <w:pStyle w:val="2"/>
        <w:tabs>
          <w:tab w:val="left" w:pos="450"/>
          <w:tab w:val="center" w:pos="4496"/>
        </w:tabs>
        <w:spacing w:beforeLines="0" w:after="0" w:afterAutospacing="0" w:line="360" w:lineRule="auto"/>
        <w:ind w:left="420" w:leftChars="200" w:firstLine="482" w:firstLineChars="200"/>
        <w:rPr>
          <w:rFonts w:cs="Times New Roman"/>
        </w:rPr>
      </w:pPr>
      <w:bookmarkStart w:id="15" w:name="_Toc522712188"/>
      <w:r>
        <w:rPr>
          <w:rFonts w:hint="eastAsia" w:ascii="宋体" w:hAnsi="宋体" w:eastAsia="宋体" w:cs="宋体"/>
        </w:rPr>
        <w:t>目</w:t>
      </w:r>
      <w:r>
        <w:rPr>
          <w:rFonts w:ascii="宋体" w:hAnsi="宋体" w:eastAsia="宋体" w:cs="宋体"/>
        </w:rPr>
        <w:t xml:space="preserve">  </w:t>
      </w:r>
      <w:r>
        <w:rPr>
          <w:rFonts w:hint="eastAsia" w:ascii="宋体" w:hAnsi="宋体" w:eastAsia="宋体" w:cs="宋体"/>
        </w:rPr>
        <w:t>录</w:t>
      </w:r>
      <w:bookmarkEnd w:id="0"/>
      <w:bookmarkEnd w:id="1"/>
      <w:bookmarkEnd w:id="2"/>
      <w:bookmarkEnd w:id="15"/>
      <w:r>
        <w:rPr>
          <w:rFonts w:ascii="宋体" w:hAnsi="宋体" w:eastAsia="宋体" w:cs="宋体"/>
        </w:rPr>
        <w:fldChar w:fldCharType="begin"/>
      </w:r>
      <w:r>
        <w:rPr>
          <w:rFonts w:ascii="宋体" w:hAnsi="宋体" w:eastAsia="宋体" w:cs="宋体"/>
        </w:rPr>
        <w:instrText xml:space="preserve"> TOC \o "1-2" \h \z \u </w:instrText>
      </w:r>
      <w:r>
        <w:rPr>
          <w:rFonts w:ascii="宋体" w:hAnsi="宋体" w:eastAsia="宋体" w:cs="宋体"/>
        </w:rPr>
        <w:fldChar w:fldCharType="separate"/>
      </w:r>
    </w:p>
    <w:p>
      <w:pPr>
        <w:pStyle w:val="24"/>
        <w:spacing w:after="156"/>
        <w:ind w:left="31680" w:firstLine="31680"/>
        <w:rPr>
          <w:rFonts w:ascii="Calibri" w:hAnsi="Calibri" w:cs="Calibri"/>
          <w:b w:val="0"/>
          <w:bCs w:val="0"/>
          <w:sz w:val="21"/>
          <w:szCs w:val="21"/>
        </w:rPr>
      </w:pPr>
      <w:r>
        <w:fldChar w:fldCharType="begin"/>
      </w:r>
      <w:r>
        <w:instrText xml:space="preserve"> HYPERLINK \l "_Toc522712188" </w:instrText>
      </w:r>
      <w:r>
        <w:fldChar w:fldCharType="separate"/>
      </w:r>
      <w:r>
        <w:rPr>
          <w:rStyle w:val="39"/>
          <w:rFonts w:hint="eastAsia" w:ascii="宋体" w:hAnsi="宋体" w:cs="宋体"/>
        </w:rPr>
        <w:t>目</w:t>
      </w:r>
      <w:r>
        <w:rPr>
          <w:rStyle w:val="39"/>
          <w:rFonts w:ascii="宋体" w:hAnsi="宋体" w:cs="宋体"/>
        </w:rPr>
        <w:t xml:space="preserve">  </w:t>
      </w:r>
      <w:r>
        <w:rPr>
          <w:rStyle w:val="39"/>
          <w:rFonts w:hint="eastAsia" w:ascii="宋体" w:hAnsi="宋体" w:cs="宋体"/>
        </w:rPr>
        <w:t>录</w:t>
      </w:r>
      <w:r>
        <w:rPr>
          <w:rFonts w:cs="Times New Roman"/>
        </w:rPr>
        <w:tab/>
      </w:r>
      <w:r>
        <w:fldChar w:fldCharType="begin"/>
      </w:r>
      <w:r>
        <w:instrText xml:space="preserve"> PAGEREF _Toc522712188 \h </w:instrText>
      </w:r>
      <w:r>
        <w:fldChar w:fldCharType="separate"/>
      </w:r>
      <w:r>
        <w:t>1</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"_Toc522712189" </w:instrText>
      </w:r>
      <w:r>
        <w:fldChar w:fldCharType="separate"/>
      </w:r>
      <w:r>
        <w:rPr>
          <w:rStyle w:val="39"/>
          <w:rFonts w:hint="eastAsia" w:ascii="宋体" w:hAnsi="宋体" w:cs="宋体"/>
          <w:kern w:val="44"/>
        </w:rPr>
        <w:t>评估报告声明</w:t>
      </w:r>
      <w:r>
        <w:rPr>
          <w:rFonts w:cs="Times New Roman"/>
        </w:rPr>
        <w:tab/>
      </w:r>
      <w:r>
        <w:fldChar w:fldCharType="begin"/>
      </w:r>
      <w:r>
        <w:instrText xml:space="preserve"> PAGEREF _Toc522712189 \h </w:instrText>
      </w:r>
      <w:r>
        <w:fldChar w:fldCharType="separate"/>
      </w:r>
      <w:r>
        <w:t>3</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"_Toc522712190" </w:instrText>
      </w:r>
      <w:r>
        <w:fldChar w:fldCharType="separate"/>
      </w:r>
      <w:r>
        <w:rPr>
          <w:rStyle w:val="39"/>
          <w:rFonts w:hint="eastAsia" w:ascii="宋体" w:hAnsi="宋体" w:cs="宋体"/>
        </w:rPr>
        <w:t>评估报告摘要</w:t>
      </w:r>
      <w:r>
        <w:rPr>
          <w:rFonts w:cs="Times New Roman"/>
        </w:rPr>
        <w:tab/>
      </w:r>
      <w:r>
        <w:fldChar w:fldCharType="begin"/>
      </w:r>
      <w:r>
        <w:instrText xml:space="preserve"> PAGEREF _Toc522712190 \h </w:instrText>
      </w:r>
      <w:r>
        <w:fldChar w:fldCharType="separate"/>
      </w:r>
      <w:r>
        <w:t>5</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"_Toc522712191" </w:instrText>
      </w:r>
      <w:r>
        <w:fldChar w:fldCharType="separate"/>
      </w:r>
      <w:r>
        <w:rPr>
          <w:rStyle w:val="39"/>
          <w:rFonts w:hint="eastAsia" w:ascii="宋体" w:hAnsi="宋体" w:cs="宋体"/>
        </w:rPr>
        <w:t>评估报告</w:t>
      </w:r>
      <w:r>
        <w:rPr>
          <w:rFonts w:cs="Times New Roman"/>
        </w:rPr>
        <w:tab/>
      </w:r>
      <w:r>
        <w:fldChar w:fldCharType="begin"/>
      </w:r>
      <w:r>
        <w:instrText xml:space="preserve"> PAGEREF _Toc522712191 \h </w:instrText>
      </w:r>
      <w:r>
        <w:fldChar w:fldCharType="separate"/>
      </w:r>
      <w:r>
        <w:t>8</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"_Toc522712192" </w:instrText>
      </w:r>
      <w:r>
        <w:fldChar w:fldCharType="separate"/>
      </w:r>
      <w:r>
        <w:rPr>
          <w:rStyle w:val="39"/>
          <w:rFonts w:hint="eastAsia" w:ascii="宋体" w:hAnsi="宋体" w:cs="宋体"/>
        </w:rPr>
        <w:t>一、评估机构</w:t>
      </w:r>
      <w:r>
        <w:rPr>
          <w:rFonts w:cs="Times New Roman"/>
        </w:rPr>
        <w:tab/>
      </w:r>
      <w:r>
        <w:fldChar w:fldCharType="begin"/>
      </w:r>
      <w:r>
        <w:instrText xml:space="preserve"> PAGEREF _Toc522712192 \h </w:instrText>
      </w:r>
      <w:r>
        <w:fldChar w:fldCharType="separate"/>
      </w:r>
      <w:r>
        <w:t>8</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"_Toc522712193" </w:instrText>
      </w:r>
      <w:r>
        <w:fldChar w:fldCharType="separate"/>
      </w:r>
      <w:r>
        <w:rPr>
          <w:rStyle w:val="39"/>
          <w:rFonts w:hint="eastAsia" w:ascii="宋体" w:hAnsi="宋体" w:cs="宋体"/>
        </w:rPr>
        <w:t>二、评估委托人</w:t>
      </w:r>
      <w:r>
        <w:rPr>
          <w:rFonts w:cs="Times New Roman"/>
        </w:rPr>
        <w:tab/>
      </w:r>
      <w:r>
        <w:fldChar w:fldCharType="begin"/>
      </w:r>
      <w:r>
        <w:instrText xml:space="preserve"> PAGEREF _Toc522712193 \h </w:instrText>
      </w:r>
      <w:r>
        <w:fldChar w:fldCharType="separate"/>
      </w:r>
      <w:r>
        <w:t>8</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"_Toc522712194" </w:instrText>
      </w:r>
      <w:r>
        <w:fldChar w:fldCharType="separate"/>
      </w:r>
      <w:r>
        <w:rPr>
          <w:rStyle w:val="39"/>
          <w:rFonts w:hint="eastAsia" w:ascii="宋体" w:hAnsi="宋体" w:cs="宋体"/>
        </w:rPr>
        <w:t>三、采矿权人</w:t>
      </w:r>
      <w:r>
        <w:rPr>
          <w:rFonts w:cs="Times New Roman"/>
        </w:rPr>
        <w:tab/>
      </w:r>
      <w:r>
        <w:fldChar w:fldCharType="begin"/>
      </w:r>
      <w:r>
        <w:instrText xml:space="preserve"> PAGEREF _Toc522712194 \h </w:instrText>
      </w:r>
      <w:r>
        <w:fldChar w:fldCharType="separate"/>
      </w:r>
      <w:r>
        <w:t>9</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"_Toc522712195" </w:instrText>
      </w:r>
      <w:r>
        <w:fldChar w:fldCharType="separate"/>
      </w:r>
      <w:r>
        <w:rPr>
          <w:rStyle w:val="39"/>
          <w:rFonts w:hint="eastAsia" w:ascii="宋体" w:hAnsi="宋体" w:cs="宋体"/>
        </w:rPr>
        <w:t>四、评估目的</w:t>
      </w:r>
      <w:r>
        <w:rPr>
          <w:rFonts w:cs="Times New Roman"/>
        </w:rPr>
        <w:tab/>
      </w:r>
      <w:r>
        <w:fldChar w:fldCharType="begin"/>
      </w:r>
      <w:r>
        <w:instrText xml:space="preserve"> PAGEREF _Toc522712195 \h </w:instrText>
      </w:r>
      <w:r>
        <w:fldChar w:fldCharType="separate"/>
      </w:r>
      <w:r>
        <w:t>9</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"_Toc522712196" </w:instrText>
      </w:r>
      <w:r>
        <w:fldChar w:fldCharType="separate"/>
      </w:r>
      <w:r>
        <w:rPr>
          <w:rStyle w:val="39"/>
          <w:rFonts w:hint="eastAsia" w:ascii="宋体" w:hAnsi="宋体" w:cs="宋体"/>
        </w:rPr>
        <w:t>五、评估对象与评估范围</w:t>
      </w:r>
      <w:r>
        <w:rPr>
          <w:rFonts w:cs="Times New Roman"/>
        </w:rPr>
        <w:tab/>
      </w:r>
      <w:r>
        <w:fldChar w:fldCharType="begin"/>
      </w:r>
      <w:r>
        <w:instrText xml:space="preserve"> PAGEREF _Toc522712196 \h </w:instrText>
      </w:r>
      <w:r>
        <w:fldChar w:fldCharType="separate"/>
      </w:r>
      <w:r>
        <w:t>9</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"_Toc522712197" </w:instrText>
      </w:r>
      <w:r>
        <w:fldChar w:fldCharType="separate"/>
      </w:r>
      <w:r>
        <w:rPr>
          <w:rStyle w:val="39"/>
          <w:rFonts w:hint="eastAsia" w:ascii="宋体" w:hAnsi="宋体" w:cs="宋体"/>
        </w:rPr>
        <w:t>六、评估基准日</w:t>
      </w:r>
      <w:r>
        <w:rPr>
          <w:rFonts w:cs="Times New Roman"/>
        </w:rPr>
        <w:tab/>
      </w:r>
      <w:r>
        <w:fldChar w:fldCharType="begin"/>
      </w:r>
      <w:r>
        <w:instrText xml:space="preserve"> PAGEREF _Toc522712197 \h </w:instrText>
      </w:r>
      <w:r>
        <w:fldChar w:fldCharType="separate"/>
      </w:r>
      <w:r>
        <w:t>10</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"_Toc522712198" </w:instrText>
      </w:r>
      <w:r>
        <w:fldChar w:fldCharType="separate"/>
      </w:r>
      <w:r>
        <w:rPr>
          <w:rStyle w:val="39"/>
          <w:rFonts w:hint="eastAsia" w:ascii="宋体" w:hAnsi="宋体" w:cs="宋体"/>
        </w:rPr>
        <w:t>七、评估依据</w:t>
      </w:r>
      <w:r>
        <w:rPr>
          <w:rFonts w:cs="Times New Roman"/>
        </w:rPr>
        <w:tab/>
      </w:r>
      <w:r>
        <w:fldChar w:fldCharType="begin"/>
      </w:r>
      <w:r>
        <w:instrText xml:space="preserve"> PAGEREF _Toc522712198 \h </w:instrText>
      </w:r>
      <w:r>
        <w:fldChar w:fldCharType="separate"/>
      </w:r>
      <w:r>
        <w:t>10</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"_Toc522712199" </w:instrText>
      </w:r>
      <w:r>
        <w:fldChar w:fldCharType="separate"/>
      </w:r>
      <w:r>
        <w:rPr>
          <w:rStyle w:val="39"/>
          <w:rFonts w:hint="eastAsia" w:ascii="宋体" w:hAnsi="宋体" w:cs="宋体"/>
        </w:rPr>
        <w:t>八、矿产资源勘查和开发概况</w:t>
      </w:r>
      <w:r>
        <w:rPr>
          <w:rFonts w:cs="Times New Roman"/>
        </w:rPr>
        <w:tab/>
      </w:r>
      <w:r>
        <w:fldChar w:fldCharType="begin"/>
      </w:r>
      <w:r>
        <w:instrText xml:space="preserve"> PAGEREF _Toc522712199 \h </w:instrText>
      </w:r>
      <w:r>
        <w:fldChar w:fldCharType="separate"/>
      </w:r>
      <w:r>
        <w:t>13</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"_Toc522712200" </w:instrText>
      </w:r>
      <w:r>
        <w:fldChar w:fldCharType="separate"/>
      </w:r>
      <w:r>
        <w:rPr>
          <w:rStyle w:val="39"/>
          <w:rFonts w:hint="eastAsia" w:ascii="宋体" w:hAnsi="宋体" w:cs="宋体"/>
        </w:rPr>
        <w:t>九、评估实施过程</w:t>
      </w:r>
      <w:r>
        <w:rPr>
          <w:rFonts w:cs="Times New Roman"/>
        </w:rPr>
        <w:tab/>
      </w:r>
      <w:r>
        <w:fldChar w:fldCharType="begin"/>
      </w:r>
      <w:r>
        <w:instrText xml:space="preserve"> PAGEREF _Toc522712200 \h </w:instrText>
      </w:r>
      <w:r>
        <w:fldChar w:fldCharType="separate"/>
      </w:r>
      <w:r>
        <w:t>20</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"_Toc522712201" </w:instrText>
      </w:r>
      <w:r>
        <w:fldChar w:fldCharType="separate"/>
      </w:r>
      <w:r>
        <w:rPr>
          <w:rStyle w:val="39"/>
          <w:rFonts w:hint="eastAsia" w:ascii="宋体" w:hAnsi="宋体" w:cs="宋体"/>
        </w:rPr>
        <w:t>十、评估方法</w:t>
      </w:r>
      <w:r>
        <w:rPr>
          <w:rFonts w:cs="Times New Roman"/>
        </w:rPr>
        <w:tab/>
      </w:r>
      <w:r>
        <w:fldChar w:fldCharType="begin"/>
      </w:r>
      <w:r>
        <w:instrText xml:space="preserve"> PAGEREF _Toc522712201 \h </w:instrText>
      </w:r>
      <w:r>
        <w:fldChar w:fldCharType="separate"/>
      </w:r>
      <w:r>
        <w:t>21</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"_Toc522712202" </w:instrText>
      </w:r>
      <w:r>
        <w:fldChar w:fldCharType="separate"/>
      </w:r>
      <w:r>
        <w:rPr>
          <w:rStyle w:val="39"/>
          <w:rFonts w:hint="eastAsia" w:ascii="宋体" w:hAnsi="宋体" w:cs="宋体"/>
        </w:rPr>
        <w:t>十一、评估参数的确定</w:t>
      </w:r>
      <w:r>
        <w:rPr>
          <w:rFonts w:cs="Times New Roman"/>
        </w:rPr>
        <w:tab/>
      </w:r>
      <w:r>
        <w:fldChar w:fldCharType="begin"/>
      </w:r>
      <w:r>
        <w:instrText xml:space="preserve"> PAGEREF _Toc522712202 \h </w:instrText>
      </w:r>
      <w:r>
        <w:fldChar w:fldCharType="separate"/>
      </w:r>
      <w:r>
        <w:t>22</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"_Toc522712203" </w:instrText>
      </w:r>
      <w:r>
        <w:fldChar w:fldCharType="separate"/>
      </w:r>
      <w:r>
        <w:rPr>
          <w:rStyle w:val="39"/>
          <w:rFonts w:hint="eastAsia" w:ascii="宋体" w:hAnsi="宋体" w:cs="宋体"/>
        </w:rPr>
        <w:t>十二、评估假设</w:t>
      </w:r>
      <w:r>
        <w:rPr>
          <w:rFonts w:cs="Times New Roman"/>
        </w:rPr>
        <w:tab/>
      </w:r>
      <w:r>
        <w:fldChar w:fldCharType="begin"/>
      </w:r>
      <w:r>
        <w:instrText xml:space="preserve"> PAGEREF _Toc522712203 \h </w:instrText>
      </w:r>
      <w:r>
        <w:fldChar w:fldCharType="separate"/>
      </w:r>
      <w:r>
        <w:t>37</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"_Toc522712204" </w:instrText>
      </w:r>
      <w:r>
        <w:fldChar w:fldCharType="separate"/>
      </w:r>
      <w:r>
        <w:rPr>
          <w:rStyle w:val="39"/>
          <w:rFonts w:hint="eastAsia" w:ascii="宋体" w:hAnsi="宋体" w:cs="宋体"/>
        </w:rPr>
        <w:t>十三、评估结论</w:t>
      </w:r>
      <w:r>
        <w:rPr>
          <w:rFonts w:cs="Times New Roman"/>
        </w:rPr>
        <w:tab/>
      </w:r>
      <w:r>
        <w:fldChar w:fldCharType="begin"/>
      </w:r>
      <w:r>
        <w:instrText xml:space="preserve"> PAGEREF _Toc522712204 \h </w:instrText>
      </w:r>
      <w:r>
        <w:fldChar w:fldCharType="separate"/>
      </w:r>
      <w:r>
        <w:t>38</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"_Toc522712205" </w:instrText>
      </w:r>
      <w:r>
        <w:fldChar w:fldCharType="separate"/>
      </w:r>
      <w:r>
        <w:rPr>
          <w:rStyle w:val="39"/>
          <w:rFonts w:hint="eastAsia" w:ascii="宋体" w:hAnsi="宋体" w:cs="宋体"/>
        </w:rPr>
        <w:t>十四、特别事项说明</w:t>
      </w:r>
      <w:r>
        <w:rPr>
          <w:rFonts w:cs="Times New Roman"/>
        </w:rPr>
        <w:tab/>
      </w:r>
      <w:r>
        <w:fldChar w:fldCharType="begin"/>
      </w:r>
      <w:r>
        <w:instrText xml:space="preserve"> PAGEREF _Toc522712205 \h </w:instrText>
      </w:r>
      <w:r>
        <w:fldChar w:fldCharType="separate"/>
      </w:r>
      <w:r>
        <w:t>38</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"_Toc522712206" </w:instrText>
      </w:r>
      <w:r>
        <w:fldChar w:fldCharType="separate"/>
      </w:r>
      <w:r>
        <w:rPr>
          <w:rStyle w:val="39"/>
          <w:rFonts w:hint="eastAsia" w:ascii="宋体" w:hAnsi="宋体" w:cs="宋体"/>
        </w:rPr>
        <w:t>十五、矿业权评估报告使用限制</w:t>
      </w:r>
      <w:r>
        <w:rPr>
          <w:rFonts w:cs="Times New Roman"/>
        </w:rPr>
        <w:tab/>
      </w:r>
      <w:r>
        <w:fldChar w:fldCharType="begin"/>
      </w:r>
      <w:r>
        <w:instrText xml:space="preserve"> PAGEREF _Toc522712206 \h </w:instrText>
      </w:r>
      <w:r>
        <w:fldChar w:fldCharType="separate"/>
      </w:r>
      <w:r>
        <w:t>39</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"_Toc522712207" </w:instrText>
      </w:r>
      <w:r>
        <w:fldChar w:fldCharType="separate"/>
      </w:r>
      <w:r>
        <w:rPr>
          <w:rStyle w:val="39"/>
          <w:rFonts w:hint="eastAsia" w:ascii="宋体" w:hAnsi="宋体" w:cs="宋体"/>
        </w:rPr>
        <w:t>十六、矿业权评估报告日</w:t>
      </w:r>
      <w:r>
        <w:rPr>
          <w:rFonts w:cs="Times New Roman"/>
        </w:rPr>
        <w:tab/>
      </w:r>
      <w:r>
        <w:fldChar w:fldCharType="begin"/>
      </w:r>
      <w:r>
        <w:instrText xml:space="preserve"> PAGEREF _Toc522712207 \h </w:instrText>
      </w:r>
      <w:r>
        <w:fldChar w:fldCharType="separate"/>
      </w:r>
      <w:r>
        <w:t>40</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"_Toc522712208" </w:instrText>
      </w:r>
      <w:r>
        <w:fldChar w:fldCharType="separate"/>
      </w:r>
      <w:r>
        <w:rPr>
          <w:rStyle w:val="39"/>
          <w:rFonts w:hint="eastAsia" w:ascii="宋体" w:hAnsi="宋体" w:cs="宋体"/>
        </w:rPr>
        <w:t>十七、评估机构和评估专业人员签字盖章</w:t>
      </w:r>
      <w:r>
        <w:rPr>
          <w:rFonts w:cs="Times New Roman"/>
        </w:rPr>
        <w:tab/>
      </w:r>
      <w:r>
        <w:fldChar w:fldCharType="begin"/>
      </w:r>
      <w:r>
        <w:instrText xml:space="preserve"> PAGEREF _Toc522712208 \h </w:instrText>
      </w:r>
      <w:r>
        <w:fldChar w:fldCharType="separate"/>
      </w:r>
      <w:r>
        <w:t>41</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"_Toc522712209" </w:instrText>
      </w:r>
      <w:r>
        <w:fldChar w:fldCharType="separate"/>
      </w:r>
      <w:r>
        <w:rPr>
          <w:rStyle w:val="39"/>
          <w:rFonts w:hint="eastAsia" w:ascii="宋体" w:hAnsi="宋体" w:cs="宋体"/>
        </w:rPr>
        <w:t>十八、评估估算表</w:t>
      </w:r>
      <w:r>
        <w:rPr>
          <w:rFonts w:cs="Times New Roman"/>
        </w:rPr>
        <w:tab/>
      </w:r>
      <w:r>
        <w:fldChar w:fldCharType="begin"/>
      </w:r>
      <w:r>
        <w:instrText xml:space="preserve"> PAGEREF _Toc522712209 \h </w:instrText>
      </w:r>
      <w:r>
        <w:fldChar w:fldCharType="separate"/>
      </w:r>
      <w:r>
        <w:t>42</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"_Toc522712210" </w:instrText>
      </w:r>
      <w:r>
        <w:fldChar w:fldCharType="separate"/>
      </w:r>
      <w:r>
        <w:rPr>
          <w:rStyle w:val="39"/>
          <w:rFonts w:hint="eastAsia" w:ascii="宋体" w:hAnsi="宋体" w:cs="宋体"/>
        </w:rPr>
        <w:t>附件</w:t>
      </w:r>
      <w:r>
        <w:rPr>
          <w:rStyle w:val="39"/>
          <w:rFonts w:ascii="宋体" w:hAnsi="宋体" w:cs="宋体"/>
        </w:rPr>
        <w:t xml:space="preserve">1  </w:t>
      </w:r>
      <w:r>
        <w:rPr>
          <w:rStyle w:val="39"/>
          <w:rFonts w:hint="eastAsia" w:ascii="宋体" w:hAnsi="宋体" w:cs="宋体"/>
        </w:rPr>
        <w:t>关于评估报告和附件使用范围的声明</w:t>
      </w:r>
      <w:r>
        <w:rPr>
          <w:rFonts w:cs="Times New Roman"/>
        </w:rPr>
        <w:tab/>
      </w:r>
      <w:r>
        <w:fldChar w:fldCharType="begin"/>
      </w:r>
      <w:r>
        <w:instrText xml:space="preserve"> PAGEREF _Toc522712210 \h </w:instrText>
      </w:r>
      <w:r>
        <w:fldChar w:fldCharType="separate"/>
      </w:r>
      <w:r>
        <w:t>44</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"_Toc522712211" </w:instrText>
      </w:r>
      <w:r>
        <w:fldChar w:fldCharType="separate"/>
      </w:r>
      <w:r>
        <w:rPr>
          <w:rStyle w:val="39"/>
          <w:rFonts w:hint="eastAsia" w:ascii="宋体" w:hAnsi="宋体" w:cs="宋体"/>
        </w:rPr>
        <w:t>附件</w:t>
      </w:r>
      <w:r>
        <w:rPr>
          <w:rStyle w:val="39"/>
          <w:rFonts w:ascii="宋体" w:hAnsi="宋体" w:cs="宋体"/>
        </w:rPr>
        <w:t xml:space="preserve">2  </w:t>
      </w:r>
      <w:r>
        <w:rPr>
          <w:rStyle w:val="39"/>
          <w:rFonts w:hint="eastAsia" w:ascii="宋体" w:hAnsi="宋体" w:cs="宋体"/>
        </w:rPr>
        <w:t>矿业权评估机构及评估师承诺书</w:t>
      </w:r>
      <w:r>
        <w:rPr>
          <w:rFonts w:cs="Times New Roman"/>
        </w:rPr>
        <w:tab/>
      </w:r>
      <w:r>
        <w:fldChar w:fldCharType="begin"/>
      </w:r>
      <w:r>
        <w:instrText xml:space="preserve"> PAGEREF _Toc522712211 \h </w:instrText>
      </w:r>
      <w:r>
        <w:fldChar w:fldCharType="separate"/>
      </w:r>
      <w:r>
        <w:t>45</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"_Toc522712212" </w:instrText>
      </w:r>
      <w:r>
        <w:fldChar w:fldCharType="separate"/>
      </w:r>
      <w:r>
        <w:rPr>
          <w:rStyle w:val="39"/>
          <w:rFonts w:hint="eastAsia" w:ascii="宋体" w:hAnsi="宋体" w:cs="宋体"/>
        </w:rPr>
        <w:t>附件</w:t>
      </w:r>
      <w:r>
        <w:rPr>
          <w:rStyle w:val="39"/>
          <w:rFonts w:ascii="宋体" w:hAnsi="宋体" w:cs="宋体"/>
        </w:rPr>
        <w:t xml:space="preserve">3  </w:t>
      </w:r>
      <w:r>
        <w:rPr>
          <w:rStyle w:val="39"/>
          <w:rFonts w:hint="eastAsia" w:ascii="宋体" w:hAnsi="宋体" w:cs="宋体"/>
        </w:rPr>
        <w:t>北京国融兴华资产评估有限责任公司资质文件</w:t>
      </w:r>
      <w:r>
        <w:rPr>
          <w:rFonts w:cs="Times New Roman"/>
        </w:rPr>
        <w:tab/>
      </w:r>
      <w:r>
        <w:fldChar w:fldCharType="begin"/>
      </w:r>
      <w:r>
        <w:instrText xml:space="preserve"> PAGEREF _Toc522712212 \h </w:instrText>
      </w:r>
      <w:r>
        <w:fldChar w:fldCharType="separate"/>
      </w:r>
      <w:r>
        <w:t>46</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"_Toc522712213" </w:instrText>
      </w:r>
      <w:r>
        <w:fldChar w:fldCharType="separate"/>
      </w:r>
      <w:r>
        <w:rPr>
          <w:rStyle w:val="39"/>
          <w:rFonts w:hint="eastAsia" w:ascii="宋体" w:hAnsi="宋体" w:cs="宋体"/>
        </w:rPr>
        <w:t>附件</w:t>
      </w:r>
      <w:r>
        <w:rPr>
          <w:rStyle w:val="39"/>
          <w:rFonts w:ascii="宋体" w:hAnsi="宋体" w:cs="宋体"/>
        </w:rPr>
        <w:t xml:space="preserve">4  </w:t>
      </w:r>
      <w:r>
        <w:rPr>
          <w:rStyle w:val="39"/>
          <w:rFonts w:hint="eastAsia" w:ascii="宋体" w:hAnsi="宋体" w:cs="宋体"/>
        </w:rPr>
        <w:t>矿业权评估师资格证书</w:t>
      </w:r>
      <w:r>
        <w:rPr>
          <w:rFonts w:cs="Times New Roman"/>
        </w:rPr>
        <w:tab/>
      </w:r>
      <w:r>
        <w:fldChar w:fldCharType="begin"/>
      </w:r>
      <w:r>
        <w:instrText xml:space="preserve"> PAGEREF _Toc522712213 \h </w:instrText>
      </w:r>
      <w:r>
        <w:fldChar w:fldCharType="separate"/>
      </w:r>
      <w:r>
        <w:t>47</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"_Toc522712214" </w:instrText>
      </w:r>
      <w:r>
        <w:fldChar w:fldCharType="separate"/>
      </w:r>
      <w:r>
        <w:rPr>
          <w:rStyle w:val="39"/>
          <w:rFonts w:hint="eastAsia" w:ascii="宋体" w:hAnsi="宋体" w:cs="宋体"/>
        </w:rPr>
        <w:t>附件</w:t>
      </w:r>
      <w:r>
        <w:rPr>
          <w:rStyle w:val="39"/>
          <w:rFonts w:ascii="宋体" w:hAnsi="宋体" w:cs="宋体"/>
        </w:rPr>
        <w:t xml:space="preserve">5  </w:t>
      </w:r>
      <w:r>
        <w:rPr>
          <w:rStyle w:val="39"/>
          <w:rFonts w:hint="eastAsia" w:ascii="宋体" w:hAnsi="宋体" w:cs="宋体"/>
        </w:rPr>
        <w:t>《矿业权出让收益评估合同书》</w:t>
      </w:r>
      <w:r>
        <w:rPr>
          <w:rFonts w:cs="Times New Roman"/>
        </w:rPr>
        <w:tab/>
      </w:r>
      <w:r>
        <w:fldChar w:fldCharType="begin"/>
      </w:r>
      <w:r>
        <w:instrText xml:space="preserve"> PAGEREF _Toc522712214 \h </w:instrText>
      </w:r>
      <w:r>
        <w:fldChar w:fldCharType="separate"/>
      </w:r>
      <w:r>
        <w:t>48</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"_Toc522712215" </w:instrText>
      </w:r>
      <w:r>
        <w:fldChar w:fldCharType="separate"/>
      </w:r>
      <w:r>
        <w:rPr>
          <w:rStyle w:val="39"/>
          <w:rFonts w:hint="eastAsia" w:ascii="宋体" w:hAnsi="宋体" w:cs="宋体"/>
        </w:rPr>
        <w:t>附件</w:t>
      </w:r>
      <w:r>
        <w:rPr>
          <w:rStyle w:val="39"/>
          <w:rFonts w:ascii="宋体" w:hAnsi="宋体" w:cs="宋体"/>
        </w:rPr>
        <w:t xml:space="preserve">6  </w:t>
      </w:r>
      <w:r>
        <w:rPr>
          <w:rStyle w:val="39"/>
          <w:rFonts w:hint="eastAsia" w:ascii="宋体" w:hAnsi="宋体" w:cs="宋体"/>
        </w:rPr>
        <w:t>《评估委托书》</w:t>
      </w:r>
      <w:r>
        <w:rPr>
          <w:rFonts w:cs="Times New Roman"/>
        </w:rPr>
        <w:tab/>
      </w:r>
      <w:r>
        <w:fldChar w:fldCharType="begin"/>
      </w:r>
      <w:r>
        <w:instrText xml:space="preserve"> PAGEREF _Toc522712215 \h </w:instrText>
      </w:r>
      <w:r>
        <w:fldChar w:fldCharType="separate"/>
      </w:r>
      <w:r>
        <w:t>49</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"_Toc522712216" </w:instrText>
      </w:r>
      <w:r>
        <w:fldChar w:fldCharType="separate"/>
      </w:r>
      <w:r>
        <w:rPr>
          <w:rStyle w:val="39"/>
          <w:rFonts w:hint="eastAsia" w:ascii="宋体" w:hAnsi="宋体" w:cs="宋体"/>
        </w:rPr>
        <w:t>附件</w:t>
      </w:r>
      <w:r>
        <w:rPr>
          <w:rStyle w:val="39"/>
          <w:rFonts w:ascii="宋体" w:hAnsi="宋体" w:cs="宋体"/>
        </w:rPr>
        <w:t xml:space="preserve">7  </w:t>
      </w:r>
      <w:r>
        <w:rPr>
          <w:rStyle w:val="39"/>
          <w:rFonts w:hint="eastAsia" w:ascii="宋体" w:hAnsi="宋体" w:cs="宋体"/>
        </w:rPr>
        <w:t>《广东省遂溪县遂城镇洪家村矿区建筑用玄武岩矿详查报告》（广东省地球物理探矿大队，</w:t>
      </w:r>
      <w:r>
        <w:rPr>
          <w:rStyle w:val="39"/>
          <w:rFonts w:ascii="宋体" w:hAnsi="宋体" w:cs="宋体"/>
        </w:rPr>
        <w:t>2016</w:t>
      </w:r>
      <w:r>
        <w:rPr>
          <w:rStyle w:val="39"/>
          <w:rFonts w:hint="eastAsia" w:ascii="宋体" w:hAnsi="宋体" w:cs="宋体"/>
        </w:rPr>
        <w:t>年</w:t>
      </w:r>
      <w:r>
        <w:rPr>
          <w:rStyle w:val="39"/>
          <w:rFonts w:ascii="宋体" w:hAnsi="宋体" w:cs="宋体"/>
        </w:rPr>
        <w:t>8</w:t>
      </w:r>
      <w:r>
        <w:rPr>
          <w:rStyle w:val="39"/>
          <w:rFonts w:hint="eastAsia" w:ascii="宋体" w:hAnsi="宋体" w:cs="宋体"/>
        </w:rPr>
        <w:t>月）</w:t>
      </w:r>
      <w:r>
        <w:rPr>
          <w:rFonts w:cs="Times New Roman"/>
        </w:rPr>
        <w:tab/>
      </w:r>
      <w:r>
        <w:fldChar w:fldCharType="begin"/>
      </w:r>
      <w:r>
        <w:instrText xml:space="preserve"> PAGEREF _Toc522712216 \h </w:instrText>
      </w:r>
      <w:r>
        <w:fldChar w:fldCharType="separate"/>
      </w:r>
      <w:r>
        <w:t>50</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"_Toc522712217" </w:instrText>
      </w:r>
      <w:r>
        <w:fldChar w:fldCharType="separate"/>
      </w:r>
      <w:r>
        <w:rPr>
          <w:rStyle w:val="39"/>
          <w:rFonts w:hint="eastAsia" w:ascii="宋体" w:hAnsi="宋体" w:cs="宋体"/>
        </w:rPr>
        <w:t>附件</w:t>
      </w:r>
      <w:r>
        <w:rPr>
          <w:rStyle w:val="39"/>
          <w:rFonts w:ascii="宋体" w:hAnsi="宋体" w:cs="宋体"/>
        </w:rPr>
        <w:t xml:space="preserve">8  </w:t>
      </w:r>
      <w:r>
        <w:rPr>
          <w:rStyle w:val="39"/>
          <w:rFonts w:hint="eastAsia" w:ascii="宋体" w:hAnsi="宋体" w:cs="宋体"/>
        </w:rPr>
        <w:t>《</w:t>
      </w:r>
      <w:r>
        <w:rPr>
          <w:rStyle w:val="39"/>
          <w:rFonts w:ascii="宋体" w:hAnsi="宋体" w:cs="宋体"/>
        </w:rPr>
        <w:t>&lt;</w:t>
      </w:r>
      <w:r>
        <w:rPr>
          <w:rStyle w:val="39"/>
          <w:rFonts w:hint="eastAsia" w:ascii="宋体" w:hAnsi="宋体" w:cs="宋体"/>
        </w:rPr>
        <w:t>广东省遂溪县遂城镇洪家村矿区建筑用玄武岩矿详查报告</w:t>
      </w:r>
      <w:r>
        <w:rPr>
          <w:rStyle w:val="39"/>
          <w:rFonts w:ascii="宋体" w:hAnsi="宋体" w:cs="宋体"/>
        </w:rPr>
        <w:t>&gt;</w:t>
      </w:r>
      <w:r>
        <w:rPr>
          <w:rStyle w:val="39"/>
          <w:rFonts w:hint="eastAsia" w:ascii="宋体" w:hAnsi="宋体" w:cs="宋体"/>
        </w:rPr>
        <w:t>评审意见书》（粤资储评审字</w:t>
      </w:r>
      <w:r>
        <w:rPr>
          <w:rStyle w:val="39"/>
          <w:rFonts w:ascii="宋体" w:hAnsi="宋体" w:cs="宋体"/>
        </w:rPr>
        <w:t>[2016]111</w:t>
      </w:r>
      <w:r>
        <w:rPr>
          <w:rStyle w:val="39"/>
          <w:rFonts w:hint="eastAsia" w:ascii="宋体" w:hAnsi="宋体" w:cs="宋体"/>
        </w:rPr>
        <w:t>号）（广东省矿产资源储量评审中心，</w:t>
      </w:r>
      <w:r>
        <w:rPr>
          <w:rStyle w:val="39"/>
          <w:rFonts w:ascii="宋体" w:hAnsi="宋体" w:cs="宋体"/>
        </w:rPr>
        <w:t>2016</w:t>
      </w:r>
      <w:r>
        <w:rPr>
          <w:rStyle w:val="39"/>
          <w:rFonts w:hint="eastAsia" w:ascii="宋体" w:hAnsi="宋体" w:cs="宋体"/>
        </w:rPr>
        <w:t>年</w:t>
      </w:r>
      <w:r>
        <w:rPr>
          <w:rStyle w:val="39"/>
          <w:rFonts w:ascii="宋体" w:hAnsi="宋体" w:cs="宋体"/>
        </w:rPr>
        <w:t>9</w:t>
      </w:r>
      <w:r>
        <w:rPr>
          <w:rStyle w:val="39"/>
          <w:rFonts w:hint="eastAsia" w:ascii="宋体" w:hAnsi="宋体" w:cs="宋体"/>
        </w:rPr>
        <w:t>月</w:t>
      </w:r>
      <w:r>
        <w:rPr>
          <w:rStyle w:val="39"/>
          <w:rFonts w:ascii="宋体" w:hAnsi="宋体" w:cs="宋体"/>
        </w:rPr>
        <w:t>6</w:t>
      </w:r>
      <w:r>
        <w:rPr>
          <w:rStyle w:val="39"/>
          <w:rFonts w:hint="eastAsia" w:ascii="宋体" w:hAnsi="宋体" w:cs="宋体"/>
        </w:rPr>
        <w:t>日）</w:t>
      </w:r>
      <w:r>
        <w:rPr>
          <w:rFonts w:cs="Times New Roman"/>
        </w:rPr>
        <w:tab/>
      </w:r>
      <w:r>
        <w:fldChar w:fldCharType="begin"/>
      </w:r>
      <w:r>
        <w:instrText xml:space="preserve"> PAGEREF _Toc522712217 \h </w:instrText>
      </w:r>
      <w:r>
        <w:fldChar w:fldCharType="separate"/>
      </w:r>
      <w:r>
        <w:t>51</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"_Toc522712218" </w:instrText>
      </w:r>
      <w:r>
        <w:fldChar w:fldCharType="separate"/>
      </w:r>
      <w:r>
        <w:rPr>
          <w:rStyle w:val="39"/>
          <w:rFonts w:hint="eastAsia" w:ascii="宋体" w:hAnsi="宋体" w:cs="宋体"/>
        </w:rPr>
        <w:t>附件</w:t>
      </w:r>
      <w:r>
        <w:rPr>
          <w:rStyle w:val="39"/>
          <w:rFonts w:ascii="宋体" w:hAnsi="宋体" w:cs="宋体"/>
        </w:rPr>
        <w:t xml:space="preserve">9  </w:t>
      </w:r>
      <w:r>
        <w:rPr>
          <w:rStyle w:val="39"/>
          <w:rFonts w:hint="eastAsia" w:ascii="宋体" w:hAnsi="宋体" w:cs="宋体"/>
        </w:rPr>
        <w:t>《关于</w:t>
      </w:r>
      <w:r>
        <w:rPr>
          <w:rStyle w:val="39"/>
          <w:rFonts w:ascii="宋体" w:hAnsi="宋体" w:cs="宋体"/>
        </w:rPr>
        <w:t>&lt;</w:t>
      </w:r>
      <w:r>
        <w:rPr>
          <w:rStyle w:val="39"/>
          <w:rFonts w:hint="eastAsia" w:ascii="宋体" w:hAnsi="宋体" w:cs="宋体"/>
        </w:rPr>
        <w:t>广东省遂溪县遂城镇洪家村矿区建筑用玄武岩矿详查报告</w:t>
      </w:r>
      <w:r>
        <w:rPr>
          <w:rStyle w:val="39"/>
          <w:rFonts w:ascii="宋体" w:hAnsi="宋体" w:cs="宋体"/>
        </w:rPr>
        <w:t>&gt;</w:t>
      </w:r>
      <w:r>
        <w:rPr>
          <w:rStyle w:val="39"/>
          <w:rFonts w:hint="eastAsia" w:ascii="宋体" w:hAnsi="宋体" w:cs="宋体"/>
        </w:rPr>
        <w:t>审查备案证明》（湛国土资开备字</w:t>
      </w:r>
      <w:r>
        <w:rPr>
          <w:rStyle w:val="39"/>
          <w:rFonts w:ascii="宋体" w:hAnsi="宋体" w:cs="宋体"/>
        </w:rPr>
        <w:t>[2016]5</w:t>
      </w:r>
      <w:r>
        <w:rPr>
          <w:rStyle w:val="39"/>
          <w:rFonts w:hint="eastAsia" w:ascii="宋体" w:hAnsi="宋体" w:cs="宋体"/>
        </w:rPr>
        <w:t>号）（湛江市国土资源局，</w:t>
      </w:r>
      <w:r>
        <w:rPr>
          <w:rStyle w:val="39"/>
          <w:rFonts w:ascii="宋体" w:hAnsi="宋体" w:cs="宋体"/>
        </w:rPr>
        <w:t>2016</w:t>
      </w:r>
      <w:r>
        <w:rPr>
          <w:rStyle w:val="39"/>
          <w:rFonts w:hint="eastAsia" w:ascii="宋体" w:hAnsi="宋体" w:cs="宋体"/>
        </w:rPr>
        <w:t>年</w:t>
      </w:r>
      <w:r>
        <w:rPr>
          <w:rStyle w:val="39"/>
          <w:rFonts w:ascii="宋体" w:hAnsi="宋体" w:cs="宋体"/>
        </w:rPr>
        <w:t>11</w:t>
      </w:r>
      <w:r>
        <w:rPr>
          <w:rStyle w:val="39"/>
          <w:rFonts w:hint="eastAsia" w:ascii="宋体" w:hAnsi="宋体" w:cs="宋体"/>
        </w:rPr>
        <w:t>月</w:t>
      </w:r>
      <w:r>
        <w:rPr>
          <w:rStyle w:val="39"/>
          <w:rFonts w:ascii="宋体" w:hAnsi="宋体" w:cs="宋体"/>
        </w:rPr>
        <w:t>17</w:t>
      </w:r>
      <w:r>
        <w:rPr>
          <w:rStyle w:val="39"/>
          <w:rFonts w:hint="eastAsia" w:ascii="宋体" w:hAnsi="宋体" w:cs="宋体"/>
        </w:rPr>
        <w:t>日）</w:t>
      </w:r>
      <w:r>
        <w:rPr>
          <w:rFonts w:cs="Times New Roman"/>
        </w:rPr>
        <w:tab/>
      </w:r>
      <w:r>
        <w:fldChar w:fldCharType="begin"/>
      </w:r>
      <w:r>
        <w:instrText xml:space="preserve"> PAGEREF _Toc522712218 \h </w:instrText>
      </w:r>
      <w:r>
        <w:fldChar w:fldCharType="separate"/>
      </w:r>
      <w:r>
        <w:t>52</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"_Toc522712219" </w:instrText>
      </w:r>
      <w:r>
        <w:fldChar w:fldCharType="separate"/>
      </w:r>
      <w:r>
        <w:rPr>
          <w:rStyle w:val="39"/>
          <w:rFonts w:hint="eastAsia" w:ascii="宋体" w:hAnsi="宋体" w:cs="宋体"/>
        </w:rPr>
        <w:t>附件</w:t>
      </w:r>
      <w:r>
        <w:rPr>
          <w:rStyle w:val="39"/>
          <w:rFonts w:ascii="宋体" w:hAnsi="宋体" w:cs="宋体"/>
        </w:rPr>
        <w:t xml:space="preserve">10 </w:t>
      </w:r>
      <w:r>
        <w:rPr>
          <w:rStyle w:val="39"/>
          <w:rFonts w:hint="eastAsia" w:ascii="宋体" w:hAnsi="宋体" w:cs="宋体"/>
        </w:rPr>
        <w:t>《广东省遂溪县遂城镇洪家村矿区建筑用玄武岩矿矿产资源开发利用方案》（广东省地质物探工程勘察院，</w:t>
      </w:r>
      <w:r>
        <w:rPr>
          <w:rStyle w:val="39"/>
          <w:rFonts w:ascii="宋体" w:hAnsi="宋体" w:cs="宋体"/>
        </w:rPr>
        <w:t>2016</w:t>
      </w:r>
      <w:r>
        <w:rPr>
          <w:rStyle w:val="39"/>
          <w:rFonts w:hint="eastAsia" w:ascii="宋体" w:hAnsi="宋体" w:cs="宋体"/>
        </w:rPr>
        <w:t>年</w:t>
      </w:r>
      <w:r>
        <w:rPr>
          <w:rStyle w:val="39"/>
          <w:rFonts w:ascii="宋体" w:hAnsi="宋体" w:cs="宋体"/>
        </w:rPr>
        <w:t>9</w:t>
      </w:r>
      <w:r>
        <w:rPr>
          <w:rStyle w:val="39"/>
          <w:rFonts w:hint="eastAsia" w:ascii="宋体" w:hAnsi="宋体" w:cs="宋体"/>
        </w:rPr>
        <w:t>月）</w:t>
      </w:r>
      <w:r>
        <w:rPr>
          <w:rFonts w:cs="Times New Roman"/>
        </w:rPr>
        <w:tab/>
      </w:r>
      <w:r>
        <w:fldChar w:fldCharType="begin"/>
      </w:r>
      <w:r>
        <w:instrText xml:space="preserve"> PAGEREF _Toc522712219 \h </w:instrText>
      </w:r>
      <w:r>
        <w:fldChar w:fldCharType="separate"/>
      </w:r>
      <w:r>
        <w:t>53</w:t>
      </w:r>
      <w:r>
        <w:fldChar w:fldCharType="end"/>
      </w:r>
      <w:r>
        <w:fldChar w:fldCharType="end"/>
      </w:r>
    </w:p>
    <w:p>
      <w:pPr>
        <w:pStyle w:val="24"/>
        <w:ind w:left="31680" w:firstLine="31680"/>
        <w:rPr>
          <w:rFonts w:ascii="Calibri" w:hAnsi="Calibri" w:cs="Calibri"/>
          <w:b w:val="0"/>
          <w:bCs w:val="0"/>
          <w:sz w:val="21"/>
          <w:szCs w:val="21"/>
        </w:rPr>
      </w:pPr>
      <w:r>
        <w:fldChar w:fldCharType="begin"/>
      </w:r>
      <w:r>
        <w:instrText xml:space="preserve"> HYPERLINK \l "_Toc522712220" </w:instrText>
      </w:r>
      <w:r>
        <w:fldChar w:fldCharType="separate"/>
      </w:r>
      <w:r>
        <w:rPr>
          <w:rStyle w:val="39"/>
          <w:rFonts w:hint="eastAsia" w:ascii="宋体" w:hAnsi="宋体" w:cs="宋体"/>
        </w:rPr>
        <w:t>附件</w:t>
      </w:r>
      <w:r>
        <w:rPr>
          <w:rStyle w:val="39"/>
          <w:rFonts w:ascii="宋体" w:hAnsi="宋体" w:cs="宋体"/>
        </w:rPr>
        <w:t xml:space="preserve">11 </w:t>
      </w:r>
      <w:r>
        <w:rPr>
          <w:rStyle w:val="39"/>
          <w:rFonts w:hint="eastAsia" w:ascii="宋体" w:hAnsi="宋体" w:cs="宋体"/>
        </w:rPr>
        <w:t>《广东省遂溪县遂城镇洪家村矿区建筑用玄武岩矿矿产资源开发利用方案审查意见书》（粤矿协审字</w:t>
      </w:r>
      <w:r>
        <w:rPr>
          <w:rStyle w:val="39"/>
          <w:rFonts w:ascii="宋体" w:hAnsi="宋体" w:cs="宋体"/>
        </w:rPr>
        <w:t>[2016]38</w:t>
      </w:r>
      <w:r>
        <w:rPr>
          <w:rStyle w:val="39"/>
          <w:rFonts w:hint="eastAsia" w:ascii="宋体" w:hAnsi="宋体" w:cs="宋体"/>
        </w:rPr>
        <w:t>号）（广东省矿业协会，</w:t>
      </w:r>
      <w:r>
        <w:rPr>
          <w:rStyle w:val="39"/>
          <w:rFonts w:ascii="宋体" w:hAnsi="宋体" w:cs="宋体"/>
        </w:rPr>
        <w:t>2016</w:t>
      </w:r>
      <w:r>
        <w:rPr>
          <w:rStyle w:val="39"/>
          <w:rFonts w:hint="eastAsia" w:ascii="宋体" w:hAnsi="宋体" w:cs="宋体"/>
        </w:rPr>
        <w:t>年</w:t>
      </w:r>
      <w:r>
        <w:rPr>
          <w:rStyle w:val="39"/>
          <w:rFonts w:ascii="宋体" w:hAnsi="宋体" w:cs="宋体"/>
        </w:rPr>
        <w:t>11</w:t>
      </w:r>
      <w:r>
        <w:rPr>
          <w:rStyle w:val="39"/>
          <w:rFonts w:hint="eastAsia" w:ascii="宋体" w:hAnsi="宋体" w:cs="宋体"/>
        </w:rPr>
        <w:t>月</w:t>
      </w:r>
      <w:r>
        <w:rPr>
          <w:rStyle w:val="39"/>
          <w:rFonts w:ascii="宋体" w:hAnsi="宋体" w:cs="宋体"/>
        </w:rPr>
        <w:t>9</w:t>
      </w:r>
      <w:r>
        <w:rPr>
          <w:rStyle w:val="39"/>
          <w:rFonts w:hint="eastAsia" w:ascii="宋体" w:hAnsi="宋体" w:cs="宋体"/>
        </w:rPr>
        <w:t>日）</w:t>
      </w:r>
      <w:r>
        <w:rPr>
          <w:rFonts w:cs="Times New Roman"/>
        </w:rPr>
        <w:tab/>
      </w:r>
      <w:r>
        <w:fldChar w:fldCharType="begin"/>
      </w:r>
      <w:r>
        <w:instrText xml:space="preserve"> PAGEREF _Toc522712220 \h </w:instrText>
      </w:r>
      <w:r>
        <w:fldChar w:fldCharType="separate"/>
      </w:r>
      <w:r>
        <w:t>54</w:t>
      </w:r>
      <w:r>
        <w:fldChar w:fldCharType="end"/>
      </w:r>
      <w:r>
        <w:fldChar w:fldCharType="end"/>
      </w:r>
    </w:p>
    <w:p>
      <w:pPr>
        <w:pStyle w:val="24"/>
        <w:spacing w:after="156"/>
        <w:ind w:left="31680" w:firstLine="31680"/>
        <w:rPr>
          <w:rFonts w:ascii="Calibri" w:hAnsi="Calibri" w:cs="Calibri"/>
          <w:b w:val="0"/>
          <w:bCs w:val="0"/>
          <w:sz w:val="21"/>
          <w:szCs w:val="21"/>
        </w:rPr>
      </w:pPr>
      <w:r>
        <w:fldChar w:fldCharType="begin"/>
      </w:r>
      <w:r>
        <w:instrText xml:space="preserve"> HYPERLINK \l "_Toc522712221" </w:instrText>
      </w:r>
      <w:r>
        <w:fldChar w:fldCharType="separate"/>
      </w:r>
      <w:r>
        <w:rPr>
          <w:rStyle w:val="39"/>
          <w:rFonts w:hint="eastAsia" w:ascii="宋体" w:hAnsi="宋体" w:cs="宋体"/>
        </w:rPr>
        <w:t>附件</w:t>
      </w:r>
      <w:r>
        <w:rPr>
          <w:rStyle w:val="39"/>
          <w:rFonts w:ascii="宋体" w:hAnsi="宋体" w:cs="宋体"/>
        </w:rPr>
        <w:t xml:space="preserve">12 </w:t>
      </w:r>
      <w:r>
        <w:rPr>
          <w:rStyle w:val="39"/>
          <w:rFonts w:hint="eastAsia" w:ascii="宋体" w:hAnsi="宋体" w:cs="宋体"/>
        </w:rPr>
        <w:t>《关于</w:t>
      </w:r>
      <w:r>
        <w:rPr>
          <w:rStyle w:val="39"/>
          <w:rFonts w:ascii="宋体" w:hAnsi="宋体" w:cs="宋体"/>
        </w:rPr>
        <w:t>&lt;</w:t>
      </w:r>
      <w:r>
        <w:rPr>
          <w:rStyle w:val="39"/>
          <w:rFonts w:hint="eastAsia" w:ascii="宋体" w:hAnsi="宋体" w:cs="宋体"/>
        </w:rPr>
        <w:t>广东省遂溪县遂城镇洪家村矿区建筑用玄武岩矿矿产资源开发利用方案</w:t>
      </w:r>
      <w:r>
        <w:rPr>
          <w:rStyle w:val="39"/>
          <w:rFonts w:ascii="宋体" w:hAnsi="宋体" w:cs="宋体"/>
        </w:rPr>
        <w:t>&gt;</w:t>
      </w:r>
      <w:r>
        <w:rPr>
          <w:rStyle w:val="39"/>
          <w:rFonts w:hint="eastAsia" w:ascii="宋体" w:hAnsi="宋体" w:cs="宋体"/>
        </w:rPr>
        <w:t>审查备案证明》（湛国土资开备字</w:t>
      </w:r>
      <w:r>
        <w:rPr>
          <w:rStyle w:val="39"/>
          <w:rFonts w:ascii="宋体" w:hAnsi="宋体" w:cs="宋体"/>
        </w:rPr>
        <w:t>[2016]5</w:t>
      </w:r>
      <w:r>
        <w:rPr>
          <w:rStyle w:val="39"/>
          <w:rFonts w:hint="eastAsia" w:ascii="宋体" w:hAnsi="宋体" w:cs="宋体"/>
        </w:rPr>
        <w:t>号）（湛江市国土资源局，</w:t>
      </w:r>
      <w:r>
        <w:rPr>
          <w:rStyle w:val="39"/>
          <w:rFonts w:ascii="宋体" w:hAnsi="宋体" w:cs="宋体"/>
        </w:rPr>
        <w:t>2016</w:t>
      </w:r>
      <w:r>
        <w:rPr>
          <w:rStyle w:val="39"/>
          <w:rFonts w:hint="eastAsia" w:ascii="宋体" w:hAnsi="宋体" w:cs="宋体"/>
        </w:rPr>
        <w:t>年</w:t>
      </w:r>
      <w:r>
        <w:rPr>
          <w:rStyle w:val="39"/>
          <w:rFonts w:ascii="宋体" w:hAnsi="宋体" w:cs="宋体"/>
        </w:rPr>
        <w:t>11</w:t>
      </w:r>
      <w:r>
        <w:rPr>
          <w:rStyle w:val="39"/>
          <w:rFonts w:hint="eastAsia" w:ascii="宋体" w:hAnsi="宋体" w:cs="宋体"/>
        </w:rPr>
        <w:t>月</w:t>
      </w:r>
      <w:r>
        <w:rPr>
          <w:rStyle w:val="39"/>
          <w:rFonts w:ascii="宋体" w:hAnsi="宋体" w:cs="宋体"/>
        </w:rPr>
        <w:t>17</w:t>
      </w:r>
      <w:r>
        <w:rPr>
          <w:rStyle w:val="39"/>
          <w:rFonts w:hint="eastAsia" w:ascii="宋体" w:hAnsi="宋体" w:cs="宋体"/>
        </w:rPr>
        <w:t>日）</w:t>
      </w:r>
      <w:r>
        <w:rPr>
          <w:rFonts w:cs="Times New Roman"/>
        </w:rPr>
        <w:tab/>
      </w:r>
      <w:r>
        <w:fldChar w:fldCharType="begin"/>
      </w:r>
      <w:r>
        <w:instrText xml:space="preserve"> PAGEREF _Toc522712221 \h </w:instrText>
      </w:r>
      <w:r>
        <w:fldChar w:fldCharType="separate"/>
      </w:r>
      <w:r>
        <w:t>55</w:t>
      </w:r>
      <w:r>
        <w:fldChar w:fldCharType="end"/>
      </w:r>
      <w:r>
        <w:fldChar w:fldCharType="end"/>
      </w:r>
    </w:p>
    <w:p>
      <w:pPr>
        <w:pStyle w:val="24"/>
        <w:ind w:left="31680" w:firstLine="31680"/>
        <w:rPr>
          <w:rFonts w:ascii="宋体" w:cs="Times New Roman"/>
          <w:color w:val="FF0000"/>
        </w:rPr>
      </w:pPr>
      <w:r>
        <w:rPr>
          <w:rFonts w:ascii="宋体" w:hAnsi="宋体" w:cs="宋体"/>
        </w:rPr>
        <w:fldChar w:fldCharType="end"/>
      </w:r>
      <w:r>
        <w:rPr>
          <w:rFonts w:ascii="宋体" w:cs="Times New Roman"/>
          <w:color w:val="FF0000"/>
        </w:rPr>
        <w:br w:type="page"/>
      </w:r>
    </w:p>
    <w:p>
      <w:pPr>
        <w:spacing w:line="440" w:lineRule="exact"/>
        <w:jc w:val="center"/>
        <w:outlineLvl w:val="0"/>
        <w:rPr>
          <w:rFonts w:ascii="宋体" w:cs="Times New Roman"/>
          <w:b/>
          <w:bCs/>
          <w:kern w:val="44"/>
          <w:sz w:val="24"/>
          <w:szCs w:val="24"/>
        </w:rPr>
      </w:pPr>
      <w:bookmarkStart w:id="16" w:name="_Toc396730154"/>
      <w:bookmarkStart w:id="17" w:name="_Toc515199686"/>
      <w:bookmarkStart w:id="18" w:name="_Toc522712189"/>
      <w:r>
        <w:rPr>
          <w:rFonts w:hint="eastAsia" w:ascii="宋体" w:hAnsi="宋体" w:cs="宋体"/>
          <w:b/>
          <w:bCs/>
          <w:kern w:val="44"/>
          <w:sz w:val="24"/>
          <w:szCs w:val="24"/>
        </w:rPr>
        <w:t>评估报告声明</w:t>
      </w:r>
      <w:bookmarkEnd w:id="16"/>
      <w:bookmarkEnd w:id="17"/>
      <w:bookmarkEnd w:id="18"/>
    </w:p>
    <w:p>
      <w:pPr>
        <w:spacing w:line="440" w:lineRule="exact"/>
        <w:ind w:left="420" w:leftChars="200" w:firstLine="480" w:firstLineChars="200"/>
        <w:rPr>
          <w:rFonts w:ascii="宋体" w:cs="Times New Roman"/>
          <w:sz w:val="24"/>
          <w:szCs w:val="24"/>
        </w:rPr>
      </w:pPr>
      <w:r>
        <w:rPr>
          <w:rFonts w:hint="eastAsia" w:ascii="宋体" w:hAnsi="宋体" w:cs="宋体"/>
          <w:sz w:val="24"/>
          <w:szCs w:val="24"/>
        </w:rPr>
        <w:t>一、本矿业权评估报告依据中国矿业权评估师协会发布的矿业权评估准则。</w:t>
      </w:r>
    </w:p>
    <w:p>
      <w:pPr>
        <w:spacing w:line="440" w:lineRule="exact"/>
        <w:ind w:left="420" w:leftChars="200" w:firstLine="480" w:firstLineChars="200"/>
        <w:rPr>
          <w:rFonts w:ascii="宋体" w:cs="Times New Roman"/>
          <w:sz w:val="24"/>
          <w:szCs w:val="24"/>
        </w:rPr>
      </w:pPr>
      <w:r>
        <w:rPr>
          <w:rFonts w:hint="eastAsia" w:ascii="宋体" w:hAnsi="宋体" w:cs="宋体"/>
          <w:sz w:val="24"/>
          <w:szCs w:val="24"/>
        </w:rPr>
        <w:t>二、编制委托人或者其他矿业权评估报告使用人应当按照法律、行政法规规定及本矿业权评估报告载明的使用范围使用矿业权评估报告；委托人或者其他矿业权评估报告使用人违反前述规定使用矿业权评估报告的，本矿业权评估机构及评估专业人员不承担责任。</w:t>
      </w:r>
    </w:p>
    <w:p>
      <w:pPr>
        <w:spacing w:line="440" w:lineRule="exact"/>
        <w:ind w:left="420" w:leftChars="200" w:firstLine="480" w:firstLineChars="200"/>
        <w:rPr>
          <w:rFonts w:ascii="宋体" w:cs="Times New Roman"/>
          <w:sz w:val="24"/>
          <w:szCs w:val="24"/>
        </w:rPr>
      </w:pPr>
      <w:r>
        <w:rPr>
          <w:rFonts w:hint="eastAsia" w:ascii="宋体" w:hAnsi="宋体" w:cs="宋体"/>
          <w:sz w:val="24"/>
          <w:szCs w:val="24"/>
        </w:rPr>
        <w:t>本矿业权评估报告仅供委托人、矿业权评估委托合同中约定的其他矿业权评估报告使用人和法律、行政法规规定的矿业权评估报告使用人使用；除此之外，其他任何机构和个人不能成为矿业权评估报告的使用人。</w:t>
      </w:r>
    </w:p>
    <w:p>
      <w:pPr>
        <w:spacing w:line="440" w:lineRule="exact"/>
        <w:ind w:left="420" w:leftChars="200" w:firstLine="480" w:firstLineChars="200"/>
        <w:rPr>
          <w:rFonts w:ascii="宋体" w:cs="Times New Roman"/>
          <w:sz w:val="24"/>
          <w:szCs w:val="24"/>
        </w:rPr>
      </w:pPr>
      <w:r>
        <w:rPr>
          <w:rFonts w:hint="eastAsia" w:ascii="宋体" w:hAnsi="宋体" w:cs="宋体"/>
          <w:sz w:val="24"/>
          <w:szCs w:val="24"/>
        </w:rPr>
        <w:t>本矿业权评估机构及评估专业人员提示矿业权评估报告使用人应当正确理解评估结论，评估结论不等同于评估对象可实现价格，评估结论不应当被认为是对评估对象可实现价格的保证，也不能用评估对象实际实现的价格验证评估结论的合理性。</w:t>
      </w:r>
    </w:p>
    <w:p>
      <w:pPr>
        <w:spacing w:line="440" w:lineRule="exact"/>
        <w:ind w:left="420" w:leftChars="200" w:firstLine="480" w:firstLineChars="200"/>
        <w:rPr>
          <w:rFonts w:ascii="宋体" w:cs="Times New Roman"/>
          <w:sz w:val="24"/>
          <w:szCs w:val="24"/>
        </w:rPr>
      </w:pPr>
      <w:r>
        <w:rPr>
          <w:rFonts w:hint="eastAsia" w:ascii="宋体" w:hAnsi="宋体" w:cs="宋体"/>
          <w:sz w:val="24"/>
          <w:szCs w:val="24"/>
        </w:rPr>
        <w:t>三、本矿业权评估机构及评估专业人员遵守法律、行政法规和矿业权评估准则，坚持独立、客观和公正的原则，并对所出具的矿业权评估报告依法承担责任。</w:t>
      </w:r>
    </w:p>
    <w:p>
      <w:pPr>
        <w:spacing w:line="440" w:lineRule="exact"/>
        <w:ind w:left="420" w:leftChars="200" w:firstLine="480" w:firstLineChars="200"/>
        <w:rPr>
          <w:rFonts w:ascii="宋体" w:cs="Times New Roman"/>
          <w:sz w:val="24"/>
          <w:szCs w:val="24"/>
        </w:rPr>
      </w:pPr>
      <w:r>
        <w:rPr>
          <w:rFonts w:hint="eastAsia" w:ascii="宋体" w:hAnsi="宋体" w:cs="宋体"/>
          <w:sz w:val="24"/>
          <w:szCs w:val="24"/>
        </w:rPr>
        <w:t>四、矿业权评估对象与评估范围由委托人、被评估单位申报并经其采用签名、盖章或法律允许的其他方式确认；委托人和其他相关当事人依法对其提供资料的真实性、完整性、合法性负责。</w:t>
      </w:r>
    </w:p>
    <w:p>
      <w:pPr>
        <w:spacing w:line="440" w:lineRule="exact"/>
        <w:ind w:left="420" w:leftChars="200" w:firstLine="480" w:firstLineChars="200"/>
        <w:rPr>
          <w:rFonts w:ascii="宋体" w:cs="Times New Roman"/>
          <w:sz w:val="24"/>
          <w:szCs w:val="24"/>
        </w:rPr>
      </w:pPr>
      <w:r>
        <w:rPr>
          <w:rFonts w:hint="eastAsia" w:ascii="宋体" w:hAnsi="宋体" w:cs="宋体"/>
          <w:sz w:val="24"/>
          <w:szCs w:val="24"/>
        </w:rPr>
        <w:t>五、本矿业权评估机构及评估专业人员与矿业权评估报告中的评估对象没有现存或者预期的利益关系；与相关当事人没有现存或者预期的利益关系，对相关当事人不存在偏见。</w:t>
      </w:r>
    </w:p>
    <w:p>
      <w:pPr>
        <w:spacing w:line="440" w:lineRule="exact"/>
        <w:ind w:left="420" w:leftChars="200" w:firstLine="480" w:firstLineChars="200"/>
        <w:rPr>
          <w:rFonts w:ascii="宋体" w:cs="Times New Roman"/>
          <w:sz w:val="24"/>
          <w:szCs w:val="24"/>
        </w:rPr>
      </w:pPr>
      <w:r>
        <w:rPr>
          <w:rFonts w:hint="eastAsia" w:ascii="宋体" w:hAnsi="宋体" w:cs="宋体"/>
          <w:sz w:val="24"/>
          <w:szCs w:val="24"/>
        </w:rPr>
        <w:t>六、评估专业人员已经对矿业权评估报告中的评估对象及其所涉及资产进行现场调查；已经对评估对象及其所涉及资产的法律权属状况给予必要的关注，对评估对象及其所涉及资产的法律权属资料进行了查验，对已经发现的问题进行了如实披露，并且已提请委托人及其他相关当事人完善产权以满足出具矿业权评估报告的要求。</w:t>
      </w:r>
    </w:p>
    <w:p>
      <w:pPr>
        <w:spacing w:line="440" w:lineRule="exact"/>
        <w:ind w:left="420" w:leftChars="200" w:firstLine="480" w:firstLineChars="200"/>
        <w:rPr>
          <w:rFonts w:cs="Times New Roman"/>
          <w:sz w:val="32"/>
          <w:szCs w:val="32"/>
          <w:highlight w:val="yellow"/>
        </w:rPr>
      </w:pPr>
      <w:r>
        <w:rPr>
          <w:rFonts w:hint="eastAsia" w:ascii="宋体" w:hAnsi="宋体" w:cs="宋体"/>
          <w:sz w:val="24"/>
          <w:szCs w:val="24"/>
        </w:rPr>
        <w:t>七、本矿业权评估机构出具的矿业权评估报告中的分析、判断和结果唯一对应于评估对象与评估范围的、受矿业权评估报告中假设和限制条件的限制，矿业权评估报告使用人应当充分考虑矿业权评估报告中载明的评估对象与评估范围、矿业权价值含义、假设、限制条件、特别事项说明及其对评估结论的影响。</w:t>
      </w:r>
      <w:r>
        <w:rPr>
          <w:rFonts w:ascii="宋体" w:cs="Times New Roman"/>
          <w:color w:val="FF0000"/>
        </w:rPr>
        <w:br w:type="page"/>
      </w:r>
    </w:p>
    <w:p>
      <w:pPr>
        <w:ind w:firstLine="640" w:firstLineChars="200"/>
        <w:jc w:val="center"/>
        <w:rPr>
          <w:rFonts w:cs="Times New Roman"/>
          <w:sz w:val="32"/>
          <w:szCs w:val="32"/>
        </w:rPr>
      </w:pPr>
      <w:r>
        <w:rPr>
          <w:rFonts w:hint="eastAsia" w:cs="宋体"/>
          <w:sz w:val="32"/>
          <w:szCs w:val="32"/>
        </w:rPr>
        <w:t>广东省湛江市遂溪县遂城镇洪家村矿区</w:t>
      </w:r>
    </w:p>
    <w:p>
      <w:pPr>
        <w:ind w:firstLine="640" w:firstLineChars="200"/>
        <w:jc w:val="center"/>
        <w:rPr>
          <w:rFonts w:cs="Times New Roman"/>
          <w:sz w:val="32"/>
          <w:szCs w:val="32"/>
        </w:rPr>
      </w:pPr>
      <w:r>
        <w:rPr>
          <w:rFonts w:hint="eastAsia" w:cs="宋体"/>
          <w:sz w:val="32"/>
          <w:szCs w:val="32"/>
        </w:rPr>
        <w:t>建筑用玄武岩矿采矿权出让收益</w:t>
      </w:r>
    </w:p>
    <w:p>
      <w:pPr>
        <w:pStyle w:val="2"/>
        <w:tabs>
          <w:tab w:val="left" w:pos="450"/>
          <w:tab w:val="center" w:pos="4496"/>
        </w:tabs>
        <w:spacing w:beforeLines="0" w:after="0" w:afterAutospacing="0" w:line="360" w:lineRule="auto"/>
        <w:ind w:firstLine="643" w:firstLineChars="200"/>
        <w:rPr>
          <w:rFonts w:ascii="宋体" w:hAnsi="宋体" w:eastAsia="宋体" w:cs="Times New Roman"/>
          <w:sz w:val="32"/>
          <w:szCs w:val="32"/>
        </w:rPr>
      </w:pPr>
      <w:bookmarkStart w:id="19" w:name="_Toc522712190"/>
      <w:bookmarkStart w:id="20" w:name="_Toc515199687"/>
      <w:r>
        <w:rPr>
          <w:rFonts w:hint="eastAsia" w:ascii="宋体" w:hAnsi="宋体" w:eastAsia="宋体" w:cs="宋体"/>
          <w:sz w:val="32"/>
          <w:szCs w:val="32"/>
        </w:rPr>
        <w:t>评估报告摘要</w:t>
      </w:r>
      <w:bookmarkEnd w:id="19"/>
      <w:bookmarkEnd w:id="20"/>
    </w:p>
    <w:p>
      <w:pPr>
        <w:spacing w:line="360" w:lineRule="auto"/>
        <w:ind w:firstLine="480" w:firstLineChars="200"/>
        <w:jc w:val="center"/>
        <w:rPr>
          <w:rFonts w:ascii="宋体" w:cs="Times New Roman"/>
          <w:sz w:val="24"/>
          <w:szCs w:val="24"/>
        </w:rPr>
      </w:pPr>
      <w:r>
        <w:rPr>
          <w:rFonts w:hint="eastAsia" w:ascii="宋体" w:hAnsi="宋体" w:cs="宋体"/>
          <w:sz w:val="24"/>
          <w:szCs w:val="24"/>
        </w:rPr>
        <w:t>国融兴华矿评字</w:t>
      </w:r>
      <w:r>
        <w:rPr>
          <w:rFonts w:ascii="宋体" w:hAnsi="宋体" w:cs="宋体"/>
          <w:sz w:val="24"/>
          <w:szCs w:val="24"/>
        </w:rPr>
        <w:t>[2018]</w:t>
      </w:r>
      <w:r>
        <w:rPr>
          <w:rFonts w:hint="eastAsia" w:ascii="宋体" w:hAnsi="宋体" w:cs="宋体"/>
          <w:sz w:val="24"/>
          <w:szCs w:val="24"/>
        </w:rPr>
        <w:t>第</w:t>
      </w:r>
      <w:r>
        <w:rPr>
          <w:rFonts w:ascii="宋体" w:hAnsi="宋体" w:cs="宋体"/>
          <w:sz w:val="24"/>
          <w:szCs w:val="24"/>
        </w:rPr>
        <w:t>400029</w:t>
      </w:r>
      <w:r>
        <w:rPr>
          <w:rFonts w:hint="eastAsia" w:ascii="宋体" w:hAnsi="宋体" w:cs="宋体"/>
          <w:sz w:val="24"/>
          <w:szCs w:val="24"/>
        </w:rPr>
        <w:t>号</w:t>
      </w:r>
    </w:p>
    <w:p>
      <w:pPr>
        <w:spacing w:line="360" w:lineRule="auto"/>
        <w:ind w:left="420" w:leftChars="200" w:firstLine="482" w:firstLineChars="200"/>
        <w:rPr>
          <w:rFonts w:ascii="宋体" w:cs="Times New Roman"/>
          <w:kern w:val="0"/>
          <w:sz w:val="24"/>
          <w:szCs w:val="24"/>
        </w:rPr>
      </w:pPr>
      <w:r>
        <w:rPr>
          <w:rFonts w:hint="eastAsia" w:ascii="宋体" w:hAnsi="宋体" w:cs="宋体"/>
          <w:b/>
          <w:bCs/>
          <w:sz w:val="24"/>
          <w:szCs w:val="24"/>
        </w:rPr>
        <w:t>一、评估对象：</w:t>
      </w:r>
      <w:r>
        <w:rPr>
          <w:rFonts w:hint="eastAsia" w:ascii="宋体" w:hAnsi="宋体" w:cs="宋体"/>
          <w:sz w:val="24"/>
          <w:szCs w:val="24"/>
        </w:rPr>
        <w:t>广东省湛江市遂溪县遂城镇洪家村矿区建筑用玄武岩矿采矿权</w:t>
      </w:r>
    </w:p>
    <w:p>
      <w:pPr>
        <w:spacing w:line="360" w:lineRule="auto"/>
        <w:ind w:left="420" w:leftChars="200" w:firstLine="482" w:firstLineChars="200"/>
        <w:rPr>
          <w:rFonts w:ascii="宋体" w:cs="Times New Roman"/>
          <w:sz w:val="24"/>
          <w:szCs w:val="24"/>
        </w:rPr>
      </w:pPr>
      <w:r>
        <w:rPr>
          <w:rFonts w:hint="eastAsia" w:ascii="宋体" w:hAnsi="宋体" w:cs="宋体"/>
          <w:b/>
          <w:bCs/>
          <w:sz w:val="24"/>
          <w:szCs w:val="24"/>
        </w:rPr>
        <w:t>二、评估委托人</w:t>
      </w:r>
      <w:r>
        <w:rPr>
          <w:rFonts w:hint="eastAsia" w:ascii="宋体" w:hAnsi="宋体" w:cs="宋体"/>
          <w:sz w:val="24"/>
          <w:szCs w:val="24"/>
        </w:rPr>
        <w:t>：遂溪县国土资源局</w:t>
      </w:r>
    </w:p>
    <w:p>
      <w:pPr>
        <w:spacing w:line="360" w:lineRule="auto"/>
        <w:ind w:left="420" w:leftChars="200" w:firstLine="482" w:firstLineChars="200"/>
        <w:rPr>
          <w:rFonts w:ascii="宋体" w:cs="Times New Roman"/>
          <w:sz w:val="24"/>
          <w:szCs w:val="24"/>
        </w:rPr>
      </w:pPr>
      <w:r>
        <w:rPr>
          <w:rFonts w:hint="eastAsia" w:ascii="宋体" w:hAnsi="宋体" w:cs="宋体"/>
          <w:b/>
          <w:bCs/>
          <w:sz w:val="24"/>
          <w:szCs w:val="24"/>
        </w:rPr>
        <w:t>三、评估机构</w:t>
      </w:r>
      <w:r>
        <w:rPr>
          <w:rFonts w:hint="eastAsia" w:ascii="宋体" w:hAnsi="宋体" w:cs="宋体"/>
          <w:sz w:val="24"/>
          <w:szCs w:val="24"/>
        </w:rPr>
        <w:t>：北京国融兴华资产评估有限责任公司</w:t>
      </w:r>
    </w:p>
    <w:p>
      <w:pPr>
        <w:spacing w:line="360" w:lineRule="auto"/>
        <w:ind w:left="420" w:leftChars="200" w:firstLine="482" w:firstLineChars="200"/>
        <w:rPr>
          <w:rFonts w:ascii="宋体" w:cs="Times New Roman"/>
          <w:b/>
          <w:bCs/>
          <w:sz w:val="24"/>
          <w:szCs w:val="24"/>
        </w:rPr>
      </w:pPr>
      <w:r>
        <w:rPr>
          <w:rFonts w:hint="eastAsia" w:ascii="宋体" w:hAnsi="宋体" w:cs="宋体"/>
          <w:b/>
          <w:bCs/>
          <w:sz w:val="24"/>
          <w:szCs w:val="24"/>
        </w:rPr>
        <w:t>四、评估目的：</w:t>
      </w:r>
      <w:r>
        <w:rPr>
          <w:rFonts w:hint="eastAsia" w:ascii="宋体" w:hAnsi="宋体" w:cs="宋体"/>
          <w:sz w:val="24"/>
          <w:szCs w:val="24"/>
        </w:rPr>
        <w:t>遂溪县国土资源局拟出让广东省湛江市遂溪县遂城镇洪家村矿区建筑用玄武岩矿采矿权，根据国家相关法律法规，需确定该采矿权出让收益，本次评估即是为实现上述目的，向委托人提供在本评估报告所述的各种条件下和评估基准日时点“广东省湛江市遂溪县遂城镇洪家村矿区建筑用玄武岩矿采矿权出让收益”的价值参考意见。</w:t>
      </w:r>
    </w:p>
    <w:p>
      <w:pPr>
        <w:spacing w:line="360" w:lineRule="auto"/>
        <w:ind w:left="420" w:leftChars="200" w:firstLine="482" w:firstLineChars="200"/>
        <w:rPr>
          <w:rFonts w:ascii="宋体" w:cs="Times New Roman"/>
          <w:sz w:val="24"/>
          <w:szCs w:val="24"/>
        </w:rPr>
      </w:pPr>
      <w:r>
        <w:rPr>
          <w:rFonts w:hint="eastAsia" w:ascii="宋体" w:hAnsi="宋体" w:cs="宋体"/>
          <w:b/>
          <w:bCs/>
          <w:sz w:val="24"/>
          <w:szCs w:val="24"/>
        </w:rPr>
        <w:t>五、评估基准日：</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w:t>
      </w:r>
    </w:p>
    <w:p>
      <w:pPr>
        <w:spacing w:line="360" w:lineRule="auto"/>
        <w:ind w:left="420" w:leftChars="200" w:firstLine="482" w:firstLineChars="200"/>
        <w:rPr>
          <w:rFonts w:ascii="宋体" w:cs="Times New Roman"/>
          <w:sz w:val="24"/>
          <w:szCs w:val="24"/>
        </w:rPr>
      </w:pPr>
      <w:r>
        <w:rPr>
          <w:rFonts w:hint="eastAsia" w:ascii="宋体" w:hAnsi="宋体" w:cs="宋体"/>
          <w:b/>
          <w:bCs/>
          <w:sz w:val="24"/>
          <w:szCs w:val="24"/>
        </w:rPr>
        <w:t>六、评估方法：</w:t>
      </w:r>
      <w:r>
        <w:rPr>
          <w:rFonts w:hint="eastAsia" w:ascii="宋体" w:hAnsi="宋体" w:cs="宋体"/>
          <w:sz w:val="24"/>
          <w:szCs w:val="24"/>
        </w:rPr>
        <w:t>收益法（</w:t>
      </w:r>
      <w:r>
        <w:rPr>
          <w:rFonts w:hint="eastAsia" w:ascii="宋体" w:hAnsi="宋体" w:cs="宋体"/>
          <w:color w:val="000000"/>
          <w:sz w:val="24"/>
          <w:szCs w:val="24"/>
        </w:rPr>
        <w:t>折现现金流量法</w:t>
      </w:r>
      <w:r>
        <w:rPr>
          <w:rFonts w:hint="eastAsia" w:ascii="宋体" w:hAnsi="宋体" w:cs="宋体"/>
          <w:sz w:val="24"/>
          <w:szCs w:val="24"/>
        </w:rPr>
        <w:t>）</w:t>
      </w:r>
    </w:p>
    <w:p>
      <w:pPr>
        <w:spacing w:line="360" w:lineRule="auto"/>
        <w:ind w:left="420" w:leftChars="200" w:firstLine="482" w:firstLineChars="200"/>
        <w:rPr>
          <w:rFonts w:ascii="宋体" w:cs="Times New Roman"/>
          <w:b/>
          <w:bCs/>
          <w:sz w:val="24"/>
          <w:szCs w:val="24"/>
        </w:rPr>
      </w:pPr>
      <w:r>
        <w:rPr>
          <w:rFonts w:hint="eastAsia" w:ascii="宋体" w:hAnsi="宋体" w:cs="宋体"/>
          <w:b/>
          <w:bCs/>
          <w:sz w:val="24"/>
          <w:szCs w:val="24"/>
        </w:rPr>
        <w:t>七、主要评估参数：</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参与评估的保有资源储量</w:t>
      </w:r>
      <w:r>
        <w:rPr>
          <w:rFonts w:ascii="宋体" w:hAnsi="宋体" w:cs="宋体"/>
          <w:color w:val="000000"/>
          <w:sz w:val="24"/>
          <w:szCs w:val="24"/>
        </w:rPr>
        <w:t>132.73</w:t>
      </w:r>
      <w:r>
        <w:rPr>
          <w:rFonts w:hint="eastAsia" w:ascii="宋体" w:hAnsi="宋体" w:cs="宋体"/>
          <w:color w:val="000000"/>
          <w:sz w:val="24"/>
          <w:szCs w:val="24"/>
        </w:rPr>
        <w:t>万立方米；评估利用可采储量</w:t>
      </w:r>
      <w:r>
        <w:rPr>
          <w:rFonts w:ascii="宋体" w:hAnsi="宋体" w:cs="宋体"/>
          <w:color w:val="000000"/>
          <w:sz w:val="24"/>
          <w:szCs w:val="24"/>
        </w:rPr>
        <w:t>121.20</w:t>
      </w:r>
      <w:r>
        <w:rPr>
          <w:rFonts w:hint="eastAsia" w:ascii="宋体" w:hAnsi="宋体" w:cs="宋体"/>
          <w:color w:val="000000"/>
          <w:sz w:val="24"/>
          <w:szCs w:val="24"/>
        </w:rPr>
        <w:t>万立方米；生产规模</w:t>
      </w:r>
      <w:r>
        <w:rPr>
          <w:rFonts w:ascii="宋体" w:hAnsi="宋体" w:cs="宋体"/>
          <w:color w:val="000000"/>
          <w:sz w:val="24"/>
          <w:szCs w:val="24"/>
        </w:rPr>
        <w:t>10.00</w:t>
      </w:r>
      <w:r>
        <w:rPr>
          <w:rFonts w:hint="eastAsia" w:ascii="宋体" w:hAnsi="宋体" w:cs="宋体"/>
          <w:color w:val="000000"/>
          <w:sz w:val="24"/>
          <w:szCs w:val="24"/>
        </w:rPr>
        <w:t>万立方米</w:t>
      </w:r>
      <w:r>
        <w:rPr>
          <w:rFonts w:ascii="宋体" w:hAnsi="宋体" w:cs="宋体"/>
          <w:color w:val="000000"/>
          <w:sz w:val="24"/>
          <w:szCs w:val="24"/>
        </w:rPr>
        <w:t>/</w:t>
      </w:r>
      <w:r>
        <w:rPr>
          <w:rFonts w:hint="eastAsia" w:ascii="宋体" w:hAnsi="宋体" w:cs="宋体"/>
          <w:color w:val="000000"/>
          <w:sz w:val="24"/>
          <w:szCs w:val="24"/>
        </w:rPr>
        <w:t>年；矿山服务年限</w:t>
      </w:r>
      <w:r>
        <w:rPr>
          <w:rFonts w:ascii="宋体" w:hAnsi="宋体" w:cs="宋体"/>
          <w:color w:val="000000"/>
          <w:sz w:val="24"/>
          <w:szCs w:val="24"/>
        </w:rPr>
        <w:t>12.18</w:t>
      </w:r>
      <w:r>
        <w:rPr>
          <w:rFonts w:hint="eastAsia" w:ascii="宋体" w:hAnsi="宋体" w:cs="宋体"/>
          <w:color w:val="000000"/>
          <w:sz w:val="24"/>
          <w:szCs w:val="24"/>
        </w:rPr>
        <w:t>年、评估计算年限</w:t>
      </w:r>
      <w:r>
        <w:rPr>
          <w:rFonts w:ascii="宋体" w:hAnsi="宋体" w:cs="宋体"/>
          <w:color w:val="000000"/>
          <w:sz w:val="24"/>
          <w:szCs w:val="24"/>
        </w:rPr>
        <w:t>12.68</w:t>
      </w:r>
      <w:r>
        <w:rPr>
          <w:rFonts w:hint="eastAsia" w:ascii="宋体" w:hAnsi="宋体" w:cs="宋体"/>
          <w:color w:val="000000"/>
          <w:sz w:val="24"/>
          <w:szCs w:val="24"/>
        </w:rPr>
        <w:t>年（含建设期</w:t>
      </w:r>
      <w:r>
        <w:rPr>
          <w:rFonts w:ascii="宋体" w:hAnsi="宋体" w:cs="宋体"/>
          <w:color w:val="000000"/>
          <w:sz w:val="24"/>
          <w:szCs w:val="24"/>
        </w:rPr>
        <w:t>0.5</w:t>
      </w:r>
      <w:r>
        <w:rPr>
          <w:rFonts w:hint="eastAsia" w:ascii="宋体" w:hAnsi="宋体" w:cs="宋体"/>
          <w:color w:val="000000"/>
          <w:sz w:val="24"/>
          <w:szCs w:val="24"/>
        </w:rPr>
        <w:t>年）；产品方案为碎石、石粉；碎石不含税销售价格</w:t>
      </w:r>
      <w:r>
        <w:rPr>
          <w:rFonts w:ascii="宋体" w:hAnsi="宋体" w:cs="宋体"/>
          <w:color w:val="000000"/>
          <w:sz w:val="24"/>
          <w:szCs w:val="24"/>
        </w:rPr>
        <w:t>62</w:t>
      </w:r>
      <w:r>
        <w:rPr>
          <w:rFonts w:ascii="宋体" w:cs="宋体"/>
          <w:color w:val="000000"/>
          <w:sz w:val="24"/>
          <w:szCs w:val="24"/>
        </w:rPr>
        <w:t>.00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立方米、石粉不含税销售价格</w:t>
      </w:r>
      <w:r>
        <w:rPr>
          <w:rFonts w:ascii="宋体" w:hAnsi="宋体" w:cs="宋体"/>
          <w:color w:val="000000"/>
          <w:sz w:val="24"/>
          <w:szCs w:val="24"/>
        </w:rPr>
        <w:t>8</w:t>
      </w:r>
      <w:r>
        <w:rPr>
          <w:rFonts w:ascii="宋体" w:cs="宋体"/>
          <w:color w:val="000000"/>
          <w:sz w:val="24"/>
          <w:szCs w:val="24"/>
        </w:rPr>
        <w:t>.00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立方米；固定资产投资</w:t>
      </w:r>
      <w:r>
        <w:rPr>
          <w:rFonts w:ascii="宋体" w:hAnsi="宋体" w:cs="宋体"/>
          <w:color w:val="000000"/>
          <w:sz w:val="24"/>
          <w:szCs w:val="24"/>
        </w:rPr>
        <w:t>1,511.28</w:t>
      </w:r>
      <w:r>
        <w:rPr>
          <w:rFonts w:hint="eastAsia" w:ascii="宋体" w:hAnsi="宋体" w:cs="宋体"/>
          <w:color w:val="000000"/>
          <w:sz w:val="24"/>
          <w:szCs w:val="24"/>
        </w:rPr>
        <w:t>万元；单位总成本费用</w:t>
      </w:r>
      <w:r>
        <w:rPr>
          <w:rFonts w:ascii="宋体" w:hAnsi="宋体" w:cs="宋体"/>
          <w:color w:val="000000"/>
          <w:sz w:val="24"/>
          <w:szCs w:val="24"/>
        </w:rPr>
        <w:t>69.53</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立方米；单位经营成本</w:t>
      </w:r>
      <w:r>
        <w:rPr>
          <w:rFonts w:ascii="宋体" w:hAnsi="宋体" w:cs="宋体"/>
          <w:color w:val="000000"/>
          <w:sz w:val="24"/>
          <w:szCs w:val="24"/>
        </w:rPr>
        <w:t>49.79</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立方米；折现率</w:t>
      </w:r>
      <w:r>
        <w:rPr>
          <w:rFonts w:ascii="宋体" w:hAnsi="宋体" w:cs="宋体"/>
          <w:color w:val="000000"/>
          <w:sz w:val="24"/>
          <w:szCs w:val="24"/>
        </w:rPr>
        <w:t>8.00%</w:t>
      </w:r>
      <w:r>
        <w:rPr>
          <w:rFonts w:hint="eastAsia" w:ascii="宋体" w:hAnsi="宋体" w:cs="宋体"/>
          <w:color w:val="000000"/>
          <w:sz w:val="24"/>
          <w:szCs w:val="24"/>
        </w:rPr>
        <w:t>。</w:t>
      </w:r>
    </w:p>
    <w:p>
      <w:pPr>
        <w:spacing w:line="360" w:lineRule="auto"/>
        <w:ind w:left="420" w:leftChars="200" w:firstLine="482" w:firstLineChars="200"/>
        <w:rPr>
          <w:rFonts w:ascii="宋体" w:cs="Times New Roman"/>
          <w:sz w:val="24"/>
          <w:szCs w:val="24"/>
        </w:rPr>
      </w:pPr>
      <w:r>
        <w:rPr>
          <w:rFonts w:hint="eastAsia" w:ascii="宋体" w:hAnsi="宋体" w:cs="宋体"/>
          <w:b/>
          <w:bCs/>
          <w:sz w:val="24"/>
          <w:szCs w:val="24"/>
        </w:rPr>
        <w:t>八、评估结论：</w:t>
      </w:r>
      <w:r>
        <w:rPr>
          <w:rFonts w:hint="eastAsia" w:ascii="宋体" w:hAnsi="宋体" w:cs="宋体"/>
          <w:sz w:val="24"/>
          <w:szCs w:val="24"/>
        </w:rPr>
        <w:t>依照国家有关法律法规的规定，遵循独立、客观、公正的原则，经评估人员尽职调查及对所收集资料进行分析，按照矿业权评估的原则和程序，选取适当的评估方法和评估参数，经过认真估算，确定委托评估的广东省湛江市遂溪县遂城镇洪家村矿区建筑用玄武岩矿采矿权在评估基准日所表现的出让收益评估价值为人民币</w:t>
      </w:r>
      <w:r>
        <w:rPr>
          <w:rFonts w:ascii="宋体" w:hAnsi="宋体" w:cs="宋体"/>
          <w:sz w:val="24"/>
          <w:szCs w:val="24"/>
        </w:rPr>
        <w:t>329.38</w:t>
      </w:r>
      <w:r>
        <w:rPr>
          <w:rFonts w:hint="eastAsia" w:ascii="宋体" w:hAnsi="宋体" w:cs="宋体"/>
          <w:sz w:val="24"/>
          <w:szCs w:val="24"/>
        </w:rPr>
        <w:t>万元，大写叁佰贰拾玖万叁仟捌佰元整。</w:t>
      </w:r>
    </w:p>
    <w:p>
      <w:pPr>
        <w:spacing w:line="360" w:lineRule="auto"/>
        <w:ind w:left="420" w:leftChars="200" w:firstLine="482" w:firstLineChars="200"/>
        <w:rPr>
          <w:rFonts w:ascii="宋体" w:cs="Times New Roman"/>
          <w:b/>
          <w:bCs/>
          <w:sz w:val="24"/>
          <w:szCs w:val="24"/>
        </w:rPr>
      </w:pPr>
      <w:r>
        <w:rPr>
          <w:rFonts w:hint="eastAsia" w:ascii="宋体" w:hAnsi="宋体" w:cs="宋体"/>
          <w:b/>
          <w:bCs/>
          <w:sz w:val="24"/>
          <w:szCs w:val="24"/>
        </w:rPr>
        <w:t>特别事项声明：</w:t>
      </w:r>
      <w:r>
        <w:rPr>
          <w:rFonts w:hint="eastAsia" w:ascii="宋体" w:hAnsi="宋体" w:cs="宋体"/>
          <w:sz w:val="24"/>
          <w:szCs w:val="24"/>
        </w:rPr>
        <w:t>根据《矿业权出让收益评估应用指南（试行）》，评估结果公开的，自公开有效期一年；评估结果不公开的，自评估基准日起有效期一年。超过有效期，需要重新进行评估。</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除法律法规规定须强制披露，未征得矿业权评估机构同意，矿业权评估报告的全部或部分内容不得被摘抄、引用或披露于公开媒体。</w:t>
      </w:r>
    </w:p>
    <w:p>
      <w:pPr>
        <w:spacing w:line="360" w:lineRule="auto"/>
        <w:ind w:left="420" w:leftChars="200" w:firstLine="480" w:firstLineChars="200"/>
        <w:rPr>
          <w:rFonts w:ascii="宋体" w:cs="Times New Roman"/>
          <w:b/>
          <w:bCs/>
          <w:sz w:val="24"/>
          <w:szCs w:val="24"/>
          <w:highlight w:val="yellow"/>
        </w:rPr>
        <w:sectPr>
          <w:headerReference r:id="rId5" w:type="first"/>
          <w:footerReference r:id="rId6" w:type="first"/>
          <w:pgSz w:w="11906" w:h="16838"/>
          <w:pgMar w:top="1701" w:right="1247" w:bottom="1134" w:left="1531" w:header="992" w:footer="992" w:gutter="0"/>
          <w:pgNumType w:start="1"/>
          <w:cols w:space="720" w:num="1"/>
          <w:titlePg/>
          <w:docGrid w:type="lines" w:linePitch="312" w:charSpace="0"/>
        </w:sectPr>
      </w:pPr>
      <w:r>
        <w:rPr>
          <w:rFonts w:hint="eastAsia" w:ascii="宋体" w:hAnsi="宋体" w:cs="宋体"/>
          <w:sz w:val="24"/>
          <w:szCs w:val="24"/>
        </w:rPr>
        <w:t>以上内容摘自矿业权评估报告正文，欲了解本评估业务的详细情况和正确理解结论，应当阅读矿业权评估报告正文。</w:t>
      </w:r>
      <w:r>
        <w:rPr>
          <w:rFonts w:ascii="宋体" w:hAnsi="宋体" w:cs="宋体"/>
          <w:sz w:val="24"/>
          <w:szCs w:val="24"/>
        </w:rPr>
        <w:t xml:space="preserve"> </w:t>
      </w:r>
    </w:p>
    <w:bookmarkEnd w:id="3"/>
    <w:bookmarkEnd w:id="4"/>
    <w:p>
      <w:pPr>
        <w:spacing w:line="360" w:lineRule="auto"/>
        <w:ind w:left="420" w:leftChars="200" w:firstLine="480" w:firstLineChars="200"/>
        <w:rPr>
          <w:rFonts w:ascii="宋体" w:cs="Times New Roman"/>
          <w:sz w:val="24"/>
          <w:szCs w:val="24"/>
        </w:rPr>
      </w:pPr>
      <w:bookmarkStart w:id="21" w:name="_Toc6064"/>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（本页为签署页，无正文）</w:t>
      </w: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法定代表人：</w:t>
      </w: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评估专业人员：</w:t>
      </w: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评估专业人员：</w:t>
      </w: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rPr>
          <w:rFonts w:ascii="宋体" w:cs="Times New Roman"/>
          <w:sz w:val="24"/>
          <w:szCs w:val="24"/>
        </w:rPr>
      </w:pPr>
    </w:p>
    <w:p>
      <w:pPr>
        <w:spacing w:line="360" w:lineRule="auto"/>
        <w:ind w:left="420" w:leftChars="200" w:firstLine="480" w:firstLineChars="200"/>
        <w:jc w:val="right"/>
        <w:rPr>
          <w:rFonts w:ascii="宋体" w:cs="Times New Roman"/>
          <w:sz w:val="24"/>
          <w:szCs w:val="24"/>
        </w:rPr>
      </w:pPr>
    </w:p>
    <w:p>
      <w:pPr>
        <w:spacing w:line="360" w:lineRule="auto"/>
        <w:ind w:left="420" w:leftChars="200" w:firstLine="480" w:firstLineChars="200"/>
        <w:jc w:val="right"/>
        <w:rPr>
          <w:rFonts w:ascii="宋体" w:cs="Times New Roman"/>
          <w:sz w:val="24"/>
          <w:szCs w:val="24"/>
        </w:rPr>
      </w:pPr>
      <w:r>
        <w:rPr>
          <w:rFonts w:hint="eastAsia" w:ascii="宋体" w:hAnsi="宋体" w:cs="宋体"/>
          <w:sz w:val="24"/>
          <w:szCs w:val="24"/>
        </w:rPr>
        <w:t>北京国融兴华资产评估有限责任公司</w:t>
      </w:r>
    </w:p>
    <w:p>
      <w:pPr>
        <w:spacing w:line="360" w:lineRule="auto"/>
        <w:ind w:left="420" w:leftChars="200" w:firstLine="480" w:firstLineChars="200"/>
        <w:jc w:val="right"/>
        <w:rPr>
          <w:rFonts w:ascii="宋体" w:cs="Times New Roman"/>
          <w:sz w:val="24"/>
          <w:szCs w:val="24"/>
        </w:rPr>
      </w:pPr>
    </w:p>
    <w:p>
      <w:pPr>
        <w:spacing w:line="360" w:lineRule="auto"/>
        <w:ind w:left="420" w:leftChars="200" w:firstLine="480" w:firstLineChars="200"/>
        <w:jc w:val="right"/>
        <w:rPr>
          <w:rFonts w:ascii="宋体" w:cs="Times New Roman"/>
          <w:sz w:val="24"/>
          <w:szCs w:val="24"/>
        </w:rPr>
      </w:pP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w:t>
      </w:r>
    </w:p>
    <w:p>
      <w:pPr>
        <w:spacing w:line="360" w:lineRule="auto"/>
        <w:jc w:val="center"/>
        <w:rPr>
          <w:rFonts w:ascii="宋体" w:cs="Times New Roman"/>
          <w:b/>
          <w:bCs/>
          <w:color w:val="FF0000"/>
          <w:sz w:val="32"/>
          <w:szCs w:val="32"/>
        </w:rPr>
      </w:pPr>
      <w:r>
        <w:rPr>
          <w:rFonts w:ascii="宋体" w:cs="Times New Roman"/>
        </w:rPr>
        <w:br w:type="page"/>
      </w:r>
      <w:bookmarkEnd w:id="21"/>
    </w:p>
    <w:bookmarkEnd w:id="5"/>
    <w:bookmarkEnd w:id="6"/>
    <w:bookmarkEnd w:id="7"/>
    <w:bookmarkEnd w:id="8"/>
    <w:bookmarkEnd w:id="9"/>
    <w:bookmarkEnd w:id="10"/>
    <w:bookmarkEnd w:id="11"/>
    <w:bookmarkEnd w:id="12"/>
    <w:bookmarkEnd w:id="13"/>
    <w:bookmarkEnd w:id="14"/>
    <w:p>
      <w:pPr>
        <w:ind w:firstLine="640" w:firstLineChars="200"/>
        <w:jc w:val="center"/>
        <w:rPr>
          <w:rFonts w:cs="Times New Roman"/>
          <w:sz w:val="32"/>
          <w:szCs w:val="32"/>
        </w:rPr>
      </w:pPr>
      <w:bookmarkStart w:id="22" w:name="_Toc515199688"/>
      <w:r>
        <w:rPr>
          <w:rFonts w:hint="eastAsia" w:cs="宋体"/>
          <w:sz w:val="32"/>
          <w:szCs w:val="32"/>
        </w:rPr>
        <w:t>广东省湛江市遂溪县遂城镇洪家村矿区</w:t>
      </w:r>
    </w:p>
    <w:p>
      <w:pPr>
        <w:ind w:firstLine="640" w:firstLineChars="200"/>
        <w:jc w:val="center"/>
        <w:rPr>
          <w:rFonts w:cs="Times New Roman"/>
          <w:sz w:val="32"/>
          <w:szCs w:val="32"/>
        </w:rPr>
      </w:pPr>
      <w:r>
        <w:rPr>
          <w:rFonts w:hint="eastAsia" w:cs="宋体"/>
          <w:sz w:val="32"/>
          <w:szCs w:val="32"/>
        </w:rPr>
        <w:t>建筑用玄武岩矿采矿权出让收益</w:t>
      </w:r>
    </w:p>
    <w:p>
      <w:pPr>
        <w:pStyle w:val="2"/>
        <w:tabs>
          <w:tab w:val="left" w:pos="456"/>
          <w:tab w:val="center" w:pos="4496"/>
        </w:tabs>
        <w:spacing w:beforeLines="0" w:after="0" w:afterAutospacing="0" w:line="360" w:lineRule="auto"/>
        <w:ind w:firstLine="643" w:firstLineChars="200"/>
        <w:rPr>
          <w:rFonts w:ascii="宋体" w:hAnsi="宋体" w:eastAsia="宋体" w:cs="Times New Roman"/>
        </w:rPr>
      </w:pPr>
      <w:bookmarkStart w:id="23" w:name="_Toc522712191"/>
      <w:r>
        <w:rPr>
          <w:rFonts w:hint="eastAsia" w:ascii="宋体" w:hAnsi="宋体" w:eastAsia="宋体" w:cs="宋体"/>
          <w:sz w:val="32"/>
          <w:szCs w:val="32"/>
        </w:rPr>
        <w:t>评估报告</w:t>
      </w:r>
      <w:bookmarkEnd w:id="22"/>
      <w:bookmarkEnd w:id="23"/>
    </w:p>
    <w:p>
      <w:pPr>
        <w:tabs>
          <w:tab w:val="right" w:leader="dot" w:pos="9179"/>
        </w:tabs>
        <w:spacing w:line="360" w:lineRule="auto"/>
        <w:ind w:firstLine="480" w:firstLineChars="200"/>
        <w:jc w:val="center"/>
        <w:rPr>
          <w:rFonts w:ascii="宋体" w:cs="Times New Roman"/>
          <w:sz w:val="24"/>
          <w:szCs w:val="24"/>
        </w:rPr>
      </w:pPr>
      <w:r>
        <w:rPr>
          <w:rFonts w:hint="eastAsia" w:ascii="宋体" w:hAnsi="宋体" w:cs="宋体"/>
          <w:sz w:val="24"/>
          <w:szCs w:val="24"/>
        </w:rPr>
        <w:t>国融兴华矿评字</w:t>
      </w:r>
      <w:r>
        <w:rPr>
          <w:rFonts w:ascii="宋体" w:hAnsi="宋体" w:cs="宋体"/>
          <w:sz w:val="24"/>
          <w:szCs w:val="24"/>
        </w:rPr>
        <w:t>[2018]</w:t>
      </w:r>
      <w:r>
        <w:rPr>
          <w:rFonts w:hint="eastAsia" w:ascii="宋体" w:hAnsi="宋体" w:cs="宋体"/>
          <w:sz w:val="24"/>
          <w:szCs w:val="24"/>
        </w:rPr>
        <w:t>第</w:t>
      </w:r>
      <w:r>
        <w:rPr>
          <w:rFonts w:ascii="宋体" w:hAnsi="宋体" w:cs="宋体"/>
          <w:sz w:val="24"/>
          <w:szCs w:val="24"/>
        </w:rPr>
        <w:t>400029</w:t>
      </w:r>
      <w:r>
        <w:rPr>
          <w:rFonts w:hint="eastAsia" w:ascii="宋体" w:hAnsi="宋体" w:cs="宋体"/>
          <w:sz w:val="24"/>
          <w:szCs w:val="24"/>
        </w:rPr>
        <w:t>号</w:t>
      </w:r>
    </w:p>
    <w:p>
      <w:pPr>
        <w:tabs>
          <w:tab w:val="right" w:leader="dot" w:pos="9179"/>
        </w:tabs>
        <w:spacing w:line="360" w:lineRule="auto"/>
        <w:ind w:left="420" w:leftChars="200" w:firstLine="480" w:firstLineChars="200"/>
        <w:rPr>
          <w:rFonts w:ascii="宋体" w:cs="Times New Roman"/>
          <w:sz w:val="24"/>
          <w:szCs w:val="24"/>
        </w:rPr>
      </w:pPr>
      <w:r>
        <w:rPr>
          <w:rFonts w:hint="eastAsia" w:ascii="宋体" w:hAnsi="宋体" w:cs="宋体"/>
          <w:sz w:val="24"/>
          <w:szCs w:val="24"/>
        </w:rPr>
        <w:t>北京国融兴华资产评估有限责任公司接受遂溪县国土资源局的委托，根据国家有关矿业权评估的规定，本着客观、独立、公正的原则，按照公认的评估方法，对</w:t>
      </w:r>
      <w:r>
        <w:rPr>
          <w:rFonts w:hint="eastAsia" w:ascii="宋体" w:cs="宋体"/>
          <w:sz w:val="24"/>
          <w:szCs w:val="24"/>
        </w:rPr>
        <w:t>“</w:t>
      </w:r>
      <w:r>
        <w:rPr>
          <w:rFonts w:hint="eastAsia" w:ascii="宋体" w:hAnsi="宋体" w:cs="宋体"/>
          <w:sz w:val="24"/>
          <w:szCs w:val="24"/>
        </w:rPr>
        <w:t>广东省湛江市遂溪县遂城镇洪家村矿区建筑用玄武岩矿采矿权</w:t>
      </w:r>
      <w:r>
        <w:rPr>
          <w:rFonts w:hint="eastAsia" w:ascii="宋体" w:cs="宋体"/>
          <w:sz w:val="24"/>
          <w:szCs w:val="24"/>
        </w:rPr>
        <w:t>”</w:t>
      </w:r>
      <w:r>
        <w:rPr>
          <w:rFonts w:hint="eastAsia" w:ascii="宋体" w:hAnsi="宋体" w:cs="宋体"/>
          <w:sz w:val="24"/>
          <w:szCs w:val="24"/>
        </w:rPr>
        <w:t>出让收益进行评估。本评估机构评估人员按照必要的评估程序对委托评估的采矿权收集资料和评定估算，对委托评估的采矿权出让收益在评估基准日</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31</w:t>
      </w:r>
      <w:r>
        <w:rPr>
          <w:rFonts w:hint="eastAsia" w:ascii="宋体" w:hAnsi="宋体" w:cs="宋体"/>
          <w:sz w:val="24"/>
          <w:szCs w:val="24"/>
        </w:rPr>
        <w:t>日的价值运用公允的方法作出反映。</w:t>
      </w:r>
    </w:p>
    <w:p>
      <w:pPr>
        <w:tabs>
          <w:tab w:val="right" w:leader="dot" w:pos="9179"/>
        </w:tabs>
        <w:spacing w:line="360" w:lineRule="auto"/>
        <w:ind w:left="420" w:leftChars="200" w:firstLine="480" w:firstLineChars="200"/>
        <w:rPr>
          <w:rFonts w:ascii="宋体" w:cs="Times New Roman"/>
          <w:sz w:val="24"/>
          <w:szCs w:val="24"/>
        </w:rPr>
      </w:pPr>
      <w:r>
        <w:rPr>
          <w:rFonts w:hint="eastAsia" w:ascii="宋体" w:hAnsi="宋体" w:cs="宋体"/>
          <w:sz w:val="24"/>
          <w:szCs w:val="24"/>
        </w:rPr>
        <w:t>谨将采矿权出让收益评估情况及评估结论报告如下：</w:t>
      </w:r>
    </w:p>
    <w:p>
      <w:pPr>
        <w:tabs>
          <w:tab w:val="right" w:leader="dot" w:pos="9179"/>
        </w:tabs>
        <w:spacing w:line="360" w:lineRule="auto"/>
        <w:ind w:left="420" w:leftChars="200" w:firstLine="480" w:firstLineChars="200"/>
        <w:jc w:val="left"/>
        <w:rPr>
          <w:rFonts w:ascii="宋体" w:cs="Times New Roman"/>
          <w:sz w:val="24"/>
          <w:szCs w:val="24"/>
        </w:rPr>
      </w:pPr>
    </w:p>
    <w:p>
      <w:pPr>
        <w:spacing w:line="360" w:lineRule="auto"/>
        <w:ind w:left="420" w:leftChars="200" w:firstLine="482" w:firstLineChars="200"/>
        <w:jc w:val="center"/>
        <w:outlineLvl w:val="0"/>
        <w:rPr>
          <w:rFonts w:ascii="宋体" w:cs="Times New Roman"/>
          <w:b/>
          <w:bCs/>
          <w:sz w:val="24"/>
          <w:szCs w:val="24"/>
        </w:rPr>
      </w:pPr>
      <w:bookmarkStart w:id="24" w:name="_Toc522712192"/>
      <w:bookmarkStart w:id="25" w:name="_Toc7398"/>
      <w:bookmarkStart w:id="26" w:name="_Toc515199689"/>
      <w:r>
        <w:rPr>
          <w:rFonts w:hint="eastAsia" w:ascii="宋体" w:hAnsi="宋体" w:cs="宋体"/>
          <w:b/>
          <w:bCs/>
          <w:sz w:val="24"/>
          <w:szCs w:val="24"/>
        </w:rPr>
        <w:t>一、评估机构</w:t>
      </w:r>
      <w:bookmarkEnd w:id="24"/>
      <w:bookmarkEnd w:id="25"/>
      <w:bookmarkEnd w:id="26"/>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机构全称：北京国融兴华资产评估有限责任公司</w:t>
      </w:r>
    </w:p>
    <w:p>
      <w:pPr>
        <w:tabs>
          <w:tab w:val="left" w:pos="6135"/>
        </w:tabs>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注册地址：北京市西城区裕民路</w:t>
      </w:r>
      <w:r>
        <w:rPr>
          <w:rFonts w:ascii="宋体" w:hAnsi="宋体" w:cs="宋体"/>
          <w:color w:val="000000"/>
          <w:sz w:val="24"/>
          <w:szCs w:val="24"/>
        </w:rPr>
        <w:t>18</w:t>
      </w:r>
      <w:r>
        <w:rPr>
          <w:rFonts w:hint="eastAsia" w:ascii="宋体" w:hAnsi="宋体" w:cs="宋体"/>
          <w:color w:val="000000"/>
          <w:sz w:val="24"/>
          <w:szCs w:val="24"/>
        </w:rPr>
        <w:t>号</w:t>
      </w:r>
      <w:r>
        <w:rPr>
          <w:rFonts w:ascii="宋体" w:hAnsi="宋体" w:cs="宋体"/>
          <w:color w:val="000000"/>
          <w:sz w:val="24"/>
          <w:szCs w:val="24"/>
        </w:rPr>
        <w:t>23</w:t>
      </w:r>
      <w:r>
        <w:rPr>
          <w:rFonts w:hint="eastAsia" w:ascii="宋体" w:hAnsi="宋体" w:cs="宋体"/>
          <w:color w:val="000000"/>
          <w:sz w:val="24"/>
          <w:szCs w:val="24"/>
        </w:rPr>
        <w:t>层</w:t>
      </w:r>
      <w:r>
        <w:rPr>
          <w:rFonts w:ascii="宋体" w:hAnsi="宋体" w:cs="宋体"/>
          <w:color w:val="000000"/>
          <w:sz w:val="24"/>
          <w:szCs w:val="24"/>
        </w:rPr>
        <w:t>2507</w:t>
      </w:r>
      <w:r>
        <w:rPr>
          <w:rFonts w:hint="eastAsia" w:ascii="宋体" w:hAnsi="宋体" w:cs="宋体"/>
          <w:color w:val="000000"/>
          <w:sz w:val="24"/>
          <w:szCs w:val="24"/>
        </w:rPr>
        <w:t>室</w:t>
      </w:r>
    </w:p>
    <w:p>
      <w:pPr>
        <w:tabs>
          <w:tab w:val="left" w:pos="6135"/>
        </w:tabs>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法定代表人：赵向阳</w:t>
      </w:r>
    </w:p>
    <w:p>
      <w:pPr>
        <w:tabs>
          <w:tab w:val="left" w:pos="6135"/>
        </w:tabs>
        <w:spacing w:line="360" w:lineRule="auto"/>
        <w:ind w:left="420" w:leftChars="200" w:firstLine="480" w:firstLineChars="200"/>
        <w:rPr>
          <w:rFonts w:ascii="宋体" w:hAnsi="宋体" w:cs="宋体"/>
          <w:color w:val="000000"/>
          <w:sz w:val="24"/>
          <w:szCs w:val="24"/>
        </w:rPr>
      </w:pPr>
      <w:r>
        <w:rPr>
          <w:rFonts w:hint="eastAsia" w:ascii="宋体" w:hAnsi="宋体" w:cs="宋体"/>
          <w:color w:val="000000"/>
          <w:sz w:val="24"/>
          <w:szCs w:val="24"/>
        </w:rPr>
        <w:t>统一社会信用代码：</w:t>
      </w:r>
      <w:r>
        <w:rPr>
          <w:rFonts w:ascii="宋体" w:hAnsi="宋体" w:cs="宋体"/>
          <w:color w:val="000000"/>
          <w:sz w:val="24"/>
          <w:szCs w:val="24"/>
        </w:rPr>
        <w:t>91110102718715937D</w:t>
      </w:r>
    </w:p>
    <w:p>
      <w:pPr>
        <w:tabs>
          <w:tab w:val="left" w:pos="6135"/>
        </w:tabs>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探矿权采矿权评估资格证书编号：矿权评资</w:t>
      </w:r>
      <w:r>
        <w:rPr>
          <w:rFonts w:ascii="宋体" w:hAnsi="宋体" w:cs="宋体"/>
          <w:color w:val="000000"/>
          <w:sz w:val="24"/>
          <w:szCs w:val="24"/>
        </w:rPr>
        <w:t>[2012]009</w:t>
      </w:r>
      <w:r>
        <w:rPr>
          <w:rFonts w:hint="eastAsia" w:ascii="宋体" w:hAnsi="宋体" w:cs="宋体"/>
          <w:color w:val="000000"/>
          <w:sz w:val="24"/>
          <w:szCs w:val="24"/>
        </w:rPr>
        <w:t>号</w:t>
      </w:r>
    </w:p>
    <w:p>
      <w:pPr>
        <w:spacing w:line="360" w:lineRule="auto"/>
        <w:ind w:left="420" w:leftChars="200" w:firstLine="480" w:firstLineChars="200"/>
        <w:rPr>
          <w:rFonts w:ascii="宋体" w:cs="Times New Roman"/>
          <w:color w:val="000000"/>
          <w:sz w:val="24"/>
          <w:szCs w:val="24"/>
        </w:rPr>
      </w:pPr>
      <w:bookmarkStart w:id="27" w:name="_Toc361838456"/>
      <w:bookmarkStart w:id="28" w:name="_Toc362529651"/>
      <w:bookmarkStart w:id="29" w:name="_Toc364775793"/>
      <w:bookmarkStart w:id="30" w:name="_Toc32405"/>
      <w:bookmarkStart w:id="31" w:name="_Toc19000"/>
      <w:bookmarkStart w:id="32" w:name="_Toc362963061"/>
    </w:p>
    <w:p>
      <w:pPr>
        <w:spacing w:line="360" w:lineRule="auto"/>
        <w:ind w:left="420" w:leftChars="200" w:firstLine="482" w:firstLineChars="200"/>
        <w:jc w:val="center"/>
        <w:outlineLvl w:val="0"/>
        <w:rPr>
          <w:rFonts w:ascii="宋体" w:cs="Times New Roman"/>
          <w:b/>
          <w:bCs/>
          <w:sz w:val="24"/>
          <w:szCs w:val="24"/>
        </w:rPr>
      </w:pPr>
      <w:bookmarkStart w:id="33" w:name="_Toc515199690"/>
      <w:bookmarkStart w:id="34" w:name="_Toc522712193"/>
      <w:r>
        <w:rPr>
          <w:rFonts w:hint="eastAsia" w:ascii="宋体" w:hAnsi="宋体" w:cs="宋体"/>
          <w:b/>
          <w:bCs/>
          <w:sz w:val="24"/>
          <w:szCs w:val="24"/>
        </w:rPr>
        <w:t>二、评估委托</w:t>
      </w:r>
      <w:bookmarkEnd w:id="27"/>
      <w:bookmarkEnd w:id="28"/>
      <w:bookmarkEnd w:id="29"/>
      <w:bookmarkEnd w:id="30"/>
      <w:bookmarkEnd w:id="31"/>
      <w:bookmarkEnd w:id="32"/>
      <w:r>
        <w:rPr>
          <w:rFonts w:hint="eastAsia" w:ascii="宋体" w:hAnsi="宋体" w:cs="宋体"/>
          <w:b/>
          <w:bCs/>
          <w:sz w:val="24"/>
          <w:szCs w:val="24"/>
        </w:rPr>
        <w:t>人</w:t>
      </w:r>
      <w:bookmarkEnd w:id="33"/>
      <w:bookmarkEnd w:id="34"/>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评估委托人：遂溪县国土资源局</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2018</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w:t>
      </w:r>
      <w:r>
        <w:rPr>
          <w:rFonts w:ascii="宋体" w:hAnsi="宋体" w:cs="宋体"/>
          <w:color w:val="000000"/>
          <w:sz w:val="24"/>
          <w:szCs w:val="24"/>
        </w:rPr>
        <w:t>6</w:t>
      </w:r>
      <w:r>
        <w:rPr>
          <w:rFonts w:hint="eastAsia" w:ascii="宋体" w:hAnsi="宋体" w:cs="宋体"/>
          <w:color w:val="000000"/>
          <w:sz w:val="24"/>
          <w:szCs w:val="24"/>
        </w:rPr>
        <w:t>日遂溪县国土资源局出具《评估委托书》及</w:t>
      </w:r>
      <w:r>
        <w:rPr>
          <w:rFonts w:ascii="宋体" w:hAnsi="宋体" w:cs="宋体"/>
          <w:color w:val="000000"/>
          <w:sz w:val="24"/>
          <w:szCs w:val="24"/>
        </w:rPr>
        <w:t>2018</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月遂溪县国土资源局出具《矿业权出让收益评估合同书》，委托我公司按照有关规定对广东省湛江市遂溪县遂城镇洪家村矿区建筑用玄武岩矿采矿权出让收益进行评估。</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2" w:firstLineChars="200"/>
        <w:jc w:val="center"/>
        <w:outlineLvl w:val="0"/>
        <w:rPr>
          <w:rFonts w:ascii="宋体" w:cs="Times New Roman"/>
          <w:b/>
          <w:bCs/>
          <w:sz w:val="24"/>
          <w:szCs w:val="24"/>
        </w:rPr>
      </w:pPr>
      <w:bookmarkStart w:id="35" w:name="_Toc522712194"/>
      <w:bookmarkStart w:id="36" w:name="_Toc515199691"/>
      <w:r>
        <w:rPr>
          <w:rFonts w:hint="eastAsia" w:ascii="宋体" w:hAnsi="宋体" w:cs="宋体"/>
          <w:b/>
          <w:bCs/>
          <w:sz w:val="24"/>
          <w:szCs w:val="24"/>
        </w:rPr>
        <w:t>三、采矿权人</w:t>
      </w:r>
      <w:bookmarkEnd w:id="35"/>
      <w:bookmarkEnd w:id="36"/>
    </w:p>
    <w:p>
      <w:pPr>
        <w:spacing w:line="360" w:lineRule="auto"/>
        <w:ind w:left="420" w:leftChars="200" w:firstLine="480" w:firstLineChars="200"/>
        <w:rPr>
          <w:rFonts w:ascii="宋体" w:cs="Times New Roman"/>
          <w:color w:val="000000"/>
          <w:sz w:val="24"/>
          <w:szCs w:val="24"/>
        </w:rPr>
      </w:pPr>
      <w:bookmarkStart w:id="37" w:name="_Toc362529652"/>
      <w:bookmarkStart w:id="38" w:name="_Toc4834"/>
      <w:bookmarkStart w:id="39" w:name="_Toc362963062"/>
      <w:bookmarkStart w:id="40" w:name="_Toc364775794"/>
      <w:bookmarkStart w:id="41" w:name="_Toc361838457"/>
      <w:bookmarkStart w:id="42" w:name="_Toc14389"/>
      <w:r>
        <w:rPr>
          <w:rFonts w:hint="eastAsia" w:ascii="宋体" w:hAnsi="宋体" w:cs="宋体"/>
          <w:color w:val="000000"/>
          <w:sz w:val="24"/>
          <w:szCs w:val="24"/>
        </w:rPr>
        <w:t>拟出让采矿权，暂无采矿权人。</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2" w:firstLineChars="200"/>
        <w:jc w:val="center"/>
        <w:outlineLvl w:val="0"/>
        <w:rPr>
          <w:rFonts w:ascii="宋体" w:cs="Times New Roman"/>
          <w:b/>
          <w:bCs/>
          <w:sz w:val="24"/>
          <w:szCs w:val="24"/>
        </w:rPr>
      </w:pPr>
      <w:bookmarkStart w:id="43" w:name="_Toc515199692"/>
      <w:bookmarkStart w:id="44" w:name="_Toc522712195"/>
      <w:r>
        <w:rPr>
          <w:rFonts w:hint="eastAsia" w:ascii="宋体" w:hAnsi="宋体" w:cs="宋体"/>
          <w:b/>
          <w:bCs/>
          <w:sz w:val="24"/>
          <w:szCs w:val="24"/>
        </w:rPr>
        <w:t>四、评估目的</w:t>
      </w:r>
      <w:bookmarkEnd w:id="37"/>
      <w:bookmarkEnd w:id="38"/>
      <w:bookmarkEnd w:id="39"/>
      <w:bookmarkEnd w:id="40"/>
      <w:bookmarkEnd w:id="41"/>
      <w:bookmarkEnd w:id="42"/>
      <w:bookmarkEnd w:id="43"/>
      <w:bookmarkEnd w:id="44"/>
    </w:p>
    <w:p>
      <w:pPr>
        <w:spacing w:line="360" w:lineRule="auto"/>
        <w:ind w:left="420" w:leftChars="200" w:firstLine="480" w:firstLineChars="200"/>
        <w:rPr>
          <w:rFonts w:ascii="宋体" w:cs="Times New Roman"/>
          <w:sz w:val="24"/>
          <w:szCs w:val="24"/>
        </w:rPr>
      </w:pPr>
      <w:bookmarkStart w:id="45" w:name="_Toc5798"/>
      <w:bookmarkStart w:id="46" w:name="_Toc364775795"/>
      <w:bookmarkStart w:id="47" w:name="_Toc20083"/>
      <w:bookmarkStart w:id="48" w:name="_Toc362963063"/>
      <w:bookmarkStart w:id="49" w:name="_Toc362529653"/>
      <w:bookmarkStart w:id="50" w:name="_Toc361838458"/>
      <w:r>
        <w:rPr>
          <w:rFonts w:hint="eastAsia" w:ascii="宋体" w:hAnsi="宋体" w:cs="宋体"/>
          <w:sz w:val="24"/>
          <w:szCs w:val="24"/>
        </w:rPr>
        <w:t>遂溪县国土资源局拟出让广东省湛江市遂溪县遂城镇洪家村矿区建筑用玄武岩矿采矿权，根据国家相关法律法规，需确定该采矿权出让收益，本次评估即是为实现上述目的，向委托人提供在本评估报告所述的各种条件下和评估基准日时点“广东省湛江市遂溪县遂城镇洪家村矿区建筑用玄武岩矿采矿权出让收益”的价值参考意见。</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2" w:firstLineChars="200"/>
        <w:jc w:val="center"/>
        <w:outlineLvl w:val="0"/>
        <w:rPr>
          <w:rFonts w:ascii="宋体" w:cs="Times New Roman"/>
          <w:b/>
          <w:bCs/>
          <w:sz w:val="24"/>
          <w:szCs w:val="24"/>
        </w:rPr>
      </w:pPr>
      <w:bookmarkStart w:id="51" w:name="_Toc515199693"/>
      <w:bookmarkStart w:id="52" w:name="_Toc522712196"/>
      <w:r>
        <w:rPr>
          <w:rFonts w:hint="eastAsia" w:ascii="宋体" w:hAnsi="宋体" w:cs="宋体"/>
          <w:b/>
          <w:bCs/>
          <w:sz w:val="24"/>
          <w:szCs w:val="24"/>
        </w:rPr>
        <w:t>五、评估对象与评估范围</w:t>
      </w:r>
      <w:bookmarkEnd w:id="45"/>
      <w:bookmarkEnd w:id="46"/>
      <w:bookmarkEnd w:id="47"/>
      <w:bookmarkEnd w:id="48"/>
      <w:bookmarkEnd w:id="49"/>
      <w:bookmarkEnd w:id="50"/>
      <w:bookmarkEnd w:id="51"/>
      <w:bookmarkEnd w:id="52"/>
    </w:p>
    <w:p>
      <w:pPr>
        <w:pStyle w:val="5"/>
        <w:spacing w:before="0" w:after="0" w:line="360" w:lineRule="auto"/>
        <w:ind w:left="420" w:leftChars="200" w:firstLine="482" w:firstLineChars="200"/>
        <w:rPr>
          <w:rFonts w:ascii="宋体" w:hAnsi="宋体" w:eastAsia="宋体" w:cs="Times New Roman"/>
        </w:rPr>
      </w:pPr>
      <w:bookmarkStart w:id="53" w:name="_Toc364775796"/>
      <w:bookmarkStart w:id="54" w:name="_Toc19557"/>
      <w:bookmarkStart w:id="55" w:name="_Toc361838459"/>
      <w:r>
        <w:rPr>
          <w:rFonts w:hint="eastAsia" w:ascii="宋体" w:hAnsi="宋体" w:eastAsia="宋体" w:cs="宋体"/>
        </w:rPr>
        <w:t>（一）评估对象</w:t>
      </w:r>
      <w:bookmarkEnd w:id="53"/>
      <w:bookmarkEnd w:id="54"/>
      <w:bookmarkEnd w:id="55"/>
    </w:p>
    <w:p>
      <w:pPr>
        <w:snapToGrid w:val="0"/>
        <w:spacing w:line="360" w:lineRule="auto"/>
        <w:ind w:left="420" w:leftChars="200" w:firstLine="480" w:firstLineChars="200"/>
        <w:rPr>
          <w:rFonts w:ascii="宋体" w:cs="Times New Roman"/>
          <w:sz w:val="24"/>
          <w:szCs w:val="24"/>
        </w:rPr>
      </w:pPr>
      <w:r>
        <w:rPr>
          <w:rFonts w:hint="eastAsia" w:ascii="宋体" w:hAnsi="宋体" w:cs="宋体"/>
          <w:sz w:val="24"/>
          <w:szCs w:val="24"/>
        </w:rPr>
        <w:t>根据</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月遂溪县国土资源局出具的《矿业权出让收益评估合同书》，本次评估对象为“广东省湛江市遂溪县遂城镇洪家村矿区建筑用玄武岩矿采矿权”。</w:t>
      </w:r>
    </w:p>
    <w:p>
      <w:pPr>
        <w:pStyle w:val="5"/>
        <w:spacing w:before="0" w:after="0" w:line="360" w:lineRule="auto"/>
        <w:ind w:left="420" w:leftChars="200" w:firstLine="482" w:firstLineChars="200"/>
        <w:rPr>
          <w:rFonts w:ascii="宋体" w:hAnsi="宋体" w:eastAsia="宋体" w:cs="Times New Roman"/>
        </w:rPr>
      </w:pPr>
      <w:bookmarkStart w:id="56" w:name="_Toc364775797"/>
      <w:bookmarkStart w:id="57" w:name="_Toc29386"/>
      <w:r>
        <w:rPr>
          <w:rFonts w:hint="eastAsia" w:ascii="宋体" w:hAnsi="宋体" w:eastAsia="宋体" w:cs="宋体"/>
        </w:rPr>
        <w:t>（二）评估范围</w:t>
      </w:r>
      <w:bookmarkEnd w:id="56"/>
      <w:bookmarkEnd w:id="57"/>
    </w:p>
    <w:p>
      <w:pPr>
        <w:spacing w:line="360" w:lineRule="auto"/>
        <w:ind w:left="420" w:leftChars="200" w:firstLine="480" w:firstLineChars="200"/>
        <w:rPr>
          <w:rFonts w:ascii="宋体" w:cs="宋体"/>
          <w:sz w:val="24"/>
          <w:szCs w:val="24"/>
        </w:rPr>
      </w:pP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月，遂溪县国土资源局出具了《矿业权出让收益评估合同书》，矿区范围由</w:t>
      </w:r>
      <w:r>
        <w:rPr>
          <w:rFonts w:ascii="宋体" w:hAnsi="宋体" w:cs="宋体"/>
          <w:sz w:val="24"/>
          <w:szCs w:val="24"/>
        </w:rPr>
        <w:t>8</w:t>
      </w:r>
      <w:r>
        <w:rPr>
          <w:rFonts w:hint="eastAsia" w:ascii="宋体" w:hAnsi="宋体" w:cs="宋体"/>
          <w:sz w:val="24"/>
          <w:szCs w:val="24"/>
        </w:rPr>
        <w:t>个拐点圈定，面积</w:t>
      </w:r>
      <w:r>
        <w:rPr>
          <w:rFonts w:ascii="宋体" w:hAnsi="宋体" w:cs="宋体"/>
          <w:sz w:val="24"/>
          <w:szCs w:val="24"/>
        </w:rPr>
        <w:t>0.0825</w:t>
      </w:r>
      <w:r>
        <w:rPr>
          <w:rFonts w:hint="eastAsia" w:ascii="宋体" w:hAnsi="宋体" w:cs="宋体"/>
          <w:sz w:val="24"/>
          <w:szCs w:val="24"/>
        </w:rPr>
        <w:t>平方公里，开采深度：</w:t>
      </w:r>
      <w:r>
        <w:rPr>
          <w:rFonts w:ascii="宋体" w:hAnsi="宋体" w:cs="宋体"/>
          <w:sz w:val="24"/>
          <w:szCs w:val="24"/>
        </w:rPr>
        <w:t>+62</w:t>
      </w:r>
      <w:r>
        <w:rPr>
          <w:rFonts w:hint="eastAsia" w:ascii="宋体" w:hAnsi="宋体" w:cs="宋体"/>
          <w:sz w:val="24"/>
          <w:szCs w:val="24"/>
        </w:rPr>
        <w:t>～</w:t>
      </w:r>
      <w:r>
        <w:rPr>
          <w:rFonts w:ascii="宋体" w:hAnsi="宋体" w:cs="宋体"/>
          <w:sz w:val="24"/>
          <w:szCs w:val="24"/>
        </w:rPr>
        <w:t>+35</w:t>
      </w:r>
      <w:r>
        <w:rPr>
          <w:rFonts w:hint="eastAsia" w:ascii="宋体" w:hAnsi="宋体" w:cs="宋体"/>
          <w:sz w:val="24"/>
          <w:szCs w:val="24"/>
        </w:rPr>
        <w:t>米标高。矿区范围拐点坐标见表</w:t>
      </w:r>
      <w:r>
        <w:rPr>
          <w:rFonts w:ascii="宋体" w:hAnsi="宋体" w:cs="宋体"/>
          <w:sz w:val="24"/>
          <w:szCs w:val="24"/>
        </w:rPr>
        <w:t>5-1</w:t>
      </w:r>
      <w:r>
        <w:rPr>
          <w:rFonts w:hint="eastAsia" w:ascii="宋体" w:hAnsi="宋体" w:cs="宋体"/>
          <w:sz w:val="24"/>
          <w:szCs w:val="24"/>
        </w:rPr>
        <w:t>。</w:t>
      </w:r>
    </w:p>
    <w:p>
      <w:pPr>
        <w:snapToGrid w:val="0"/>
        <w:spacing w:afterLines="50" w:line="440" w:lineRule="exact"/>
        <w:ind w:left="420" w:leftChars="200" w:firstLine="420" w:firstLineChars="200"/>
        <w:jc w:val="center"/>
        <w:rPr>
          <w:rFonts w:ascii="宋体" w:cs="宋体"/>
        </w:rPr>
      </w:pPr>
      <w:r>
        <w:rPr>
          <w:rFonts w:hint="eastAsia" w:ascii="宋体" w:hAnsi="宋体" w:cs="宋体"/>
        </w:rPr>
        <w:t>表</w:t>
      </w:r>
      <w:r>
        <w:rPr>
          <w:rFonts w:ascii="宋体" w:hAnsi="宋体" w:cs="宋体"/>
        </w:rPr>
        <w:t xml:space="preserve">5-1  </w:t>
      </w:r>
      <w:r>
        <w:rPr>
          <w:rFonts w:hint="eastAsia" w:ascii="宋体" w:hAnsi="宋体" w:cs="宋体"/>
        </w:rPr>
        <w:t>矿区范围拐点坐标（</w:t>
      </w:r>
      <w:r>
        <w:rPr>
          <w:rFonts w:ascii="宋体" w:hAnsi="宋体" w:cs="宋体"/>
        </w:rPr>
        <w:t>1980</w:t>
      </w:r>
      <w:r>
        <w:rPr>
          <w:rFonts w:hint="eastAsia" w:ascii="宋体" w:hAnsi="宋体" w:cs="宋体"/>
        </w:rPr>
        <w:t>西安坐标）</w:t>
      </w:r>
    </w:p>
    <w:tbl>
      <w:tblPr>
        <w:tblStyle w:val="34"/>
        <w:tblW w:w="5000" w:type="pct"/>
        <w:jc w:val="center"/>
        <w:tblLayout w:type="autofit"/>
        <w:tblCellMar>
          <w:top w:w="0" w:type="dxa"/>
          <w:left w:w="108" w:type="dxa"/>
          <w:bottom w:w="0" w:type="dxa"/>
          <w:right w:w="108" w:type="dxa"/>
        </w:tblCellMar>
      </w:tblPr>
      <w:tblGrid>
        <w:gridCol w:w="1745"/>
        <w:gridCol w:w="3388"/>
        <w:gridCol w:w="3389"/>
      </w:tblGrid>
      <w:tr>
        <w:tblPrEx>
          <w:tblCellMar>
            <w:top w:w="0" w:type="dxa"/>
            <w:left w:w="108" w:type="dxa"/>
            <w:bottom w:w="0" w:type="dxa"/>
            <w:right w:w="108" w:type="dxa"/>
          </w:tblCellMar>
        </w:tblPrEx>
        <w:trPr>
          <w:trHeight w:val="498" w:hRule="atLeast"/>
          <w:jc w:val="center"/>
        </w:trPr>
        <w:tc>
          <w:tcPr>
            <w:tcW w:w="102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rPr>
            </w:pPr>
            <w:r>
              <w:rPr>
                <w:rFonts w:hint="eastAsia" w:ascii="宋体" w:hAnsi="宋体" w:cs="宋体"/>
              </w:rPr>
              <w:t>拐点号</w:t>
            </w:r>
          </w:p>
        </w:tc>
        <w:tc>
          <w:tcPr>
            <w:tcW w:w="1988" w:type="pct"/>
            <w:tcBorders>
              <w:top w:val="single" w:color="auto" w:sz="4" w:space="0"/>
              <w:left w:val="nil"/>
              <w:bottom w:val="single" w:color="auto" w:sz="4" w:space="0"/>
              <w:right w:val="single" w:color="auto" w:sz="4" w:space="0"/>
            </w:tcBorders>
            <w:vAlign w:val="center"/>
          </w:tcPr>
          <w:p>
            <w:pPr>
              <w:jc w:val="center"/>
              <w:rPr>
                <w:rFonts w:ascii="宋体" w:cs="宋体"/>
              </w:rPr>
            </w:pPr>
            <w:r>
              <w:rPr>
                <w:rFonts w:hint="eastAsia" w:ascii="宋体" w:hAnsi="宋体" w:cs="宋体"/>
              </w:rPr>
              <w:t>（</w:t>
            </w:r>
            <w:r>
              <w:rPr>
                <w:rFonts w:ascii="宋体" w:hAnsi="宋体" w:cs="宋体"/>
              </w:rPr>
              <w:t>X</w:t>
            </w:r>
            <w:r>
              <w:rPr>
                <w:rFonts w:hint="eastAsia" w:ascii="宋体" w:hAnsi="宋体" w:cs="宋体"/>
              </w:rPr>
              <w:t>）坐标</w:t>
            </w:r>
          </w:p>
        </w:tc>
        <w:tc>
          <w:tcPr>
            <w:tcW w:w="1988" w:type="pct"/>
            <w:tcBorders>
              <w:top w:val="single" w:color="auto" w:sz="4" w:space="0"/>
              <w:left w:val="nil"/>
              <w:bottom w:val="single" w:color="auto" w:sz="4" w:space="0"/>
              <w:right w:val="single" w:color="auto" w:sz="4" w:space="0"/>
            </w:tcBorders>
            <w:vAlign w:val="center"/>
          </w:tcPr>
          <w:p>
            <w:pPr>
              <w:jc w:val="center"/>
              <w:rPr>
                <w:rFonts w:ascii="宋体" w:cs="宋体"/>
              </w:rPr>
            </w:pPr>
            <w:r>
              <w:rPr>
                <w:rFonts w:hint="eastAsia" w:ascii="宋体" w:hAnsi="宋体" w:cs="宋体"/>
              </w:rPr>
              <w:t>（</w:t>
            </w:r>
            <w:r>
              <w:rPr>
                <w:rFonts w:ascii="宋体" w:hAnsi="宋体" w:cs="宋体"/>
              </w:rPr>
              <w:t>Y</w:t>
            </w:r>
            <w:r>
              <w:rPr>
                <w:rFonts w:hint="eastAsia" w:ascii="宋体" w:hAnsi="宋体" w:cs="宋体"/>
              </w:rPr>
              <w:t>）坐标</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rPr>
            </w:pPr>
            <w:r>
              <w:rPr>
                <w:rFonts w:ascii="宋体" w:hAnsi="宋体" w:cs="宋体"/>
              </w:rPr>
              <w:t>1</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2359576.26</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37414962.09</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rPr>
            </w:pPr>
            <w:r>
              <w:rPr>
                <w:rFonts w:ascii="宋体" w:hAnsi="宋体" w:cs="宋体"/>
              </w:rPr>
              <w:t>2</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2359628.73</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37415161.32</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rPr>
            </w:pPr>
            <w:r>
              <w:rPr>
                <w:rFonts w:ascii="宋体" w:hAnsi="宋体" w:cs="宋体"/>
              </w:rPr>
              <w:t>3</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2359528.19</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37415281.13</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rPr>
            </w:pPr>
            <w:r>
              <w:rPr>
                <w:rFonts w:ascii="宋体" w:hAnsi="宋体" w:cs="宋体"/>
              </w:rPr>
              <w:t>4</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2359326.07</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37415082.79</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rPr>
            </w:pPr>
            <w:r>
              <w:rPr>
                <w:rFonts w:ascii="宋体" w:hAnsi="宋体" w:cs="宋体"/>
              </w:rPr>
              <w:t>5</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2359287.76</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37414986.91</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rPr>
            </w:pPr>
            <w:r>
              <w:rPr>
                <w:rFonts w:ascii="宋体" w:hAnsi="宋体" w:cs="宋体"/>
              </w:rPr>
              <w:t>6</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2359293.11</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37414871.56</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rPr>
            </w:pPr>
            <w:r>
              <w:rPr>
                <w:rFonts w:ascii="宋体" w:hAnsi="宋体" w:cs="宋体"/>
              </w:rPr>
              <w:t>7</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2359461.09</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37414881.39</w:t>
            </w:r>
          </w:p>
        </w:tc>
      </w:tr>
      <w:tr>
        <w:tblPrEx>
          <w:tblCellMar>
            <w:top w:w="0" w:type="dxa"/>
            <w:left w:w="108" w:type="dxa"/>
            <w:bottom w:w="0" w:type="dxa"/>
            <w:right w:w="108" w:type="dxa"/>
          </w:tblCellMar>
        </w:tblPrEx>
        <w:trPr>
          <w:trHeight w:val="356" w:hRule="exact"/>
          <w:jc w:val="center"/>
        </w:trPr>
        <w:tc>
          <w:tcPr>
            <w:tcW w:w="102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rPr>
            </w:pPr>
            <w:r>
              <w:rPr>
                <w:rFonts w:ascii="宋体" w:hAnsi="宋体" w:cs="宋体"/>
              </w:rPr>
              <w:t>8</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2359452.17</w:t>
            </w:r>
          </w:p>
        </w:tc>
        <w:tc>
          <w:tcPr>
            <w:tcW w:w="19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rPr>
            </w:pPr>
            <w:r>
              <w:rPr>
                <w:rFonts w:ascii="宋体" w:hAnsi="宋体" w:cs="宋体"/>
              </w:rPr>
              <w:t>37414957.76</w:t>
            </w:r>
          </w:p>
        </w:tc>
      </w:tr>
    </w:tbl>
    <w:p>
      <w:pPr>
        <w:snapToGrid w:val="0"/>
        <w:spacing w:line="360" w:lineRule="auto"/>
        <w:ind w:left="420" w:leftChars="200"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、资源储量估算范围：根据</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月广东省地球物理探矿大队编制的《广东省遂溪县遂城镇洪家村矿区建筑用玄武岩矿详查报告》，资源储量估算范围与《矿业权出让收益评估合同书》一致。</w:t>
      </w:r>
    </w:p>
    <w:p>
      <w:pPr>
        <w:snapToGrid w:val="0"/>
        <w:spacing w:line="360" w:lineRule="auto"/>
        <w:ind w:left="420" w:leftChars="200"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、设计范围：根据</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月广东省地质物探工程勘察院编制的《广东省遂溪县遂城镇洪家村矿区建筑用玄武岩矿矿产资源开发利用方案》，开发利用方案设计范围与《矿业权出让收益评估合同书》范围一致。</w:t>
      </w:r>
    </w:p>
    <w:p>
      <w:pPr>
        <w:snapToGrid w:val="0"/>
        <w:spacing w:line="360" w:lineRule="auto"/>
        <w:ind w:left="420" w:leftChars="200" w:firstLine="480" w:firstLineChars="200"/>
        <w:rPr>
          <w:rFonts w:ascii="宋体" w:cs="宋体"/>
          <w:sz w:val="24"/>
          <w:szCs w:val="24"/>
        </w:rPr>
      </w:pPr>
      <w:r>
        <w:rPr>
          <w:rFonts w:hint="eastAsia" w:ascii="宋体" w:hAnsi="宋体" w:cs="宋体"/>
          <w:sz w:val="24"/>
          <w:szCs w:val="24"/>
        </w:rPr>
        <w:t>综上所述，本次评估确定评估范围为</w:t>
      </w:r>
      <w:r>
        <w:rPr>
          <w:rFonts w:ascii="宋体" w:hAnsi="宋体" w:cs="宋体"/>
          <w:sz w:val="24"/>
          <w:szCs w:val="24"/>
        </w:rPr>
        <w:t>0.0825</w:t>
      </w:r>
      <w:r>
        <w:rPr>
          <w:rFonts w:hint="eastAsia" w:ascii="宋体" w:hAnsi="宋体" w:cs="宋体"/>
          <w:sz w:val="24"/>
          <w:szCs w:val="24"/>
        </w:rPr>
        <w:t>平方公里，开采深度为</w:t>
      </w:r>
      <w:r>
        <w:rPr>
          <w:rFonts w:ascii="宋体" w:hAnsi="宋体" w:cs="宋体"/>
          <w:sz w:val="24"/>
          <w:szCs w:val="24"/>
        </w:rPr>
        <w:t>+62</w:t>
      </w:r>
      <w:r>
        <w:rPr>
          <w:rFonts w:hint="eastAsia" w:ascii="宋体" w:hAnsi="宋体" w:cs="宋体"/>
          <w:sz w:val="24"/>
          <w:szCs w:val="24"/>
        </w:rPr>
        <w:t>～</w:t>
      </w:r>
      <w:r>
        <w:rPr>
          <w:rFonts w:ascii="宋体" w:hAnsi="宋体" w:cs="宋体"/>
          <w:sz w:val="24"/>
          <w:szCs w:val="24"/>
        </w:rPr>
        <w:t>+35</w:t>
      </w:r>
      <w:r>
        <w:rPr>
          <w:rFonts w:hint="eastAsia" w:ascii="宋体" w:hAnsi="宋体" w:cs="宋体"/>
          <w:sz w:val="24"/>
          <w:szCs w:val="24"/>
        </w:rPr>
        <w:t>米标高。</w:t>
      </w:r>
    </w:p>
    <w:p>
      <w:pPr>
        <w:snapToGrid w:val="0"/>
        <w:spacing w:line="360" w:lineRule="auto"/>
        <w:ind w:left="420" w:leftChars="200" w:firstLine="480" w:firstLineChars="200"/>
        <w:rPr>
          <w:rFonts w:ascii="宋体" w:cs="宋体"/>
          <w:sz w:val="24"/>
          <w:szCs w:val="24"/>
        </w:rPr>
      </w:pPr>
      <w:r>
        <w:rPr>
          <w:rFonts w:hint="eastAsia" w:ascii="宋体" w:hAnsi="宋体" w:cs="宋体"/>
          <w:sz w:val="24"/>
          <w:szCs w:val="24"/>
        </w:rPr>
        <w:t>根据现场考察及询证，该采矿权为新设采矿权，本次评估范围内无其它矿业活动，也不存在矿业权权属争议。</w:t>
      </w:r>
    </w:p>
    <w:p>
      <w:pPr>
        <w:snapToGrid w:val="0"/>
        <w:spacing w:line="360" w:lineRule="auto"/>
        <w:ind w:left="420" w:leftChars="200" w:firstLine="480" w:firstLineChars="200"/>
        <w:rPr>
          <w:rFonts w:ascii="宋体" w:cs="Times New Roman"/>
          <w:color w:val="000000"/>
          <w:sz w:val="24"/>
          <w:szCs w:val="24"/>
        </w:rPr>
      </w:pPr>
      <w:bookmarkStart w:id="58" w:name="_Toc18521"/>
      <w:r>
        <w:rPr>
          <w:rFonts w:hint="eastAsia" w:ascii="宋体" w:hAnsi="宋体" w:cs="宋体"/>
          <w:color w:val="000000"/>
          <w:sz w:val="24"/>
          <w:szCs w:val="24"/>
        </w:rPr>
        <w:t>综上所述，本次评估范围详见表</w:t>
      </w:r>
      <w:r>
        <w:rPr>
          <w:rFonts w:ascii="宋体" w:hAnsi="宋体" w:cs="宋体"/>
          <w:color w:val="000000"/>
          <w:sz w:val="24"/>
          <w:szCs w:val="24"/>
        </w:rPr>
        <w:t>5-2</w:t>
      </w:r>
      <w:r>
        <w:rPr>
          <w:rFonts w:hint="eastAsia" w:ascii="宋体" w:hAnsi="宋体" w:cs="宋体"/>
          <w:color w:val="000000"/>
          <w:sz w:val="24"/>
          <w:szCs w:val="24"/>
        </w:rPr>
        <w:t>。</w:t>
      </w:r>
    </w:p>
    <w:p>
      <w:pPr>
        <w:snapToGrid w:val="0"/>
        <w:spacing w:afterLines="50" w:line="440" w:lineRule="exact"/>
        <w:ind w:left="420" w:leftChars="200" w:firstLine="420" w:firstLineChars="200"/>
        <w:jc w:val="center"/>
        <w:rPr>
          <w:rFonts w:ascii="宋体" w:cs="宋体"/>
        </w:rPr>
      </w:pPr>
      <w:r>
        <w:rPr>
          <w:rFonts w:hint="eastAsia" w:ascii="宋体" w:hAnsi="宋体" w:cs="宋体"/>
        </w:rPr>
        <w:t>表</w:t>
      </w:r>
      <w:r>
        <w:rPr>
          <w:rFonts w:ascii="宋体" w:hAnsi="宋体" w:cs="宋体"/>
        </w:rPr>
        <w:t xml:space="preserve">5-2  </w:t>
      </w:r>
      <w:r>
        <w:rPr>
          <w:rFonts w:hint="eastAsia" w:ascii="宋体" w:hAnsi="宋体" w:cs="宋体"/>
        </w:rPr>
        <w:t>评估范围</w:t>
      </w:r>
    </w:p>
    <w:tbl>
      <w:tblPr>
        <w:tblStyle w:val="3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6"/>
        <w:gridCol w:w="6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spacing w:line="360" w:lineRule="auto"/>
              <w:rPr>
                <w:rFonts w:ascii="宋体" w:cs="Times New Roman"/>
              </w:rPr>
            </w:pPr>
            <w:r>
              <w:rPr>
                <w:rFonts w:hint="eastAsia" w:ascii="宋体" w:hAnsi="宋体" w:cs="宋体"/>
              </w:rPr>
              <w:t>评估对象</w:t>
            </w:r>
          </w:p>
        </w:tc>
        <w:tc>
          <w:tcPr>
            <w:tcW w:w="6912" w:type="dxa"/>
          </w:tcPr>
          <w:p>
            <w:pPr>
              <w:spacing w:line="360" w:lineRule="auto"/>
              <w:rPr>
                <w:rFonts w:ascii="宋体" w:cs="Times New Roman"/>
              </w:rPr>
            </w:pPr>
            <w:r>
              <w:rPr>
                <w:rFonts w:hint="eastAsia" w:ascii="宋体" w:hAnsi="宋体" w:cs="宋体"/>
              </w:rPr>
              <w:t>广东省湛江市遂溪县遂城镇洪家村矿区建筑用玄武岩矿采矿权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spacing w:line="360" w:lineRule="auto"/>
              <w:rPr>
                <w:rFonts w:ascii="宋体" w:cs="Times New Roman"/>
              </w:rPr>
            </w:pPr>
            <w:r>
              <w:rPr>
                <w:rFonts w:hint="eastAsia" w:ascii="宋体" w:hAnsi="宋体" w:cs="宋体"/>
              </w:rPr>
              <w:t>开采矿种</w:t>
            </w:r>
          </w:p>
        </w:tc>
        <w:tc>
          <w:tcPr>
            <w:tcW w:w="6912" w:type="dxa"/>
          </w:tcPr>
          <w:p>
            <w:pPr>
              <w:spacing w:line="360" w:lineRule="auto"/>
              <w:rPr>
                <w:rFonts w:ascii="宋体" w:cs="Times New Roman"/>
              </w:rPr>
            </w:pPr>
            <w:r>
              <w:rPr>
                <w:rFonts w:hint="eastAsia" w:ascii="宋体" w:hAnsi="宋体" w:cs="宋体"/>
              </w:rPr>
              <w:t>建筑用玄武岩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spacing w:line="360" w:lineRule="auto"/>
              <w:rPr>
                <w:rFonts w:ascii="宋体" w:cs="Times New Roman"/>
              </w:rPr>
            </w:pPr>
            <w:r>
              <w:rPr>
                <w:rFonts w:hint="eastAsia" w:ascii="宋体" w:hAnsi="宋体" w:cs="宋体"/>
              </w:rPr>
              <w:t>生产能力</w:t>
            </w:r>
          </w:p>
        </w:tc>
        <w:tc>
          <w:tcPr>
            <w:tcW w:w="6912" w:type="dxa"/>
          </w:tcPr>
          <w:p>
            <w:pPr>
              <w:spacing w:line="360" w:lineRule="auto"/>
              <w:rPr>
                <w:rFonts w:ascii="宋体" w:cs="Times New Roman"/>
              </w:rPr>
            </w:pPr>
            <w:r>
              <w:rPr>
                <w:rFonts w:ascii="宋体" w:hAnsi="宋体" w:cs="宋体"/>
              </w:rPr>
              <w:t>10</w:t>
            </w:r>
            <w:r>
              <w:rPr>
                <w:rFonts w:hint="eastAsia" w:ascii="宋体" w:hAnsi="宋体" w:cs="宋体"/>
              </w:rPr>
              <w:t>万立方米</w:t>
            </w:r>
            <w:r>
              <w:rPr>
                <w:rFonts w:ascii="宋体" w:hAnsi="宋体" w:cs="宋体"/>
              </w:rPr>
              <w:t>/</w:t>
            </w:r>
            <w:r>
              <w:rPr>
                <w:rFonts w:hint="eastAsia" w:ascii="宋体" w:hAnsi="宋体" w:cs="宋体"/>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spacing w:line="360" w:lineRule="auto"/>
              <w:rPr>
                <w:rFonts w:ascii="宋体" w:cs="Times New Roman"/>
              </w:rPr>
            </w:pPr>
            <w:r>
              <w:rPr>
                <w:rFonts w:hint="eastAsia" w:ascii="宋体" w:hAnsi="宋体" w:cs="宋体"/>
              </w:rPr>
              <w:t>矿区面积</w:t>
            </w:r>
          </w:p>
        </w:tc>
        <w:tc>
          <w:tcPr>
            <w:tcW w:w="6912" w:type="dxa"/>
          </w:tcPr>
          <w:p>
            <w:pPr>
              <w:spacing w:line="360" w:lineRule="auto"/>
              <w:rPr>
                <w:rFonts w:ascii="宋体" w:cs="Times New Roman"/>
              </w:rPr>
            </w:pPr>
            <w:r>
              <w:rPr>
                <w:rFonts w:ascii="宋体" w:hAnsi="宋体" w:cs="宋体"/>
              </w:rPr>
              <w:t>0.0825</w:t>
            </w:r>
            <w:r>
              <w:rPr>
                <w:rFonts w:hint="eastAsia" w:ascii="宋体" w:hAnsi="宋体" w:cs="宋体"/>
              </w:rPr>
              <w:t>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tcPr>
          <w:p>
            <w:pPr>
              <w:spacing w:line="360" w:lineRule="auto"/>
              <w:rPr>
                <w:rFonts w:ascii="宋体" w:cs="Times New Roman"/>
              </w:rPr>
            </w:pPr>
            <w:r>
              <w:rPr>
                <w:rFonts w:hint="eastAsia" w:ascii="宋体" w:hAnsi="宋体" w:cs="宋体"/>
              </w:rPr>
              <w:t>开采深度</w:t>
            </w:r>
          </w:p>
        </w:tc>
        <w:tc>
          <w:tcPr>
            <w:tcW w:w="6912" w:type="dxa"/>
          </w:tcPr>
          <w:p>
            <w:pPr>
              <w:spacing w:line="360" w:lineRule="auto"/>
              <w:rPr>
                <w:rFonts w:ascii="宋体" w:cs="Times New Roman"/>
              </w:rPr>
            </w:pPr>
            <w:r>
              <w:rPr>
                <w:rFonts w:ascii="宋体" w:hAnsi="宋体" w:cs="宋体"/>
              </w:rPr>
              <w:t>+62</w:t>
            </w:r>
            <w:r>
              <w:rPr>
                <w:rFonts w:hint="eastAsia" w:ascii="宋体" w:hAnsi="宋体" w:cs="宋体"/>
              </w:rPr>
              <w:t>～</w:t>
            </w:r>
            <w:r>
              <w:rPr>
                <w:rFonts w:ascii="宋体" w:hAnsi="宋体" w:cs="宋体"/>
              </w:rPr>
              <w:t>+35</w:t>
            </w:r>
            <w:r>
              <w:rPr>
                <w:rFonts w:hint="eastAsia" w:ascii="宋体" w:hAnsi="宋体" w:cs="宋体"/>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6" w:type="dxa"/>
            <w:vAlign w:val="center"/>
          </w:tcPr>
          <w:p>
            <w:pPr>
              <w:spacing w:line="360" w:lineRule="auto"/>
              <w:rPr>
                <w:rFonts w:ascii="宋体" w:cs="Times New Roman"/>
              </w:rPr>
            </w:pPr>
            <w:r>
              <w:rPr>
                <w:rFonts w:hint="eastAsia" w:ascii="宋体" w:hAnsi="宋体" w:cs="宋体"/>
              </w:rPr>
              <w:t>保有资源储量</w:t>
            </w:r>
          </w:p>
        </w:tc>
        <w:tc>
          <w:tcPr>
            <w:tcW w:w="6912" w:type="dxa"/>
            <w:vAlign w:val="center"/>
          </w:tcPr>
          <w:p>
            <w:pPr>
              <w:rPr>
                <w:rFonts w:ascii="宋体" w:cs="Times New Roman"/>
              </w:rPr>
            </w:pPr>
            <w:r>
              <w:rPr>
                <w:rFonts w:hint="eastAsia" w:ascii="宋体" w:hAnsi="宋体" w:cs="宋体"/>
              </w:rPr>
              <w:t>（</w:t>
            </w:r>
            <w:r>
              <w:rPr>
                <w:rFonts w:ascii="宋体" w:hAnsi="宋体" w:cs="宋体"/>
              </w:rPr>
              <w:t>332+333</w:t>
            </w:r>
            <w:r>
              <w:rPr>
                <w:rFonts w:hint="eastAsia" w:ascii="宋体" w:hAnsi="宋体" w:cs="宋体"/>
              </w:rPr>
              <w:t>）</w:t>
            </w:r>
            <w:r>
              <w:rPr>
                <w:rFonts w:ascii="宋体" w:hAnsi="宋体" w:cs="宋体"/>
              </w:rPr>
              <w:t>132.73</w:t>
            </w:r>
            <w:r>
              <w:rPr>
                <w:rFonts w:hint="eastAsia" w:ascii="宋体" w:hAnsi="宋体" w:cs="宋体"/>
              </w:rPr>
              <w:t>万立方米</w:t>
            </w:r>
          </w:p>
        </w:tc>
      </w:tr>
      <w:bookmarkEnd w:id="58"/>
    </w:tbl>
    <w:p>
      <w:pPr>
        <w:snapToGrid w:val="0"/>
        <w:spacing w:line="360" w:lineRule="auto"/>
        <w:ind w:left="420" w:leftChars="200" w:firstLine="482" w:firstLineChars="200"/>
        <w:rPr>
          <w:rFonts w:ascii="宋体" w:cs="Times New Roman"/>
          <w:b/>
          <w:bCs/>
          <w:sz w:val="24"/>
          <w:szCs w:val="24"/>
        </w:rPr>
      </w:pPr>
      <w:bookmarkStart w:id="59" w:name="_Toc12581"/>
      <w:bookmarkStart w:id="60" w:name="_Toc362963064"/>
      <w:bookmarkStart w:id="61" w:name="_Toc362529654"/>
      <w:bookmarkStart w:id="62" w:name="_Toc361838462"/>
      <w:bookmarkStart w:id="63" w:name="_Toc28889"/>
      <w:bookmarkStart w:id="64" w:name="_Toc515199694"/>
      <w:bookmarkStart w:id="65" w:name="_Toc364775799"/>
      <w:bookmarkStart w:id="66" w:name="_Toc361838463"/>
      <w:bookmarkStart w:id="67" w:name="_Toc362963065"/>
      <w:bookmarkStart w:id="68" w:name="_Toc23963"/>
      <w:bookmarkStart w:id="69" w:name="_Toc364775800"/>
      <w:bookmarkStart w:id="70" w:name="_Toc362529655"/>
    </w:p>
    <w:p>
      <w:pPr>
        <w:spacing w:line="360" w:lineRule="auto"/>
        <w:ind w:left="420" w:leftChars="200" w:firstLine="482" w:firstLineChars="200"/>
        <w:jc w:val="center"/>
        <w:outlineLvl w:val="0"/>
        <w:rPr>
          <w:rFonts w:ascii="宋体" w:cs="Times New Roman"/>
          <w:b/>
          <w:bCs/>
          <w:sz w:val="24"/>
          <w:szCs w:val="24"/>
        </w:rPr>
      </w:pPr>
      <w:bookmarkStart w:id="71" w:name="_Toc522712197"/>
      <w:r>
        <w:rPr>
          <w:rFonts w:hint="eastAsia" w:ascii="宋体" w:hAnsi="宋体" w:cs="宋体"/>
          <w:b/>
          <w:bCs/>
          <w:sz w:val="24"/>
          <w:szCs w:val="24"/>
        </w:rPr>
        <w:t>六、评估基准日</w:t>
      </w:r>
      <w:bookmarkEnd w:id="59"/>
      <w:bookmarkEnd w:id="60"/>
      <w:bookmarkEnd w:id="61"/>
      <w:bookmarkEnd w:id="62"/>
      <w:bookmarkEnd w:id="63"/>
      <w:bookmarkEnd w:id="64"/>
      <w:bookmarkEnd w:id="65"/>
      <w:bookmarkEnd w:id="71"/>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根据矿业权评估准则对评估基准日的时限要求，本次评估基准日确定为</w:t>
      </w:r>
      <w:r>
        <w:rPr>
          <w:rFonts w:ascii="宋体" w:hAnsi="宋体" w:cs="宋体"/>
          <w:color w:val="000000"/>
          <w:sz w:val="24"/>
          <w:szCs w:val="24"/>
        </w:rPr>
        <w:t>2018</w:t>
      </w:r>
      <w:r>
        <w:rPr>
          <w:rFonts w:hint="eastAsia" w:ascii="宋体" w:hAnsi="宋体" w:cs="宋体"/>
          <w:color w:val="000000"/>
          <w:sz w:val="24"/>
          <w:szCs w:val="24"/>
        </w:rPr>
        <w:t>年</w:t>
      </w:r>
      <w:r>
        <w:rPr>
          <w:rFonts w:ascii="宋体" w:hAnsi="宋体" w:cs="宋体"/>
          <w:color w:val="000000"/>
          <w:sz w:val="24"/>
          <w:szCs w:val="24"/>
        </w:rPr>
        <w:t>7</w:t>
      </w:r>
      <w:r>
        <w:rPr>
          <w:rFonts w:hint="eastAsia" w:ascii="宋体" w:hAnsi="宋体" w:cs="宋体"/>
          <w:color w:val="000000"/>
          <w:sz w:val="24"/>
          <w:szCs w:val="24"/>
        </w:rPr>
        <w:t>月</w:t>
      </w:r>
      <w:r>
        <w:rPr>
          <w:rFonts w:ascii="宋体" w:hAnsi="宋体" w:cs="宋体"/>
          <w:color w:val="000000"/>
          <w:sz w:val="24"/>
          <w:szCs w:val="24"/>
        </w:rPr>
        <w:t>31</w:t>
      </w:r>
      <w:r>
        <w:rPr>
          <w:rFonts w:hint="eastAsia" w:ascii="宋体" w:hAnsi="宋体" w:cs="宋体"/>
          <w:color w:val="000000"/>
          <w:sz w:val="24"/>
          <w:szCs w:val="24"/>
        </w:rPr>
        <w:t>日，该日期距离评估委托日较近，便于评估机构收集资料和进行评估测算，本评估报告中一切取价标准均为评估基准日有效的价格标准，评估价值为评估基准日的时点有效价值。</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2" w:firstLineChars="200"/>
        <w:jc w:val="center"/>
        <w:outlineLvl w:val="0"/>
        <w:rPr>
          <w:rFonts w:ascii="宋体" w:cs="Times New Roman"/>
          <w:b/>
          <w:bCs/>
          <w:sz w:val="24"/>
          <w:szCs w:val="24"/>
        </w:rPr>
      </w:pPr>
      <w:bookmarkStart w:id="72" w:name="_Toc522712198"/>
      <w:bookmarkStart w:id="73" w:name="_Toc12103"/>
      <w:bookmarkStart w:id="74" w:name="_Toc515199695"/>
      <w:r>
        <w:rPr>
          <w:rFonts w:hint="eastAsia" w:ascii="宋体" w:hAnsi="宋体" w:cs="宋体"/>
          <w:b/>
          <w:bCs/>
          <w:sz w:val="24"/>
          <w:szCs w:val="24"/>
        </w:rPr>
        <w:t>七、评估依据</w:t>
      </w:r>
      <w:bookmarkEnd w:id="66"/>
      <w:bookmarkEnd w:id="67"/>
      <w:bookmarkEnd w:id="68"/>
      <w:bookmarkEnd w:id="69"/>
      <w:bookmarkEnd w:id="70"/>
      <w:bookmarkEnd w:id="72"/>
      <w:bookmarkEnd w:id="73"/>
      <w:bookmarkEnd w:id="74"/>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本次评估的依据包括法律法规依据、评估准则依据、经济行为依据、权属依据、取价依据和引用的专业报告。</w:t>
      </w:r>
    </w:p>
    <w:p>
      <w:pPr>
        <w:pStyle w:val="5"/>
        <w:spacing w:before="0" w:after="0" w:line="360" w:lineRule="auto"/>
        <w:ind w:left="420" w:leftChars="200" w:firstLine="482" w:firstLineChars="200"/>
        <w:rPr>
          <w:rFonts w:ascii="宋体" w:hAnsi="宋体" w:eastAsia="宋体" w:cs="Times New Roman"/>
        </w:rPr>
      </w:pPr>
      <w:bookmarkStart w:id="75" w:name="_Toc364775801"/>
      <w:bookmarkStart w:id="76" w:name="_Toc361838464"/>
      <w:bookmarkStart w:id="77" w:name="_Toc27775"/>
      <w:r>
        <w:rPr>
          <w:rFonts w:hint="eastAsia" w:ascii="宋体" w:hAnsi="宋体" w:eastAsia="宋体" w:cs="宋体"/>
        </w:rPr>
        <w:t>（一）法律法规依据</w:t>
      </w:r>
      <w:bookmarkEnd w:id="75"/>
      <w:bookmarkEnd w:id="76"/>
      <w:bookmarkEnd w:id="77"/>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本评估报告书所依据的评估基准日有效的法律、法规如下：</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、《中华人民共和国资产评估法》（</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7</w:t>
      </w:r>
      <w:r>
        <w:rPr>
          <w:rFonts w:hint="eastAsia" w:ascii="宋体" w:hAnsi="宋体" w:cs="宋体"/>
          <w:color w:val="000000"/>
          <w:sz w:val="24"/>
          <w:szCs w:val="24"/>
        </w:rPr>
        <w:t>月</w:t>
      </w:r>
      <w:r>
        <w:rPr>
          <w:rFonts w:ascii="宋体" w:hAnsi="宋体" w:cs="宋体"/>
          <w:color w:val="000000"/>
          <w:sz w:val="24"/>
          <w:szCs w:val="24"/>
        </w:rPr>
        <w:t>2</w:t>
      </w:r>
      <w:r>
        <w:rPr>
          <w:rFonts w:hint="eastAsia" w:ascii="宋体" w:hAnsi="宋体" w:cs="宋体"/>
          <w:color w:val="000000"/>
          <w:sz w:val="24"/>
          <w:szCs w:val="24"/>
        </w:rPr>
        <w:t>日中华人民共和国主席令第四十六号</w:t>
      </w:r>
      <w:r>
        <w:rPr>
          <w:rFonts w:ascii="宋体" w:hAnsi="宋体" w:cs="宋体"/>
          <w:color w:val="000000"/>
          <w:sz w:val="24"/>
          <w:szCs w:val="24"/>
        </w:rPr>
        <w:t xml:space="preserve"> </w:t>
      </w:r>
      <w:r>
        <w:rPr>
          <w:rFonts w:hint="eastAsia" w:ascii="宋体" w:hAnsi="宋体" w:cs="宋体"/>
          <w:color w:val="000000"/>
          <w:sz w:val="24"/>
          <w:szCs w:val="24"/>
        </w:rPr>
        <w:t>自</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12</w:t>
      </w:r>
      <w:r>
        <w:rPr>
          <w:rFonts w:hint="eastAsia" w:ascii="宋体" w:hAnsi="宋体" w:cs="宋体"/>
          <w:color w:val="000000"/>
          <w:sz w:val="24"/>
          <w:szCs w:val="24"/>
        </w:rPr>
        <w:t>月</w:t>
      </w:r>
      <w:r>
        <w:rPr>
          <w:rFonts w:ascii="宋体" w:hAnsi="宋体" w:cs="宋体"/>
          <w:color w:val="000000"/>
          <w:sz w:val="24"/>
          <w:szCs w:val="24"/>
        </w:rPr>
        <w:t>1</w:t>
      </w:r>
      <w:r>
        <w:rPr>
          <w:rFonts w:hint="eastAsia" w:ascii="宋体" w:hAnsi="宋体" w:cs="宋体"/>
          <w:color w:val="000000"/>
          <w:sz w:val="24"/>
          <w:szCs w:val="24"/>
        </w:rPr>
        <w:t>日起施行）；</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、《中华人民共和国矿产资源法》（</w:t>
      </w:r>
      <w:r>
        <w:rPr>
          <w:rFonts w:ascii="宋体" w:hAnsi="宋体" w:cs="宋体"/>
          <w:color w:val="000000"/>
          <w:sz w:val="24"/>
          <w:szCs w:val="24"/>
        </w:rPr>
        <w:t>1996</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w:t>
      </w:r>
      <w:r>
        <w:rPr>
          <w:rFonts w:ascii="宋体" w:hAnsi="宋体" w:cs="宋体"/>
          <w:color w:val="000000"/>
          <w:sz w:val="24"/>
          <w:szCs w:val="24"/>
        </w:rPr>
        <w:t>29</w:t>
      </w:r>
      <w:r>
        <w:rPr>
          <w:rFonts w:hint="eastAsia" w:ascii="宋体" w:hAnsi="宋体" w:cs="宋体"/>
          <w:color w:val="000000"/>
          <w:sz w:val="24"/>
          <w:szCs w:val="24"/>
        </w:rPr>
        <w:t>日中华人民共和国主席令第</w:t>
      </w:r>
      <w:r>
        <w:rPr>
          <w:rFonts w:ascii="宋体" w:hAnsi="宋体" w:cs="宋体"/>
          <w:color w:val="000000"/>
          <w:sz w:val="24"/>
          <w:szCs w:val="24"/>
        </w:rPr>
        <w:t>74</w:t>
      </w:r>
      <w:r>
        <w:rPr>
          <w:rFonts w:hint="eastAsia" w:ascii="宋体" w:hAnsi="宋体" w:cs="宋体"/>
          <w:color w:val="000000"/>
          <w:sz w:val="24"/>
          <w:szCs w:val="24"/>
        </w:rPr>
        <w:t>号发布）；</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、《中华人民共和国矿产资源法实施细则》（</w:t>
      </w:r>
      <w:r>
        <w:rPr>
          <w:rFonts w:ascii="宋体" w:hAnsi="宋体" w:cs="宋体"/>
          <w:color w:val="000000"/>
          <w:sz w:val="24"/>
          <w:szCs w:val="24"/>
        </w:rPr>
        <w:t>1994</w:t>
      </w:r>
      <w:r>
        <w:rPr>
          <w:rFonts w:hint="eastAsia" w:ascii="宋体" w:hAnsi="宋体" w:cs="宋体"/>
          <w:color w:val="000000"/>
          <w:sz w:val="24"/>
          <w:szCs w:val="24"/>
        </w:rPr>
        <w:t>年</w:t>
      </w:r>
      <w:r>
        <w:rPr>
          <w:rFonts w:ascii="宋体" w:hAnsi="宋体" w:cs="宋体"/>
          <w:color w:val="000000"/>
          <w:sz w:val="24"/>
          <w:szCs w:val="24"/>
        </w:rPr>
        <w:t>3</w:t>
      </w:r>
      <w:r>
        <w:rPr>
          <w:rFonts w:hint="eastAsia" w:ascii="宋体" w:hAnsi="宋体" w:cs="宋体"/>
          <w:color w:val="000000"/>
          <w:sz w:val="24"/>
          <w:szCs w:val="24"/>
        </w:rPr>
        <w:t>月</w:t>
      </w:r>
      <w:r>
        <w:rPr>
          <w:rFonts w:ascii="宋体" w:hAnsi="宋体" w:cs="宋体"/>
          <w:color w:val="000000"/>
          <w:sz w:val="24"/>
          <w:szCs w:val="24"/>
        </w:rPr>
        <w:t>26</w:t>
      </w:r>
      <w:r>
        <w:rPr>
          <w:rFonts w:hint="eastAsia" w:ascii="宋体" w:hAnsi="宋体" w:cs="宋体"/>
          <w:color w:val="000000"/>
          <w:sz w:val="24"/>
          <w:szCs w:val="24"/>
        </w:rPr>
        <w:t>日中华人民共和国国务院令第</w:t>
      </w:r>
      <w:r>
        <w:rPr>
          <w:rFonts w:ascii="宋体" w:hAnsi="宋体" w:cs="宋体"/>
          <w:color w:val="000000"/>
          <w:sz w:val="24"/>
          <w:szCs w:val="24"/>
        </w:rPr>
        <w:t>152</w:t>
      </w:r>
      <w:r>
        <w:rPr>
          <w:rFonts w:hint="eastAsia" w:ascii="宋体" w:hAnsi="宋体" w:cs="宋体"/>
          <w:color w:val="000000"/>
          <w:sz w:val="24"/>
          <w:szCs w:val="24"/>
        </w:rPr>
        <w:t>号发布）；</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、《矿产资源开采登记管理办法》（</w:t>
      </w:r>
      <w:r>
        <w:rPr>
          <w:rFonts w:ascii="宋体" w:hAnsi="宋体" w:cs="宋体"/>
          <w:color w:val="000000"/>
          <w:sz w:val="24"/>
          <w:szCs w:val="24"/>
        </w:rPr>
        <w:t>1998</w:t>
      </w:r>
      <w:r>
        <w:rPr>
          <w:rFonts w:hint="eastAsia" w:ascii="宋体" w:hAnsi="宋体" w:cs="宋体"/>
          <w:color w:val="000000"/>
          <w:sz w:val="24"/>
          <w:szCs w:val="24"/>
        </w:rPr>
        <w:t>年</w:t>
      </w:r>
      <w:r>
        <w:rPr>
          <w:rFonts w:ascii="宋体" w:hAnsi="宋体" w:cs="宋体"/>
          <w:color w:val="000000"/>
          <w:sz w:val="24"/>
          <w:szCs w:val="24"/>
        </w:rPr>
        <w:t>2</w:t>
      </w:r>
      <w:r>
        <w:rPr>
          <w:rFonts w:hint="eastAsia" w:ascii="宋体" w:hAnsi="宋体" w:cs="宋体"/>
          <w:color w:val="000000"/>
          <w:sz w:val="24"/>
          <w:szCs w:val="24"/>
        </w:rPr>
        <w:t>月</w:t>
      </w:r>
      <w:r>
        <w:rPr>
          <w:rFonts w:ascii="宋体" w:hAnsi="宋体" w:cs="宋体"/>
          <w:color w:val="000000"/>
          <w:sz w:val="24"/>
          <w:szCs w:val="24"/>
        </w:rPr>
        <w:t>12</w:t>
      </w:r>
      <w:r>
        <w:rPr>
          <w:rFonts w:hint="eastAsia" w:ascii="宋体" w:hAnsi="宋体" w:cs="宋体"/>
          <w:color w:val="000000"/>
          <w:sz w:val="24"/>
          <w:szCs w:val="24"/>
        </w:rPr>
        <w:t>日中华人民共和国国务院令第</w:t>
      </w:r>
      <w:r>
        <w:rPr>
          <w:rFonts w:ascii="宋体" w:hAnsi="宋体" w:cs="宋体"/>
          <w:color w:val="000000"/>
          <w:sz w:val="24"/>
          <w:szCs w:val="24"/>
        </w:rPr>
        <w:t>241</w:t>
      </w:r>
      <w:r>
        <w:rPr>
          <w:rFonts w:hint="eastAsia" w:ascii="宋体" w:hAnsi="宋体" w:cs="宋体"/>
          <w:color w:val="000000"/>
          <w:sz w:val="24"/>
          <w:szCs w:val="24"/>
        </w:rPr>
        <w:t>号发布）；</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5</w:t>
      </w:r>
      <w:r>
        <w:rPr>
          <w:rFonts w:hint="eastAsia" w:ascii="宋体" w:hAnsi="宋体" w:cs="宋体"/>
          <w:color w:val="000000"/>
          <w:sz w:val="24"/>
          <w:szCs w:val="24"/>
        </w:rPr>
        <w:t>、《矿业权出让转让管理暂行规定》（国土资发</w:t>
      </w:r>
      <w:r>
        <w:rPr>
          <w:rFonts w:ascii="宋体" w:hAnsi="宋体" w:cs="宋体"/>
          <w:color w:val="000000"/>
          <w:sz w:val="24"/>
          <w:szCs w:val="24"/>
        </w:rPr>
        <w:t>[2000]309</w:t>
      </w:r>
      <w:r>
        <w:rPr>
          <w:rFonts w:hint="eastAsia" w:ascii="宋体" w:hAnsi="宋体" w:cs="宋体"/>
          <w:color w:val="000000"/>
          <w:sz w:val="24"/>
          <w:szCs w:val="24"/>
        </w:rPr>
        <w:t>号）；</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6</w:t>
      </w:r>
      <w:r>
        <w:rPr>
          <w:rFonts w:hint="eastAsia" w:ascii="宋体" w:hAnsi="宋体" w:cs="宋体"/>
          <w:color w:val="000000"/>
          <w:sz w:val="24"/>
          <w:szCs w:val="24"/>
        </w:rPr>
        <w:t>、《矿业权评估管理办法（试行）》（国土资发</w:t>
      </w:r>
      <w:r>
        <w:rPr>
          <w:rFonts w:ascii="宋体" w:hAnsi="宋体" w:cs="宋体"/>
          <w:color w:val="000000"/>
          <w:sz w:val="24"/>
          <w:szCs w:val="24"/>
        </w:rPr>
        <w:t>[2008]174</w:t>
      </w:r>
      <w:r>
        <w:rPr>
          <w:rFonts w:hint="eastAsia" w:ascii="宋体" w:hAnsi="宋体" w:cs="宋体"/>
          <w:color w:val="000000"/>
          <w:sz w:val="24"/>
          <w:szCs w:val="24"/>
        </w:rPr>
        <w:t>号）；</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7</w:t>
      </w:r>
      <w:r>
        <w:rPr>
          <w:rFonts w:hint="eastAsia" w:ascii="宋体" w:hAnsi="宋体" w:cs="宋体"/>
          <w:color w:val="000000"/>
          <w:sz w:val="24"/>
          <w:szCs w:val="24"/>
        </w:rPr>
        <w:t>、《固体矿产地质勘查规范总则》（</w:t>
      </w:r>
      <w:r>
        <w:rPr>
          <w:rFonts w:ascii="宋体" w:hAnsi="宋体" w:cs="宋体"/>
          <w:color w:val="000000"/>
          <w:sz w:val="24"/>
          <w:szCs w:val="24"/>
        </w:rPr>
        <w:t>GB/T 13908-2002</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8</w:t>
      </w:r>
      <w:r>
        <w:rPr>
          <w:rFonts w:hint="eastAsia" w:ascii="宋体" w:hAnsi="宋体" w:cs="宋体"/>
          <w:color w:val="000000"/>
          <w:sz w:val="24"/>
          <w:szCs w:val="24"/>
        </w:rPr>
        <w:t>、《固体矿产资源</w:t>
      </w:r>
      <w:r>
        <w:rPr>
          <w:rFonts w:ascii="宋体" w:hAnsi="宋体" w:cs="宋体"/>
          <w:color w:val="000000"/>
          <w:sz w:val="24"/>
          <w:szCs w:val="24"/>
        </w:rPr>
        <w:t>/</w:t>
      </w:r>
      <w:r>
        <w:rPr>
          <w:rFonts w:hint="eastAsia" w:ascii="宋体" w:hAnsi="宋体" w:cs="宋体"/>
          <w:color w:val="000000"/>
          <w:sz w:val="24"/>
          <w:szCs w:val="24"/>
        </w:rPr>
        <w:t>储量分类》（</w:t>
      </w:r>
      <w:r>
        <w:rPr>
          <w:rFonts w:ascii="宋体" w:hAnsi="宋体" w:cs="宋体"/>
          <w:color w:val="000000"/>
          <w:sz w:val="24"/>
          <w:szCs w:val="24"/>
        </w:rPr>
        <w:t>GB/T 17766-1999</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9</w:t>
      </w:r>
      <w:r>
        <w:rPr>
          <w:rFonts w:hint="eastAsia" w:ascii="宋体" w:hAnsi="宋体" w:cs="宋体"/>
          <w:color w:val="000000"/>
          <w:sz w:val="24"/>
          <w:szCs w:val="24"/>
        </w:rPr>
        <w:t>、《关于全面实施</w:t>
      </w:r>
      <w:r>
        <w:rPr>
          <w:rFonts w:ascii="宋体" w:hAnsi="宋体" w:cs="宋体"/>
          <w:color w:val="000000"/>
          <w:sz w:val="24"/>
          <w:szCs w:val="24"/>
        </w:rPr>
        <w:t>&lt;</w:t>
      </w:r>
      <w:r>
        <w:rPr>
          <w:rFonts w:hint="eastAsia" w:ascii="宋体" w:hAnsi="宋体" w:cs="宋体"/>
          <w:color w:val="000000"/>
          <w:sz w:val="24"/>
          <w:szCs w:val="24"/>
        </w:rPr>
        <w:t>固体矿产资源</w:t>
      </w:r>
      <w:r>
        <w:rPr>
          <w:rFonts w:ascii="宋体" w:hAnsi="宋体" w:cs="宋体"/>
          <w:color w:val="000000"/>
          <w:sz w:val="24"/>
          <w:szCs w:val="24"/>
        </w:rPr>
        <w:t>/</w:t>
      </w:r>
      <w:r>
        <w:rPr>
          <w:rFonts w:hint="eastAsia" w:ascii="宋体" w:hAnsi="宋体" w:cs="宋体"/>
          <w:color w:val="000000"/>
          <w:sz w:val="24"/>
          <w:szCs w:val="24"/>
        </w:rPr>
        <w:t>储量分类</w:t>
      </w:r>
      <w:r>
        <w:rPr>
          <w:rFonts w:ascii="宋体" w:hAnsi="宋体" w:cs="宋体"/>
          <w:color w:val="000000"/>
          <w:sz w:val="24"/>
          <w:szCs w:val="24"/>
        </w:rPr>
        <w:t>&gt;</w:t>
      </w:r>
      <w:r>
        <w:rPr>
          <w:rFonts w:hint="eastAsia" w:ascii="宋体" w:hAnsi="宋体" w:cs="宋体"/>
          <w:color w:val="000000"/>
          <w:sz w:val="24"/>
          <w:szCs w:val="24"/>
        </w:rPr>
        <w:t>国家标准和勘查规范有关事项的通知》（国土资发</w:t>
      </w:r>
      <w:r>
        <w:rPr>
          <w:rFonts w:ascii="宋体" w:hAnsi="宋体" w:cs="宋体"/>
          <w:color w:val="000000"/>
          <w:sz w:val="24"/>
          <w:szCs w:val="24"/>
        </w:rPr>
        <w:t>[2007]68</w:t>
      </w:r>
      <w:r>
        <w:rPr>
          <w:rFonts w:hint="eastAsia" w:ascii="宋体" w:hAnsi="宋体" w:cs="宋体"/>
          <w:color w:val="000000"/>
          <w:sz w:val="24"/>
          <w:szCs w:val="24"/>
        </w:rPr>
        <w:t>号）；</w:t>
      </w:r>
    </w:p>
    <w:p>
      <w:pPr>
        <w:spacing w:line="360" w:lineRule="auto"/>
        <w:ind w:left="420" w:leftChars="200" w:firstLine="480" w:firstLineChars="200"/>
        <w:rPr>
          <w:rFonts w:ascii="宋体" w:cs="Times New Roman"/>
          <w:color w:val="000000"/>
          <w:sz w:val="24"/>
          <w:szCs w:val="24"/>
        </w:rPr>
      </w:pPr>
      <w:r>
        <w:rPr>
          <w:rFonts w:ascii="宋体" w:hAnsi="宋体" w:cs="宋体"/>
          <w:sz w:val="24"/>
          <w:szCs w:val="24"/>
        </w:rPr>
        <w:t>10</w:t>
      </w:r>
      <w:r>
        <w:rPr>
          <w:rFonts w:hint="eastAsia" w:ascii="宋体" w:hAnsi="宋体" w:cs="宋体"/>
          <w:sz w:val="24"/>
          <w:szCs w:val="24"/>
        </w:rPr>
        <w:t>、《关于实施</w:t>
      </w:r>
      <w:r>
        <w:rPr>
          <w:rFonts w:ascii="宋体" w:hAnsi="宋体" w:cs="宋体"/>
          <w:sz w:val="24"/>
          <w:szCs w:val="24"/>
        </w:rPr>
        <w:t>&lt;</w:t>
      </w:r>
      <w:r>
        <w:rPr>
          <w:rFonts w:hint="eastAsia" w:ascii="宋体" w:hAnsi="宋体" w:cs="宋体"/>
          <w:sz w:val="24"/>
          <w:szCs w:val="24"/>
        </w:rPr>
        <w:t>矿业权评估收益途径评估方法修改方案</w:t>
      </w:r>
      <w:r>
        <w:rPr>
          <w:rFonts w:ascii="宋体" w:hAnsi="宋体" w:cs="宋体"/>
          <w:sz w:val="24"/>
          <w:szCs w:val="24"/>
        </w:rPr>
        <w:t>&gt;</w:t>
      </w:r>
      <w:r>
        <w:rPr>
          <w:rFonts w:hint="eastAsia" w:ascii="宋体" w:hAnsi="宋体" w:cs="宋体"/>
          <w:sz w:val="24"/>
          <w:szCs w:val="24"/>
        </w:rPr>
        <w:t>的公告》（国土资源部公告</w:t>
      </w:r>
      <w:r>
        <w:rPr>
          <w:rFonts w:ascii="宋体" w:hAnsi="宋体" w:cs="宋体"/>
          <w:sz w:val="24"/>
          <w:szCs w:val="24"/>
        </w:rPr>
        <w:t>2006</w:t>
      </w:r>
      <w:r>
        <w:rPr>
          <w:rFonts w:hint="eastAsia" w:ascii="宋体" w:hAnsi="宋体" w:cs="宋体"/>
          <w:sz w:val="24"/>
          <w:szCs w:val="24"/>
        </w:rPr>
        <w:t>年第</w:t>
      </w:r>
      <w:r>
        <w:rPr>
          <w:rFonts w:ascii="宋体" w:hAnsi="宋体" w:cs="宋体"/>
          <w:sz w:val="24"/>
          <w:szCs w:val="24"/>
        </w:rPr>
        <w:t>18</w:t>
      </w:r>
      <w:r>
        <w:rPr>
          <w:rFonts w:hint="eastAsia" w:ascii="宋体" w:hAnsi="宋体" w:cs="宋体"/>
          <w:sz w:val="24"/>
          <w:szCs w:val="24"/>
        </w:rPr>
        <w:t>号）；</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11</w:t>
      </w:r>
      <w:r>
        <w:rPr>
          <w:rFonts w:hint="eastAsia" w:ascii="宋体" w:hAnsi="宋体" w:cs="宋体"/>
          <w:color w:val="000000"/>
          <w:sz w:val="24"/>
          <w:szCs w:val="24"/>
        </w:rPr>
        <w:t>、《国务院关于印发矿产资源权益金制度改革方案的通知》（国发</w:t>
      </w:r>
      <w:r>
        <w:rPr>
          <w:rFonts w:ascii="宋体" w:hAnsi="宋体" w:cs="宋体"/>
          <w:color w:val="000000"/>
          <w:sz w:val="24"/>
          <w:szCs w:val="24"/>
        </w:rPr>
        <w:t>[2017]29</w:t>
      </w:r>
      <w:r>
        <w:rPr>
          <w:rFonts w:hint="eastAsia" w:ascii="宋体" w:hAnsi="宋体" w:cs="宋体"/>
          <w:color w:val="000000"/>
          <w:sz w:val="24"/>
          <w:szCs w:val="24"/>
        </w:rPr>
        <w:t>号）；</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12</w:t>
      </w:r>
      <w:r>
        <w:rPr>
          <w:rFonts w:hint="eastAsia" w:ascii="宋体" w:hAnsi="宋体" w:cs="宋体"/>
          <w:color w:val="000000"/>
          <w:sz w:val="24"/>
          <w:szCs w:val="24"/>
        </w:rPr>
        <w:t>、《关于印发</w:t>
      </w:r>
      <w:r>
        <w:rPr>
          <w:rFonts w:ascii="宋体" w:hAnsi="宋体" w:cs="宋体"/>
          <w:color w:val="000000"/>
          <w:sz w:val="24"/>
          <w:szCs w:val="24"/>
        </w:rPr>
        <w:t>&lt;</w:t>
      </w:r>
      <w:r>
        <w:rPr>
          <w:rFonts w:hint="eastAsia" w:ascii="宋体" w:hAnsi="宋体" w:cs="宋体"/>
          <w:color w:val="000000"/>
          <w:sz w:val="24"/>
          <w:szCs w:val="24"/>
        </w:rPr>
        <w:t>企业安全生产费用提取和使用管理办法</w:t>
      </w:r>
      <w:r>
        <w:rPr>
          <w:rFonts w:ascii="宋体" w:hAnsi="宋体" w:cs="宋体"/>
          <w:color w:val="000000"/>
          <w:sz w:val="24"/>
          <w:szCs w:val="24"/>
        </w:rPr>
        <w:t>&gt;</w:t>
      </w:r>
      <w:r>
        <w:rPr>
          <w:rFonts w:hint="eastAsia" w:ascii="宋体" w:hAnsi="宋体" w:cs="宋体"/>
          <w:color w:val="000000"/>
          <w:sz w:val="24"/>
          <w:szCs w:val="24"/>
        </w:rPr>
        <w:t>的通知》（财企</w:t>
      </w:r>
      <w:r>
        <w:rPr>
          <w:rFonts w:ascii="宋体" w:hAnsi="宋体" w:cs="宋体"/>
          <w:color w:val="000000"/>
          <w:sz w:val="24"/>
          <w:szCs w:val="24"/>
        </w:rPr>
        <w:t>[2012]16</w:t>
      </w:r>
      <w:r>
        <w:rPr>
          <w:rFonts w:hint="eastAsia" w:ascii="宋体" w:hAnsi="宋体" w:cs="宋体"/>
          <w:color w:val="000000"/>
          <w:sz w:val="24"/>
          <w:szCs w:val="24"/>
        </w:rPr>
        <w:t>号）；</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13</w:t>
      </w:r>
      <w:r>
        <w:rPr>
          <w:rFonts w:hint="eastAsia" w:ascii="宋体" w:hAnsi="宋体" w:cs="宋体"/>
          <w:color w:val="000000"/>
          <w:sz w:val="24"/>
          <w:szCs w:val="24"/>
        </w:rPr>
        <w:t>、《财政部、国家税务总局关于全面推进资源税改革的通知》（财税</w:t>
      </w:r>
      <w:r>
        <w:rPr>
          <w:rFonts w:ascii="宋体" w:hAnsi="宋体" w:cs="宋体"/>
          <w:color w:val="000000"/>
          <w:sz w:val="24"/>
          <w:szCs w:val="24"/>
        </w:rPr>
        <w:t>[2016]53</w:t>
      </w:r>
      <w:r>
        <w:rPr>
          <w:rFonts w:hint="eastAsia" w:ascii="宋体" w:hAnsi="宋体" w:cs="宋体"/>
          <w:color w:val="000000"/>
          <w:sz w:val="24"/>
          <w:szCs w:val="24"/>
        </w:rPr>
        <w:t>号）；</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14</w:t>
      </w:r>
      <w:r>
        <w:rPr>
          <w:rFonts w:hint="eastAsia" w:ascii="宋体" w:hAnsi="宋体" w:cs="宋体"/>
          <w:color w:val="000000"/>
          <w:sz w:val="24"/>
          <w:szCs w:val="24"/>
        </w:rPr>
        <w:t>、《关于调整增值税税率的通知》（财税</w:t>
      </w:r>
      <w:r>
        <w:rPr>
          <w:rFonts w:ascii="宋体" w:hAnsi="宋体" w:cs="宋体"/>
          <w:color w:val="000000"/>
          <w:sz w:val="24"/>
          <w:szCs w:val="24"/>
        </w:rPr>
        <w:t>[2018]32</w:t>
      </w:r>
      <w:r>
        <w:rPr>
          <w:rFonts w:hint="eastAsia" w:ascii="宋体" w:hAnsi="宋体" w:cs="宋体"/>
          <w:color w:val="000000"/>
          <w:sz w:val="24"/>
          <w:szCs w:val="24"/>
        </w:rPr>
        <w:t>号）；</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15</w:t>
      </w:r>
      <w:r>
        <w:rPr>
          <w:rFonts w:hint="eastAsia" w:ascii="宋体" w:hAnsi="宋体" w:cs="宋体"/>
          <w:color w:val="000000"/>
          <w:sz w:val="24"/>
          <w:szCs w:val="24"/>
        </w:rPr>
        <w:t>、《关于全面推开营业税改征增值税试点的通知》（财税</w:t>
      </w:r>
      <w:r>
        <w:rPr>
          <w:rFonts w:ascii="宋体" w:hAnsi="宋体" w:cs="宋体"/>
          <w:color w:val="000000"/>
          <w:sz w:val="24"/>
          <w:szCs w:val="24"/>
        </w:rPr>
        <w:t>[2016]36</w:t>
      </w:r>
      <w:r>
        <w:rPr>
          <w:rFonts w:hint="eastAsia" w:ascii="宋体" w:hAnsi="宋体" w:cs="宋体"/>
          <w:color w:val="000000"/>
          <w:sz w:val="24"/>
          <w:szCs w:val="24"/>
        </w:rPr>
        <w:t>号）；</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16</w:t>
      </w:r>
      <w:r>
        <w:rPr>
          <w:rFonts w:hint="eastAsia" w:ascii="宋体" w:hAnsi="宋体" w:cs="宋体"/>
          <w:color w:val="000000"/>
          <w:sz w:val="24"/>
          <w:szCs w:val="24"/>
        </w:rPr>
        <w:t>、《广东省人民政府关于实施资源税改革的通知》（粤府</w:t>
      </w:r>
      <w:r>
        <w:rPr>
          <w:rFonts w:ascii="宋体" w:hAnsi="宋体" w:cs="宋体"/>
          <w:color w:val="000000"/>
          <w:sz w:val="24"/>
          <w:szCs w:val="24"/>
        </w:rPr>
        <w:t>[2016]27</w:t>
      </w:r>
      <w:r>
        <w:rPr>
          <w:rFonts w:hint="eastAsia" w:ascii="宋体" w:hAnsi="宋体" w:cs="宋体"/>
          <w:color w:val="000000"/>
          <w:sz w:val="24"/>
          <w:szCs w:val="24"/>
        </w:rPr>
        <w:t>号）；</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17</w:t>
      </w:r>
      <w:r>
        <w:rPr>
          <w:rFonts w:hint="eastAsia" w:ascii="宋体" w:hAnsi="宋体" w:cs="宋体"/>
          <w:color w:val="000000"/>
          <w:sz w:val="24"/>
          <w:szCs w:val="24"/>
        </w:rPr>
        <w:t>、《财政部</w:t>
      </w:r>
      <w:r>
        <w:rPr>
          <w:rFonts w:ascii="宋体" w:hAnsi="宋体" w:cs="宋体"/>
          <w:color w:val="000000"/>
          <w:sz w:val="24"/>
          <w:szCs w:val="24"/>
        </w:rPr>
        <w:t xml:space="preserve"> </w:t>
      </w:r>
      <w:r>
        <w:rPr>
          <w:rFonts w:hint="eastAsia" w:ascii="宋体" w:hAnsi="宋体" w:cs="宋体"/>
          <w:color w:val="000000"/>
          <w:sz w:val="24"/>
          <w:szCs w:val="24"/>
        </w:rPr>
        <w:t>国土部关于印发</w:t>
      </w:r>
      <w:r>
        <w:rPr>
          <w:rFonts w:ascii="宋体" w:hAnsi="宋体" w:cs="宋体"/>
          <w:color w:val="000000"/>
          <w:sz w:val="24"/>
          <w:szCs w:val="24"/>
        </w:rPr>
        <w:t>&lt;</w:t>
      </w:r>
      <w:r>
        <w:rPr>
          <w:rFonts w:hint="eastAsia" w:ascii="宋体" w:hAnsi="宋体" w:cs="宋体"/>
          <w:color w:val="000000"/>
          <w:sz w:val="24"/>
          <w:szCs w:val="24"/>
        </w:rPr>
        <w:t>矿业权出让收益征收管理暂行办法</w:t>
      </w:r>
      <w:r>
        <w:rPr>
          <w:rFonts w:ascii="宋体" w:hAnsi="宋体" w:cs="宋体"/>
          <w:color w:val="000000"/>
          <w:sz w:val="24"/>
          <w:szCs w:val="24"/>
        </w:rPr>
        <w:t>&gt;</w:t>
      </w:r>
      <w:r>
        <w:rPr>
          <w:rFonts w:hint="eastAsia" w:ascii="宋体" w:hAnsi="宋体" w:cs="宋体"/>
          <w:color w:val="000000"/>
          <w:sz w:val="24"/>
          <w:szCs w:val="24"/>
        </w:rPr>
        <w:t>的通知》（财综</w:t>
      </w:r>
      <w:r>
        <w:rPr>
          <w:rFonts w:ascii="宋体" w:hAnsi="宋体" w:cs="宋体"/>
          <w:color w:val="000000"/>
          <w:sz w:val="24"/>
          <w:szCs w:val="24"/>
        </w:rPr>
        <w:t>[2017]35</w:t>
      </w:r>
      <w:r>
        <w:rPr>
          <w:rFonts w:hint="eastAsia" w:ascii="宋体" w:hAnsi="宋体" w:cs="宋体"/>
          <w:color w:val="000000"/>
          <w:sz w:val="24"/>
          <w:szCs w:val="24"/>
        </w:rPr>
        <w:t>号）。</w:t>
      </w:r>
    </w:p>
    <w:p>
      <w:pPr>
        <w:pStyle w:val="5"/>
        <w:spacing w:before="0" w:after="0" w:line="360" w:lineRule="auto"/>
        <w:ind w:left="420" w:leftChars="200" w:firstLine="482" w:firstLineChars="200"/>
        <w:rPr>
          <w:rFonts w:ascii="宋体" w:hAnsi="宋体" w:eastAsia="宋体" w:cs="Times New Roman"/>
        </w:rPr>
      </w:pPr>
      <w:bookmarkStart w:id="78" w:name="_Toc361838465"/>
      <w:bookmarkStart w:id="79" w:name="_Toc364775802"/>
      <w:bookmarkStart w:id="80" w:name="_Toc10864"/>
      <w:r>
        <w:rPr>
          <w:rFonts w:hint="eastAsia" w:ascii="宋体" w:hAnsi="宋体" w:eastAsia="宋体" w:cs="宋体"/>
        </w:rPr>
        <w:t>（二）评估准则依据</w:t>
      </w:r>
      <w:bookmarkEnd w:id="78"/>
      <w:bookmarkEnd w:id="79"/>
      <w:bookmarkEnd w:id="80"/>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本评估报告书依据中国矿业权评估师协会发布的以下评估准则编制。</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、《矿业权评估师职业道德基本准则（</w:t>
      </w:r>
      <w:r>
        <w:rPr>
          <w:rFonts w:ascii="宋体" w:hAnsi="宋体" w:cs="宋体"/>
          <w:color w:val="000000"/>
          <w:sz w:val="24"/>
          <w:szCs w:val="24"/>
        </w:rPr>
        <w:t>CMV 20000-2007</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、《矿业权评估技术基本准则（</w:t>
      </w:r>
      <w:r>
        <w:rPr>
          <w:rFonts w:ascii="宋体" w:hAnsi="宋体" w:cs="宋体"/>
          <w:color w:val="000000"/>
          <w:sz w:val="24"/>
          <w:szCs w:val="24"/>
        </w:rPr>
        <w:t>CMVS 00001-2008</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、《矿业权评估程序规范（</w:t>
      </w:r>
      <w:r>
        <w:rPr>
          <w:rFonts w:ascii="宋体" w:hAnsi="宋体" w:cs="宋体"/>
          <w:color w:val="000000"/>
          <w:sz w:val="24"/>
          <w:szCs w:val="24"/>
        </w:rPr>
        <w:t>CMVS 11000-2008</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、《矿业权评估业务约定书规范（</w:t>
      </w:r>
      <w:r>
        <w:rPr>
          <w:rFonts w:ascii="宋体" w:hAnsi="宋体" w:cs="宋体"/>
          <w:color w:val="000000"/>
          <w:sz w:val="24"/>
          <w:szCs w:val="24"/>
        </w:rPr>
        <w:t>CMVS 11100-2008</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5</w:t>
      </w:r>
      <w:r>
        <w:rPr>
          <w:rFonts w:hint="eastAsia" w:ascii="宋体" w:hAnsi="宋体" w:cs="宋体"/>
          <w:color w:val="000000"/>
          <w:sz w:val="24"/>
          <w:szCs w:val="24"/>
        </w:rPr>
        <w:t>、《矿业权评估报告编制规范（</w:t>
      </w:r>
      <w:r>
        <w:rPr>
          <w:rFonts w:ascii="宋体" w:hAnsi="宋体" w:cs="宋体"/>
          <w:color w:val="000000"/>
          <w:sz w:val="24"/>
          <w:szCs w:val="24"/>
        </w:rPr>
        <w:t>CMVS 11400-2008</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6</w:t>
      </w:r>
      <w:r>
        <w:rPr>
          <w:rFonts w:hint="eastAsia" w:ascii="宋体" w:hAnsi="宋体" w:cs="宋体"/>
          <w:color w:val="000000"/>
          <w:sz w:val="24"/>
          <w:szCs w:val="24"/>
        </w:rPr>
        <w:t>、《收益途径评估方法规范（</w:t>
      </w:r>
      <w:r>
        <w:rPr>
          <w:rFonts w:ascii="宋体" w:hAnsi="宋体" w:cs="宋体"/>
          <w:color w:val="000000"/>
          <w:sz w:val="24"/>
          <w:szCs w:val="24"/>
        </w:rPr>
        <w:t>CMVS 12100-2008</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7</w:t>
      </w:r>
      <w:r>
        <w:rPr>
          <w:rFonts w:hint="eastAsia" w:ascii="宋体" w:hAnsi="宋体" w:cs="宋体"/>
          <w:color w:val="000000"/>
          <w:sz w:val="24"/>
          <w:szCs w:val="24"/>
        </w:rPr>
        <w:t>、《确定评估基准日指导意见（</w:t>
      </w:r>
      <w:r>
        <w:rPr>
          <w:rFonts w:ascii="宋体" w:hAnsi="宋体" w:cs="宋体"/>
          <w:color w:val="000000"/>
          <w:sz w:val="24"/>
          <w:szCs w:val="24"/>
        </w:rPr>
        <w:t>CMVS 30200-2008</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8</w:t>
      </w:r>
      <w:r>
        <w:rPr>
          <w:rFonts w:hint="eastAsia" w:ascii="宋体" w:hAnsi="宋体" w:cs="宋体"/>
          <w:color w:val="000000"/>
          <w:sz w:val="24"/>
          <w:szCs w:val="24"/>
        </w:rPr>
        <w:t>、《矿业权评估参数确定指导意见（</w:t>
      </w:r>
      <w:r>
        <w:rPr>
          <w:rFonts w:ascii="宋体" w:hAnsi="宋体" w:cs="宋体"/>
          <w:color w:val="000000"/>
          <w:sz w:val="24"/>
          <w:szCs w:val="24"/>
        </w:rPr>
        <w:t>CMVS 30800-2008</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9</w:t>
      </w:r>
      <w:r>
        <w:rPr>
          <w:rFonts w:hint="eastAsia" w:ascii="宋体" w:hAnsi="宋体" w:cs="宋体"/>
          <w:color w:val="000000"/>
          <w:sz w:val="24"/>
          <w:szCs w:val="24"/>
        </w:rPr>
        <w:t>、《矿业权价款评估应用指南（</w:t>
      </w:r>
      <w:r>
        <w:rPr>
          <w:rFonts w:ascii="宋体" w:hAnsi="宋体" w:cs="宋体"/>
          <w:color w:val="000000"/>
          <w:sz w:val="24"/>
          <w:szCs w:val="24"/>
        </w:rPr>
        <w:t>CMVS 20100-2008</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10</w:t>
      </w:r>
      <w:r>
        <w:rPr>
          <w:rFonts w:hint="eastAsia" w:ascii="宋体" w:hAnsi="宋体" w:cs="宋体"/>
          <w:color w:val="000000"/>
          <w:sz w:val="24"/>
          <w:szCs w:val="24"/>
        </w:rPr>
        <w:t>、《矿业权评估项目工作底稿规范（</w:t>
      </w:r>
      <w:r>
        <w:rPr>
          <w:rFonts w:ascii="宋体" w:hAnsi="宋体" w:cs="宋体"/>
          <w:color w:val="000000"/>
          <w:sz w:val="24"/>
          <w:szCs w:val="24"/>
        </w:rPr>
        <w:t>CMVS 11200-2010</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11</w:t>
      </w:r>
      <w:r>
        <w:rPr>
          <w:rFonts w:hint="eastAsia" w:ascii="宋体" w:hAnsi="宋体" w:cs="宋体"/>
          <w:color w:val="000000"/>
          <w:sz w:val="24"/>
          <w:szCs w:val="24"/>
        </w:rPr>
        <w:t>、《矿业权评估项目档案管理规范（</w:t>
      </w:r>
      <w:r>
        <w:rPr>
          <w:rFonts w:ascii="宋体" w:hAnsi="宋体" w:cs="宋体"/>
          <w:color w:val="000000"/>
          <w:sz w:val="24"/>
          <w:szCs w:val="24"/>
        </w:rPr>
        <w:t>CMVS 11300-2010</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12</w:t>
      </w:r>
      <w:r>
        <w:rPr>
          <w:rFonts w:hint="eastAsia" w:ascii="宋体" w:hAnsi="宋体" w:cs="宋体"/>
          <w:color w:val="000000"/>
          <w:sz w:val="24"/>
          <w:szCs w:val="24"/>
        </w:rPr>
        <w:t>、《矿业权评估利用矿产资源储量指导意见（</w:t>
      </w:r>
      <w:r>
        <w:rPr>
          <w:rFonts w:ascii="宋体" w:hAnsi="宋体" w:cs="宋体"/>
          <w:color w:val="000000"/>
          <w:sz w:val="24"/>
          <w:szCs w:val="24"/>
        </w:rPr>
        <w:t>CMVS 30300-2010</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13</w:t>
      </w:r>
      <w:r>
        <w:rPr>
          <w:rFonts w:hint="eastAsia" w:ascii="宋体" w:hAnsi="宋体" w:cs="宋体"/>
          <w:color w:val="000000"/>
          <w:sz w:val="24"/>
          <w:szCs w:val="24"/>
        </w:rPr>
        <w:t>、《矿业权评估利用地质勘查文件指导意见（</w:t>
      </w:r>
      <w:r>
        <w:rPr>
          <w:rFonts w:ascii="宋体" w:hAnsi="宋体" w:cs="宋体"/>
          <w:color w:val="000000"/>
          <w:sz w:val="24"/>
          <w:szCs w:val="24"/>
        </w:rPr>
        <w:t>CMVS 30400-2010</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14</w:t>
      </w:r>
      <w:r>
        <w:rPr>
          <w:rFonts w:hint="eastAsia" w:ascii="宋体" w:hAnsi="宋体" w:cs="宋体"/>
          <w:color w:val="000000"/>
          <w:sz w:val="24"/>
          <w:szCs w:val="24"/>
        </w:rPr>
        <w:t>、《矿业权评估利用矿山设计文件指导意见（</w:t>
      </w:r>
      <w:r>
        <w:rPr>
          <w:rFonts w:ascii="宋体" w:hAnsi="宋体" w:cs="宋体"/>
          <w:color w:val="000000"/>
          <w:sz w:val="24"/>
          <w:szCs w:val="24"/>
        </w:rPr>
        <w:t>CMVS 30700-2010</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15</w:t>
      </w:r>
      <w:r>
        <w:rPr>
          <w:rFonts w:hint="eastAsia" w:ascii="宋体" w:hAnsi="宋体" w:cs="宋体"/>
          <w:color w:val="000000"/>
          <w:sz w:val="24"/>
          <w:szCs w:val="24"/>
        </w:rPr>
        <w:t>、《矿业出让收益评估应用指南（试行）》（中国矿业权评估师协会公告</w:t>
      </w:r>
      <w:r>
        <w:rPr>
          <w:rFonts w:ascii="宋体" w:hAnsi="宋体" w:cs="宋体"/>
          <w:color w:val="000000"/>
          <w:sz w:val="24"/>
          <w:szCs w:val="24"/>
        </w:rPr>
        <w:t>2017</w:t>
      </w:r>
      <w:r>
        <w:rPr>
          <w:rFonts w:hint="eastAsia" w:ascii="宋体" w:hAnsi="宋体" w:cs="宋体"/>
          <w:color w:val="000000"/>
          <w:sz w:val="24"/>
          <w:szCs w:val="24"/>
        </w:rPr>
        <w:t>年第</w:t>
      </w:r>
      <w:r>
        <w:rPr>
          <w:rFonts w:ascii="宋体" w:hAnsi="宋体" w:cs="宋体"/>
          <w:color w:val="000000"/>
          <w:sz w:val="24"/>
          <w:szCs w:val="24"/>
        </w:rPr>
        <w:t>3</w:t>
      </w:r>
      <w:r>
        <w:rPr>
          <w:rFonts w:hint="eastAsia" w:ascii="宋体" w:hAnsi="宋体" w:cs="宋体"/>
          <w:color w:val="000000"/>
          <w:sz w:val="24"/>
          <w:szCs w:val="24"/>
        </w:rPr>
        <w:t>号发布）。</w:t>
      </w:r>
    </w:p>
    <w:p>
      <w:pPr>
        <w:pStyle w:val="5"/>
        <w:spacing w:before="0" w:after="0" w:line="360" w:lineRule="auto"/>
        <w:ind w:left="420" w:leftChars="200" w:firstLine="482" w:firstLineChars="200"/>
        <w:rPr>
          <w:rFonts w:ascii="宋体" w:hAnsi="宋体" w:eastAsia="宋体" w:cs="Times New Roman"/>
        </w:rPr>
      </w:pPr>
      <w:bookmarkStart w:id="81" w:name="_Toc361838466"/>
      <w:bookmarkStart w:id="82" w:name="_Toc364775803"/>
      <w:bookmarkStart w:id="83" w:name="_Toc31359"/>
      <w:r>
        <w:rPr>
          <w:rFonts w:hint="eastAsia" w:ascii="宋体" w:hAnsi="宋体" w:eastAsia="宋体" w:cs="宋体"/>
        </w:rPr>
        <w:t>（三）经济行为依据</w:t>
      </w:r>
      <w:bookmarkEnd w:id="81"/>
      <w:bookmarkEnd w:id="82"/>
      <w:bookmarkEnd w:id="83"/>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本次评估经济行为依据：</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2018</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w:t>
      </w:r>
      <w:r>
        <w:rPr>
          <w:rFonts w:ascii="宋体" w:hAnsi="宋体" w:cs="宋体"/>
          <w:color w:val="000000"/>
          <w:sz w:val="24"/>
          <w:szCs w:val="24"/>
        </w:rPr>
        <w:t>6</w:t>
      </w:r>
      <w:r>
        <w:rPr>
          <w:rFonts w:hint="eastAsia" w:ascii="宋体" w:hAnsi="宋体" w:cs="宋体"/>
          <w:color w:val="000000"/>
          <w:sz w:val="24"/>
          <w:szCs w:val="24"/>
        </w:rPr>
        <w:t>日遂溪县国土资源局出具《评估委托书》；</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w:t>
      </w:r>
      <w:r>
        <w:rPr>
          <w:rFonts w:ascii="宋体" w:hAnsi="宋体" w:cs="宋体"/>
          <w:color w:val="000000"/>
          <w:sz w:val="24"/>
          <w:szCs w:val="24"/>
        </w:rPr>
        <w:t>2018</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月遂溪县国土资源局出具《矿业权出让收益评估合同书》。</w:t>
      </w:r>
    </w:p>
    <w:p>
      <w:pPr>
        <w:pStyle w:val="5"/>
        <w:spacing w:before="0" w:after="0" w:line="360" w:lineRule="auto"/>
        <w:ind w:left="420" w:leftChars="200" w:firstLine="482" w:firstLineChars="200"/>
        <w:rPr>
          <w:rFonts w:ascii="宋体" w:hAnsi="宋体" w:eastAsia="宋体" w:cs="Times New Roman"/>
        </w:rPr>
      </w:pPr>
      <w:r>
        <w:rPr>
          <w:rFonts w:hint="eastAsia" w:ascii="宋体" w:hAnsi="宋体" w:eastAsia="宋体" w:cs="宋体"/>
        </w:rPr>
        <w:t>（四）取价依据</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矿业权评估专业人员询价资料。</w:t>
      </w:r>
    </w:p>
    <w:p>
      <w:pPr>
        <w:pStyle w:val="5"/>
        <w:spacing w:before="0" w:after="0" w:line="360" w:lineRule="auto"/>
        <w:ind w:left="420" w:leftChars="200" w:firstLine="482" w:firstLineChars="200"/>
        <w:rPr>
          <w:rFonts w:ascii="宋体" w:hAnsi="宋体" w:eastAsia="宋体" w:cs="Times New Roman"/>
        </w:rPr>
      </w:pPr>
      <w:bookmarkStart w:id="84" w:name="_Toc361838469"/>
      <w:bookmarkStart w:id="85" w:name="_Toc12141"/>
      <w:bookmarkStart w:id="86" w:name="_Toc364775805"/>
      <w:r>
        <w:rPr>
          <w:rFonts w:hint="eastAsia" w:ascii="宋体" w:hAnsi="宋体" w:eastAsia="宋体" w:cs="宋体"/>
        </w:rPr>
        <w:t>（五）引用的专业报告</w:t>
      </w:r>
      <w:bookmarkEnd w:id="84"/>
      <w:bookmarkEnd w:id="85"/>
      <w:bookmarkEnd w:id="86"/>
    </w:p>
    <w:p>
      <w:pPr>
        <w:spacing w:line="360" w:lineRule="auto"/>
        <w:ind w:left="420" w:leftChars="200" w:firstLine="480" w:firstLineChars="200"/>
        <w:rPr>
          <w:rFonts w:ascii="宋体" w:cs="Times New Roman"/>
          <w:color w:val="000000"/>
          <w:sz w:val="24"/>
          <w:szCs w:val="24"/>
        </w:rPr>
      </w:pPr>
      <w:bookmarkStart w:id="87" w:name="_Toc6871"/>
      <w:r>
        <w:rPr>
          <w:rFonts w:ascii="宋体" w:hAnsi="宋体" w:cs="宋体"/>
          <w:color w:val="000000"/>
          <w:sz w:val="24"/>
          <w:szCs w:val="24"/>
        </w:rPr>
        <w:t>1</w:t>
      </w:r>
      <w:r>
        <w:rPr>
          <w:rFonts w:hint="eastAsia" w:ascii="宋体" w:hAnsi="宋体" w:cs="宋体"/>
          <w:color w:val="000000"/>
          <w:sz w:val="24"/>
          <w:szCs w:val="24"/>
        </w:rPr>
        <w:t>、《广东省遂溪县遂城镇洪家村矿区建筑用玄武岩矿详查报告》（广东省地球物理探矿大队，</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月）（以下简称《详查报告》）；</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w:t>
      </w:r>
      <w:r>
        <w:rPr>
          <w:rFonts w:ascii="宋体" w:hAnsi="宋体" w:cs="宋体"/>
          <w:color w:val="000000"/>
          <w:sz w:val="24"/>
          <w:szCs w:val="24"/>
        </w:rPr>
        <w:t>&lt;</w:t>
      </w:r>
      <w:r>
        <w:rPr>
          <w:rFonts w:hint="eastAsia" w:ascii="宋体" w:hAnsi="宋体" w:cs="宋体"/>
          <w:color w:val="000000"/>
          <w:sz w:val="24"/>
          <w:szCs w:val="24"/>
        </w:rPr>
        <w:t>广东省遂溪县遂城镇洪家村矿区建筑用玄武岩矿详查报告</w:t>
      </w:r>
      <w:r>
        <w:rPr>
          <w:rFonts w:ascii="宋体" w:hAnsi="宋体" w:cs="宋体"/>
          <w:color w:val="000000"/>
          <w:sz w:val="24"/>
          <w:szCs w:val="24"/>
        </w:rPr>
        <w:t>&gt;</w:t>
      </w:r>
      <w:r>
        <w:rPr>
          <w:rFonts w:hint="eastAsia" w:ascii="宋体" w:hAnsi="宋体" w:cs="宋体"/>
          <w:color w:val="000000"/>
          <w:sz w:val="24"/>
          <w:szCs w:val="24"/>
        </w:rPr>
        <w:t>评审意见书》（粤资储评审字</w:t>
      </w:r>
      <w:r>
        <w:rPr>
          <w:rFonts w:ascii="宋体" w:hAnsi="宋体" w:cs="宋体"/>
          <w:color w:val="000000"/>
          <w:sz w:val="24"/>
          <w:szCs w:val="24"/>
        </w:rPr>
        <w:t>[2016]111</w:t>
      </w:r>
      <w:r>
        <w:rPr>
          <w:rFonts w:hint="eastAsia" w:ascii="宋体" w:hAnsi="宋体" w:cs="宋体"/>
          <w:color w:val="000000"/>
          <w:sz w:val="24"/>
          <w:szCs w:val="24"/>
        </w:rPr>
        <w:t>号）（广东省矿产资源储量评审中心，</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9</w:t>
      </w:r>
      <w:r>
        <w:rPr>
          <w:rFonts w:hint="eastAsia" w:ascii="宋体" w:hAnsi="宋体" w:cs="宋体"/>
          <w:color w:val="000000"/>
          <w:sz w:val="24"/>
          <w:szCs w:val="24"/>
        </w:rPr>
        <w:t>月</w:t>
      </w:r>
      <w:r>
        <w:rPr>
          <w:rFonts w:ascii="宋体" w:hAnsi="宋体" w:cs="宋体"/>
          <w:color w:val="000000"/>
          <w:sz w:val="24"/>
          <w:szCs w:val="24"/>
        </w:rPr>
        <w:t>6</w:t>
      </w:r>
      <w:r>
        <w:rPr>
          <w:rFonts w:hint="eastAsia" w:ascii="宋体" w:hAnsi="宋体" w:cs="宋体"/>
          <w:color w:val="000000"/>
          <w:sz w:val="24"/>
          <w:szCs w:val="24"/>
        </w:rPr>
        <w:t>日）（以下简称《详查报告评审意见书》）；</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、《关于</w:t>
      </w:r>
      <w:r>
        <w:rPr>
          <w:rFonts w:ascii="宋体" w:hAnsi="宋体" w:cs="宋体"/>
          <w:color w:val="000000"/>
          <w:sz w:val="24"/>
          <w:szCs w:val="24"/>
        </w:rPr>
        <w:t>&lt;</w:t>
      </w:r>
      <w:r>
        <w:rPr>
          <w:rFonts w:hint="eastAsia" w:ascii="宋体" w:hAnsi="宋体" w:cs="宋体"/>
          <w:color w:val="000000"/>
          <w:sz w:val="24"/>
          <w:szCs w:val="24"/>
        </w:rPr>
        <w:t>广东省遂溪县遂城镇洪家村矿区建筑用玄武岩矿详查报告</w:t>
      </w:r>
      <w:r>
        <w:rPr>
          <w:rFonts w:ascii="宋体" w:hAnsi="宋体" w:cs="宋体"/>
          <w:color w:val="000000"/>
          <w:sz w:val="24"/>
          <w:szCs w:val="24"/>
        </w:rPr>
        <w:t>&gt;</w:t>
      </w:r>
      <w:r>
        <w:rPr>
          <w:rFonts w:hint="eastAsia" w:ascii="宋体" w:hAnsi="宋体" w:cs="宋体"/>
          <w:color w:val="000000"/>
          <w:sz w:val="24"/>
          <w:szCs w:val="24"/>
        </w:rPr>
        <w:t>审查备案证明》（湛国土资开备字</w:t>
      </w:r>
      <w:r>
        <w:rPr>
          <w:rFonts w:ascii="宋体" w:hAnsi="宋体" w:cs="宋体"/>
          <w:color w:val="000000"/>
          <w:sz w:val="24"/>
          <w:szCs w:val="24"/>
        </w:rPr>
        <w:t>[2016]5</w:t>
      </w:r>
      <w:r>
        <w:rPr>
          <w:rFonts w:hint="eastAsia" w:ascii="宋体" w:hAnsi="宋体" w:cs="宋体"/>
          <w:color w:val="000000"/>
          <w:sz w:val="24"/>
          <w:szCs w:val="24"/>
        </w:rPr>
        <w:t>号）（湛江市国土资源局，</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11</w:t>
      </w:r>
      <w:r>
        <w:rPr>
          <w:rFonts w:hint="eastAsia" w:ascii="宋体" w:hAnsi="宋体" w:cs="宋体"/>
          <w:color w:val="000000"/>
          <w:sz w:val="24"/>
          <w:szCs w:val="24"/>
        </w:rPr>
        <w:t>月</w:t>
      </w:r>
      <w:r>
        <w:rPr>
          <w:rFonts w:ascii="宋体" w:hAnsi="宋体" w:cs="宋体"/>
          <w:color w:val="000000"/>
          <w:sz w:val="24"/>
          <w:szCs w:val="24"/>
        </w:rPr>
        <w:t>17</w:t>
      </w:r>
      <w:r>
        <w:rPr>
          <w:rFonts w:hint="eastAsia" w:ascii="宋体" w:hAnsi="宋体" w:cs="宋体"/>
          <w:color w:val="000000"/>
          <w:sz w:val="24"/>
          <w:szCs w:val="24"/>
        </w:rPr>
        <w:t>日）（以下简称《详查报告审查备案证明》）；</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、《广东省遂溪县遂城镇洪家村矿区建筑用玄武岩矿矿产资源开发利用方案》（广东省地质物探工程勘察院，</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9</w:t>
      </w:r>
      <w:r>
        <w:rPr>
          <w:rFonts w:hint="eastAsia" w:ascii="宋体" w:hAnsi="宋体" w:cs="宋体"/>
          <w:color w:val="000000"/>
          <w:sz w:val="24"/>
          <w:szCs w:val="24"/>
        </w:rPr>
        <w:t>月）（以下简称《开发利用方案》）；</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5</w:t>
      </w:r>
      <w:r>
        <w:rPr>
          <w:rFonts w:hint="eastAsia" w:ascii="宋体" w:hAnsi="宋体" w:cs="宋体"/>
          <w:color w:val="000000"/>
          <w:sz w:val="24"/>
          <w:szCs w:val="24"/>
        </w:rPr>
        <w:t>、《广东省遂溪县遂城镇洪家村矿区建筑用玄武岩矿矿产资源开发利用方案审查意见书》（粤矿协审字</w:t>
      </w:r>
      <w:r>
        <w:rPr>
          <w:rFonts w:ascii="宋体" w:hAnsi="宋体" w:cs="宋体"/>
          <w:color w:val="000000"/>
          <w:sz w:val="24"/>
          <w:szCs w:val="24"/>
        </w:rPr>
        <w:t>[2016]38</w:t>
      </w:r>
      <w:r>
        <w:rPr>
          <w:rFonts w:hint="eastAsia" w:ascii="宋体" w:hAnsi="宋体" w:cs="宋体"/>
          <w:color w:val="000000"/>
          <w:sz w:val="24"/>
          <w:szCs w:val="24"/>
        </w:rPr>
        <w:t>号）（广东省矿业协会，</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11</w:t>
      </w:r>
      <w:r>
        <w:rPr>
          <w:rFonts w:hint="eastAsia" w:ascii="宋体" w:hAnsi="宋体" w:cs="宋体"/>
          <w:color w:val="000000"/>
          <w:sz w:val="24"/>
          <w:szCs w:val="24"/>
        </w:rPr>
        <w:t>月</w:t>
      </w:r>
      <w:r>
        <w:rPr>
          <w:rFonts w:ascii="宋体" w:hAnsi="宋体" w:cs="宋体"/>
          <w:color w:val="000000"/>
          <w:sz w:val="24"/>
          <w:szCs w:val="24"/>
        </w:rPr>
        <w:t>9</w:t>
      </w:r>
      <w:r>
        <w:rPr>
          <w:rFonts w:hint="eastAsia" w:ascii="宋体" w:hAnsi="宋体" w:cs="宋体"/>
          <w:color w:val="000000"/>
          <w:sz w:val="24"/>
          <w:szCs w:val="24"/>
        </w:rPr>
        <w:t>日）（以下简称《开发利用方案审查意见书》）；</w:t>
      </w:r>
    </w:p>
    <w:p>
      <w:pPr>
        <w:spacing w:line="360" w:lineRule="auto"/>
        <w:ind w:left="420" w:leftChars="200" w:firstLine="480" w:firstLineChars="200"/>
        <w:rPr>
          <w:rFonts w:ascii="宋体" w:cs="Times New Roman"/>
          <w:color w:val="000000"/>
          <w:sz w:val="24"/>
          <w:szCs w:val="24"/>
          <w:highlight w:val="yellow"/>
        </w:rPr>
      </w:pPr>
      <w:r>
        <w:rPr>
          <w:rFonts w:ascii="宋体" w:hAnsi="宋体" w:cs="宋体"/>
          <w:color w:val="000000"/>
          <w:sz w:val="24"/>
          <w:szCs w:val="24"/>
        </w:rPr>
        <w:t>6</w:t>
      </w:r>
      <w:r>
        <w:rPr>
          <w:rFonts w:hint="eastAsia" w:ascii="宋体" w:hAnsi="宋体" w:cs="宋体"/>
          <w:color w:val="000000"/>
          <w:sz w:val="24"/>
          <w:szCs w:val="24"/>
        </w:rPr>
        <w:t>、《关于</w:t>
      </w:r>
      <w:r>
        <w:rPr>
          <w:rFonts w:ascii="宋体" w:hAnsi="宋体" w:cs="宋体"/>
          <w:color w:val="000000"/>
          <w:sz w:val="24"/>
          <w:szCs w:val="24"/>
        </w:rPr>
        <w:t>&lt;</w:t>
      </w:r>
      <w:r>
        <w:rPr>
          <w:rFonts w:hint="eastAsia" w:ascii="宋体" w:hAnsi="宋体" w:cs="宋体"/>
          <w:color w:val="000000"/>
          <w:sz w:val="24"/>
          <w:szCs w:val="24"/>
        </w:rPr>
        <w:t>广东省遂溪县遂城镇洪家村矿区建筑用玄武岩矿矿产资源开发利用方案</w:t>
      </w:r>
      <w:r>
        <w:rPr>
          <w:rFonts w:ascii="宋体" w:hAnsi="宋体" w:cs="宋体"/>
          <w:color w:val="000000"/>
          <w:sz w:val="24"/>
          <w:szCs w:val="24"/>
        </w:rPr>
        <w:t>&gt;</w:t>
      </w:r>
      <w:r>
        <w:rPr>
          <w:rFonts w:hint="eastAsia" w:ascii="宋体" w:hAnsi="宋体" w:cs="宋体"/>
          <w:color w:val="000000"/>
          <w:sz w:val="24"/>
          <w:szCs w:val="24"/>
        </w:rPr>
        <w:t>审查备案证明》（湛国土资开备字</w:t>
      </w:r>
      <w:r>
        <w:rPr>
          <w:rFonts w:ascii="宋体" w:hAnsi="宋体" w:cs="宋体"/>
          <w:color w:val="000000"/>
          <w:sz w:val="24"/>
          <w:szCs w:val="24"/>
        </w:rPr>
        <w:t>[2016]5</w:t>
      </w:r>
      <w:r>
        <w:rPr>
          <w:rFonts w:hint="eastAsia" w:ascii="宋体" w:hAnsi="宋体" w:cs="宋体"/>
          <w:color w:val="000000"/>
          <w:sz w:val="24"/>
          <w:szCs w:val="24"/>
        </w:rPr>
        <w:t>号）（湛江市国土资源局，</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11</w:t>
      </w:r>
      <w:r>
        <w:rPr>
          <w:rFonts w:hint="eastAsia" w:ascii="宋体" w:hAnsi="宋体" w:cs="宋体"/>
          <w:color w:val="000000"/>
          <w:sz w:val="24"/>
          <w:szCs w:val="24"/>
        </w:rPr>
        <w:t>月</w:t>
      </w:r>
      <w:r>
        <w:rPr>
          <w:rFonts w:ascii="宋体" w:hAnsi="宋体" w:cs="宋体"/>
          <w:color w:val="000000"/>
          <w:sz w:val="24"/>
          <w:szCs w:val="24"/>
        </w:rPr>
        <w:t>17</w:t>
      </w:r>
      <w:r>
        <w:rPr>
          <w:rFonts w:hint="eastAsia" w:ascii="宋体" w:hAnsi="宋体" w:cs="宋体"/>
          <w:color w:val="000000"/>
          <w:sz w:val="24"/>
          <w:szCs w:val="24"/>
        </w:rPr>
        <w:t>日）（以下简称《开发利用方案审查备案证明》）。</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2" w:firstLineChars="200"/>
        <w:jc w:val="center"/>
        <w:outlineLvl w:val="0"/>
        <w:rPr>
          <w:rFonts w:ascii="宋体" w:cs="Times New Roman"/>
          <w:b/>
          <w:bCs/>
          <w:sz w:val="24"/>
          <w:szCs w:val="24"/>
        </w:rPr>
      </w:pPr>
      <w:bookmarkStart w:id="88" w:name="_Toc515199696"/>
      <w:bookmarkStart w:id="89" w:name="_Toc522712199"/>
      <w:r>
        <w:rPr>
          <w:rFonts w:hint="eastAsia" w:ascii="宋体" w:hAnsi="宋体" w:cs="宋体"/>
          <w:b/>
          <w:bCs/>
          <w:sz w:val="24"/>
          <w:szCs w:val="24"/>
        </w:rPr>
        <w:t>八、矿产资源勘查和开发概况</w:t>
      </w:r>
      <w:bookmarkEnd w:id="87"/>
      <w:bookmarkEnd w:id="88"/>
      <w:bookmarkEnd w:id="89"/>
    </w:p>
    <w:p>
      <w:pPr>
        <w:pStyle w:val="5"/>
        <w:spacing w:before="0" w:after="0" w:line="360" w:lineRule="auto"/>
        <w:ind w:left="420" w:leftChars="200" w:firstLine="482" w:firstLineChars="200"/>
        <w:rPr>
          <w:rFonts w:ascii="宋体" w:hAnsi="宋体" w:eastAsia="宋体" w:cs="Times New Roman"/>
        </w:rPr>
      </w:pPr>
      <w:bookmarkStart w:id="90" w:name="_Toc364775807"/>
      <w:bookmarkStart w:id="91" w:name="_Toc361838471"/>
      <w:bookmarkStart w:id="92" w:name="_Toc32507"/>
      <w:r>
        <w:rPr>
          <w:rFonts w:hint="eastAsia" w:ascii="宋体" w:hAnsi="宋体" w:eastAsia="宋体" w:cs="宋体"/>
        </w:rPr>
        <w:t>（一）矿区位置和交通、自然地理与经济概况</w:t>
      </w:r>
      <w:bookmarkEnd w:id="90"/>
      <w:bookmarkEnd w:id="91"/>
      <w:bookmarkEnd w:id="92"/>
    </w:p>
    <w:p>
      <w:pPr>
        <w:spacing w:line="360" w:lineRule="auto"/>
        <w:ind w:left="420" w:leftChars="200"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、矿区位置与交通</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广东省湛江市遂溪县遂城镇洪家村矿区建筑用玄武岩矿采矿权矿区位于遂溪县</w:t>
      </w:r>
      <w:r>
        <w:rPr>
          <w:rFonts w:ascii="宋体" w:hAnsi="宋体" w:cs="宋体"/>
          <w:color w:val="000000"/>
          <w:sz w:val="24"/>
          <w:szCs w:val="24"/>
        </w:rPr>
        <w:t>295</w:t>
      </w:r>
      <w:r>
        <w:rPr>
          <w:rFonts w:hint="eastAsia" w:ascii="宋体" w:hAnsi="宋体" w:cs="宋体"/>
          <w:color w:val="000000"/>
          <w:sz w:val="24"/>
          <w:szCs w:val="24"/>
        </w:rPr>
        <w:t>°方向，平距约</w:t>
      </w:r>
      <w:r>
        <w:rPr>
          <w:rFonts w:ascii="宋体" w:hAnsi="宋体" w:cs="宋体"/>
          <w:color w:val="000000"/>
          <w:sz w:val="24"/>
          <w:szCs w:val="24"/>
        </w:rPr>
        <w:t>7</w:t>
      </w:r>
      <w:r>
        <w:rPr>
          <w:rFonts w:hint="eastAsia" w:ascii="宋体" w:hAnsi="宋体" w:cs="宋体"/>
          <w:color w:val="000000"/>
          <w:sz w:val="24"/>
          <w:szCs w:val="24"/>
        </w:rPr>
        <w:t>公里处。中心地理坐标为：东经</w:t>
      </w:r>
      <w:r>
        <w:rPr>
          <w:rFonts w:ascii="宋体" w:hAnsi="宋体" w:cs="宋体"/>
          <w:color w:val="000000"/>
          <w:sz w:val="24"/>
          <w:szCs w:val="24"/>
        </w:rPr>
        <w:t>110</w:t>
      </w:r>
      <w:r>
        <w:rPr>
          <w:rFonts w:hint="eastAsia" w:ascii="宋体" w:hAnsi="宋体" w:cs="宋体"/>
          <w:color w:val="000000"/>
          <w:sz w:val="24"/>
          <w:szCs w:val="24"/>
        </w:rPr>
        <w:t>°</w:t>
      </w:r>
      <w:r>
        <w:rPr>
          <w:rFonts w:ascii="宋体" w:hAnsi="宋体" w:cs="宋体"/>
          <w:color w:val="000000"/>
          <w:sz w:val="24"/>
          <w:szCs w:val="24"/>
        </w:rPr>
        <w:t>10</w:t>
      </w:r>
      <w:r>
        <w:rPr>
          <w:rFonts w:hint="eastAsia" w:ascii="宋体" w:hAnsi="宋体" w:cs="宋体"/>
          <w:color w:val="000000"/>
          <w:sz w:val="24"/>
          <w:szCs w:val="24"/>
        </w:rPr>
        <w:t>′</w:t>
      </w:r>
      <w:r>
        <w:rPr>
          <w:rFonts w:ascii="宋体" w:hAnsi="宋体" w:cs="宋体"/>
          <w:color w:val="000000"/>
          <w:sz w:val="24"/>
          <w:szCs w:val="24"/>
        </w:rPr>
        <w:t>49.72</w:t>
      </w:r>
      <w:r>
        <w:rPr>
          <w:rFonts w:hint="eastAsia" w:ascii="宋体" w:hAnsi="宋体" w:cs="宋体"/>
          <w:color w:val="000000"/>
          <w:sz w:val="24"/>
          <w:szCs w:val="24"/>
        </w:rPr>
        <w:t>″，北纬</w:t>
      </w:r>
      <w:r>
        <w:rPr>
          <w:rFonts w:ascii="宋体" w:hAnsi="宋体" w:cs="宋体"/>
          <w:color w:val="000000"/>
          <w:sz w:val="24"/>
          <w:szCs w:val="24"/>
        </w:rPr>
        <w:t>21</w:t>
      </w:r>
      <w:r>
        <w:rPr>
          <w:rFonts w:hint="eastAsia" w:ascii="宋体" w:hAnsi="宋体" w:cs="宋体"/>
          <w:color w:val="000000"/>
          <w:sz w:val="24"/>
          <w:szCs w:val="24"/>
        </w:rPr>
        <w:t>°</w:t>
      </w:r>
      <w:r>
        <w:rPr>
          <w:rFonts w:ascii="宋体" w:hAnsi="宋体" w:cs="宋体"/>
          <w:color w:val="000000"/>
          <w:sz w:val="24"/>
          <w:szCs w:val="24"/>
        </w:rPr>
        <w:t>19</w:t>
      </w:r>
      <w:r>
        <w:rPr>
          <w:rFonts w:hint="eastAsia" w:ascii="宋体" w:hAnsi="宋体" w:cs="宋体"/>
          <w:color w:val="000000"/>
          <w:sz w:val="24"/>
          <w:szCs w:val="24"/>
        </w:rPr>
        <w:t>′</w:t>
      </w:r>
      <w:r>
        <w:rPr>
          <w:rFonts w:ascii="宋体" w:hAnsi="宋体" w:cs="宋体"/>
          <w:color w:val="000000"/>
          <w:sz w:val="24"/>
          <w:szCs w:val="24"/>
        </w:rPr>
        <w:t>38.67</w:t>
      </w:r>
      <w:r>
        <w:rPr>
          <w:rFonts w:hint="eastAsia" w:ascii="宋体" w:hAnsi="宋体" w:cs="宋体"/>
          <w:color w:val="000000"/>
          <w:sz w:val="24"/>
          <w:szCs w:val="24"/>
        </w:rPr>
        <w:t>″，矿区隶属遂溪县遂城镇管辖。</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矿区有长约</w:t>
      </w:r>
      <w:r>
        <w:rPr>
          <w:rFonts w:ascii="宋体" w:hAnsi="宋体" w:cs="宋体"/>
          <w:color w:val="000000"/>
          <w:sz w:val="24"/>
          <w:szCs w:val="24"/>
        </w:rPr>
        <w:t>3</w:t>
      </w:r>
      <w:r>
        <w:rPr>
          <w:rFonts w:hint="eastAsia" w:ascii="宋体" w:hAnsi="宋体" w:cs="宋体"/>
          <w:color w:val="000000"/>
          <w:sz w:val="24"/>
          <w:szCs w:val="24"/>
        </w:rPr>
        <w:t>公里的简易公路与</w:t>
      </w:r>
      <w:r>
        <w:rPr>
          <w:rFonts w:ascii="宋体" w:hAnsi="宋体" w:cs="宋体"/>
          <w:color w:val="000000"/>
          <w:sz w:val="24"/>
          <w:szCs w:val="24"/>
        </w:rPr>
        <w:t>G207</w:t>
      </w:r>
      <w:r>
        <w:rPr>
          <w:rFonts w:hint="eastAsia" w:ascii="宋体" w:hAnsi="宋体" w:cs="宋体"/>
          <w:color w:val="000000"/>
          <w:sz w:val="24"/>
          <w:szCs w:val="24"/>
        </w:rPr>
        <w:t>国道相通，沿</w:t>
      </w:r>
      <w:r>
        <w:rPr>
          <w:rFonts w:ascii="宋体" w:hAnsi="宋体" w:cs="宋体"/>
          <w:color w:val="000000"/>
          <w:sz w:val="24"/>
          <w:szCs w:val="24"/>
        </w:rPr>
        <w:t>207</w:t>
      </w:r>
      <w:r>
        <w:rPr>
          <w:rFonts w:hint="eastAsia" w:ascii="宋体" w:hAnsi="宋体" w:cs="宋体"/>
          <w:color w:val="000000"/>
          <w:sz w:val="24"/>
          <w:szCs w:val="24"/>
        </w:rPr>
        <w:t>国道向北约</w:t>
      </w:r>
      <w:r>
        <w:rPr>
          <w:rFonts w:ascii="宋体" w:hAnsi="宋体" w:cs="宋体"/>
          <w:color w:val="000000"/>
          <w:sz w:val="24"/>
          <w:szCs w:val="24"/>
        </w:rPr>
        <w:t>10</w:t>
      </w:r>
      <w:r>
        <w:rPr>
          <w:rFonts w:hint="eastAsia" w:ascii="宋体" w:hAnsi="宋体" w:cs="宋体"/>
          <w:color w:val="000000"/>
          <w:sz w:val="24"/>
          <w:szCs w:val="24"/>
        </w:rPr>
        <w:t>公里可到达遂溪县城，遂溪县有国道</w:t>
      </w:r>
      <w:r>
        <w:rPr>
          <w:rFonts w:ascii="宋体" w:hAnsi="宋体" w:cs="宋体"/>
          <w:color w:val="000000"/>
          <w:sz w:val="24"/>
          <w:szCs w:val="24"/>
        </w:rPr>
        <w:t>G325</w:t>
      </w:r>
      <w:r>
        <w:rPr>
          <w:rFonts w:hint="eastAsia" w:ascii="宋体" w:hAnsi="宋体" w:cs="宋体"/>
          <w:color w:val="000000"/>
          <w:sz w:val="24"/>
          <w:szCs w:val="24"/>
        </w:rPr>
        <w:t>和高速公路</w:t>
      </w:r>
      <w:r>
        <w:rPr>
          <w:rFonts w:ascii="宋体" w:hAnsi="宋体" w:cs="宋体"/>
          <w:color w:val="000000"/>
          <w:sz w:val="24"/>
          <w:szCs w:val="24"/>
        </w:rPr>
        <w:t>G15</w:t>
      </w:r>
      <w:r>
        <w:rPr>
          <w:rFonts w:hint="eastAsia" w:ascii="宋体" w:hAnsi="宋体" w:cs="宋体"/>
          <w:color w:val="000000"/>
          <w:sz w:val="24"/>
          <w:szCs w:val="24"/>
        </w:rPr>
        <w:t>与周边城市相通，交通条件便利（见交通位置图</w:t>
      </w:r>
      <w:r>
        <w:rPr>
          <w:rFonts w:ascii="宋体" w:hAnsi="宋体" w:cs="宋体"/>
          <w:color w:val="000000"/>
          <w:sz w:val="24"/>
          <w:szCs w:val="24"/>
        </w:rPr>
        <w:t>8-1</w:t>
      </w:r>
      <w:r>
        <w:rPr>
          <w:rFonts w:hint="eastAsia" w:ascii="宋体" w:hAnsi="宋体" w:cs="宋体"/>
          <w:color w:val="000000"/>
          <w:sz w:val="24"/>
          <w:szCs w:val="24"/>
        </w:rPr>
        <w:t>）。</w:t>
      </w:r>
    </w:p>
    <w:p>
      <w:pPr>
        <w:spacing w:line="360" w:lineRule="auto"/>
        <w:ind w:left="420" w:leftChars="200" w:firstLine="480" w:firstLineChars="200"/>
        <w:jc w:val="center"/>
        <w:rPr>
          <w:rFonts w:ascii="宋体" w:cs="Times New Roman"/>
          <w:color w:val="000000"/>
          <w:sz w:val="24"/>
          <w:szCs w:val="24"/>
          <w:highlight w:val="yellow"/>
        </w:rPr>
      </w:pPr>
      <w:r>
        <w:rPr>
          <w:rFonts w:cs="Times New Roman"/>
          <w:sz w:val="24"/>
          <w:szCs w:val="24"/>
        </w:rPr>
        <w:pict>
          <v:shape id="_x0000_i1025" o:spt="75" type="#_x0000_t75" style="height:312pt;width:318pt;" filled="f" o:preferrelative="t" stroked="f" coordsize="21600,21600">
            <v:path/>
            <v:fill on="f" focussize="0,0"/>
            <v:stroke on="f" joinstyle="miter"/>
            <v:imagedata r:id="rId10" o:title=""/>
            <o:lock v:ext="edit" aspectratio="t"/>
            <w10:wrap type="none"/>
            <w10:anchorlock/>
          </v:shape>
        </w:pict>
      </w:r>
    </w:p>
    <w:p>
      <w:pPr>
        <w:spacing w:line="360" w:lineRule="auto"/>
        <w:ind w:left="420" w:leftChars="200" w:firstLine="420" w:firstLineChars="200"/>
        <w:jc w:val="center"/>
        <w:rPr>
          <w:rFonts w:ascii="宋体" w:cs="Times New Roman"/>
          <w:color w:val="000000"/>
        </w:rPr>
      </w:pPr>
      <w:r>
        <w:rPr>
          <w:rFonts w:hint="eastAsia" w:ascii="宋体" w:hAnsi="宋体" w:cs="宋体"/>
          <w:color w:val="000000"/>
        </w:rPr>
        <w:t>图</w:t>
      </w:r>
      <w:r>
        <w:rPr>
          <w:rFonts w:ascii="宋体" w:hAnsi="宋体" w:cs="宋体"/>
          <w:color w:val="000000"/>
        </w:rPr>
        <w:t xml:space="preserve">8-1  </w:t>
      </w:r>
      <w:r>
        <w:rPr>
          <w:rFonts w:hint="eastAsia" w:ascii="宋体" w:hAnsi="宋体" w:cs="宋体"/>
          <w:color w:val="000000"/>
        </w:rPr>
        <w:t>交通位置图</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、自然地理与气候条件及经济概况</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）自然地理条件</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矿区属雷州半岛准平原地区，东濒南海，南隔琼州海峡与大特区海南省相望，西临北部湾，矿区地势整体平坦，地形起伏较小。高程介于</w:t>
      </w:r>
      <w:r>
        <w:rPr>
          <w:rFonts w:ascii="宋体" w:hAnsi="宋体" w:cs="宋体"/>
          <w:color w:val="000000"/>
          <w:sz w:val="24"/>
          <w:szCs w:val="24"/>
        </w:rPr>
        <w:t>+62</w:t>
      </w:r>
      <w:r>
        <w:rPr>
          <w:rFonts w:hint="eastAsia" w:ascii="宋体" w:hAnsi="宋体" w:cs="宋体"/>
          <w:color w:val="000000"/>
          <w:sz w:val="24"/>
          <w:szCs w:val="24"/>
        </w:rPr>
        <w:t>米～</w:t>
      </w:r>
      <w:r>
        <w:rPr>
          <w:rFonts w:ascii="宋体" w:hAnsi="宋体" w:cs="宋体"/>
          <w:color w:val="000000"/>
          <w:sz w:val="24"/>
          <w:szCs w:val="24"/>
        </w:rPr>
        <w:t>+53.76</w:t>
      </w:r>
      <w:r>
        <w:rPr>
          <w:rFonts w:hint="eastAsia" w:ascii="宋体" w:hAnsi="宋体" w:cs="宋体"/>
          <w:color w:val="000000"/>
          <w:sz w:val="24"/>
          <w:szCs w:val="24"/>
        </w:rPr>
        <w:t>米之间，相对高差最大为</w:t>
      </w:r>
      <w:r>
        <w:rPr>
          <w:rFonts w:ascii="宋体" w:hAnsi="宋体" w:cs="宋体"/>
          <w:color w:val="000000"/>
          <w:sz w:val="24"/>
          <w:szCs w:val="24"/>
        </w:rPr>
        <w:t>8.24</w:t>
      </w:r>
      <w:r>
        <w:rPr>
          <w:rFonts w:hint="eastAsia" w:ascii="宋体" w:hAnsi="宋体" w:cs="宋体"/>
          <w:color w:val="000000"/>
          <w:sz w:val="24"/>
          <w:szCs w:val="24"/>
        </w:rPr>
        <w:t>米，地形坡度一般在</w:t>
      </w:r>
      <w:r>
        <w:rPr>
          <w:rFonts w:ascii="宋体" w:hAnsi="宋体" w:cs="宋体"/>
          <w:color w:val="000000"/>
          <w:sz w:val="24"/>
          <w:szCs w:val="24"/>
        </w:rPr>
        <w:t>10</w:t>
      </w:r>
      <w:r>
        <w:rPr>
          <w:rFonts w:hint="eastAsia" w:ascii="宋体" w:hAnsi="宋体" w:cs="宋体"/>
          <w:color w:val="000000"/>
          <w:sz w:val="24"/>
          <w:szCs w:val="24"/>
        </w:rPr>
        <w:t>°左右，区内主要为种植甘蔗旱地或林地，少量杂草。矿区范围内地表水体不发育，地形复杂程度简单。</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）气候条件</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矿区处于热带和亚热带的过渡带，属南亚热带季风气候，光照充足，雨量丰富。</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据湛江市气象统计资料（</w:t>
      </w:r>
      <w:r>
        <w:rPr>
          <w:rFonts w:ascii="宋体" w:hAnsi="宋体" w:cs="宋体"/>
          <w:color w:val="000000"/>
          <w:sz w:val="24"/>
          <w:szCs w:val="24"/>
        </w:rPr>
        <w:t>1951</w:t>
      </w:r>
      <w:r>
        <w:rPr>
          <w:rFonts w:hint="eastAsia" w:ascii="宋体" w:hAnsi="宋体" w:cs="宋体"/>
          <w:color w:val="000000"/>
          <w:sz w:val="24"/>
          <w:szCs w:val="24"/>
        </w:rPr>
        <w:t>～</w:t>
      </w:r>
      <w:r>
        <w:rPr>
          <w:rFonts w:ascii="宋体" w:hAnsi="宋体" w:cs="宋体"/>
          <w:color w:val="000000"/>
          <w:sz w:val="24"/>
          <w:szCs w:val="24"/>
        </w:rPr>
        <w:t>2015</w:t>
      </w:r>
      <w:r>
        <w:rPr>
          <w:rFonts w:hint="eastAsia" w:ascii="宋体" w:hAnsi="宋体" w:cs="宋体"/>
          <w:color w:val="000000"/>
          <w:sz w:val="24"/>
          <w:szCs w:val="24"/>
        </w:rPr>
        <w:t>年），气象参数如下：</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年平均气温</w:t>
      </w:r>
      <w:r>
        <w:rPr>
          <w:rFonts w:ascii="宋体" w:hAnsi="宋体" w:cs="宋体"/>
          <w:color w:val="000000"/>
          <w:sz w:val="24"/>
          <w:szCs w:val="24"/>
        </w:rPr>
        <w:t>22.7</w:t>
      </w:r>
      <w:r>
        <w:rPr>
          <w:rFonts w:hint="eastAsia" w:ascii="宋体" w:hAnsi="宋体" w:cs="宋体"/>
          <w:color w:val="000000"/>
          <w:sz w:val="24"/>
          <w:szCs w:val="24"/>
        </w:rPr>
        <w:t>～</w:t>
      </w:r>
      <w:r>
        <w:rPr>
          <w:rFonts w:ascii="宋体" w:hAnsi="宋体" w:cs="宋体"/>
          <w:color w:val="000000"/>
          <w:sz w:val="24"/>
          <w:szCs w:val="24"/>
        </w:rPr>
        <w:t>23.5</w:t>
      </w:r>
      <w:r>
        <w:rPr>
          <w:rFonts w:hint="eastAsia" w:ascii="宋体" w:hAnsi="宋体" w:cs="宋体"/>
          <w:color w:val="000000"/>
          <w:sz w:val="24"/>
          <w:szCs w:val="24"/>
        </w:rPr>
        <w:t>℃，年极端最高气温</w:t>
      </w:r>
      <w:r>
        <w:rPr>
          <w:rFonts w:ascii="宋体" w:hAnsi="宋体" w:cs="宋体"/>
          <w:color w:val="000000"/>
          <w:sz w:val="24"/>
          <w:szCs w:val="24"/>
        </w:rPr>
        <w:t>37.6</w:t>
      </w:r>
      <w:r>
        <w:rPr>
          <w:rFonts w:hint="eastAsia" w:ascii="宋体" w:hAnsi="宋体" w:cs="宋体"/>
          <w:color w:val="000000"/>
          <w:sz w:val="24"/>
          <w:szCs w:val="24"/>
        </w:rPr>
        <w:t>℃（</w:t>
      </w:r>
      <w:r>
        <w:rPr>
          <w:rFonts w:ascii="宋体" w:hAnsi="宋体" w:cs="宋体"/>
          <w:color w:val="000000"/>
          <w:sz w:val="24"/>
          <w:szCs w:val="24"/>
        </w:rPr>
        <w:t>1958</w:t>
      </w:r>
      <w:r>
        <w:rPr>
          <w:rFonts w:hint="eastAsia" w:ascii="宋体" w:hAnsi="宋体" w:cs="宋体"/>
          <w:color w:val="000000"/>
          <w:sz w:val="24"/>
          <w:szCs w:val="24"/>
        </w:rPr>
        <w:t>年</w:t>
      </w:r>
      <w:r>
        <w:rPr>
          <w:rFonts w:ascii="宋体" w:hAnsi="宋体" w:cs="宋体"/>
          <w:color w:val="000000"/>
          <w:sz w:val="24"/>
          <w:szCs w:val="24"/>
        </w:rPr>
        <w:t>5</w:t>
      </w:r>
      <w:r>
        <w:rPr>
          <w:rFonts w:hint="eastAsia" w:ascii="宋体" w:hAnsi="宋体" w:cs="宋体"/>
          <w:color w:val="000000"/>
          <w:sz w:val="24"/>
          <w:szCs w:val="24"/>
        </w:rPr>
        <w:t>月</w:t>
      </w:r>
      <w:r>
        <w:rPr>
          <w:rFonts w:ascii="宋体" w:hAnsi="宋体" w:cs="宋体"/>
          <w:color w:val="000000"/>
          <w:sz w:val="24"/>
          <w:szCs w:val="24"/>
        </w:rPr>
        <w:t>10</w:t>
      </w:r>
      <w:r>
        <w:rPr>
          <w:rFonts w:hint="eastAsia" w:ascii="宋体" w:hAnsi="宋体" w:cs="宋体"/>
          <w:color w:val="000000"/>
          <w:sz w:val="24"/>
          <w:szCs w:val="24"/>
        </w:rPr>
        <w:t>日），年极端</w:t>
      </w:r>
      <w:r>
        <w:rPr>
          <w:rFonts w:ascii="宋体" w:hAnsi="宋体" w:cs="宋体"/>
          <w:color w:val="000000"/>
          <w:sz w:val="24"/>
          <w:szCs w:val="24"/>
        </w:rPr>
        <w:t>+-</w:t>
      </w:r>
      <w:r>
        <w:rPr>
          <w:rFonts w:hint="eastAsia" w:ascii="宋体" w:hAnsi="宋体" w:cs="宋体"/>
          <w:color w:val="000000"/>
          <w:sz w:val="24"/>
          <w:szCs w:val="24"/>
        </w:rPr>
        <w:t>最低气温</w:t>
      </w:r>
      <w:r>
        <w:rPr>
          <w:rFonts w:ascii="宋体" w:hAnsi="宋体" w:cs="宋体"/>
          <w:color w:val="000000"/>
          <w:sz w:val="24"/>
          <w:szCs w:val="24"/>
        </w:rPr>
        <w:t>-1.4</w:t>
      </w:r>
      <w:r>
        <w:rPr>
          <w:rFonts w:hint="eastAsia" w:ascii="宋体" w:hAnsi="宋体" w:cs="宋体"/>
          <w:color w:val="000000"/>
          <w:sz w:val="24"/>
          <w:szCs w:val="24"/>
        </w:rPr>
        <w:t>℃（</w:t>
      </w:r>
      <w:r>
        <w:rPr>
          <w:rFonts w:ascii="宋体" w:hAnsi="宋体" w:cs="宋体"/>
          <w:color w:val="000000"/>
          <w:sz w:val="24"/>
          <w:szCs w:val="24"/>
        </w:rPr>
        <w:t>1966</w:t>
      </w:r>
      <w:r>
        <w:rPr>
          <w:rFonts w:hint="eastAsia" w:ascii="宋体" w:hAnsi="宋体" w:cs="宋体"/>
          <w:color w:val="000000"/>
          <w:sz w:val="24"/>
          <w:szCs w:val="24"/>
        </w:rPr>
        <w:t>年</w:t>
      </w:r>
      <w:r>
        <w:rPr>
          <w:rFonts w:ascii="宋体" w:hAnsi="宋体" w:cs="宋体"/>
          <w:color w:val="000000"/>
          <w:sz w:val="24"/>
          <w:szCs w:val="24"/>
        </w:rPr>
        <w:t>1</w:t>
      </w:r>
      <w:r>
        <w:rPr>
          <w:rFonts w:hint="eastAsia" w:ascii="宋体" w:hAnsi="宋体" w:cs="宋体"/>
          <w:color w:val="000000"/>
          <w:sz w:val="24"/>
          <w:szCs w:val="24"/>
        </w:rPr>
        <w:t>月</w:t>
      </w:r>
      <w:r>
        <w:rPr>
          <w:rFonts w:ascii="宋体" w:hAnsi="宋体" w:cs="宋体"/>
          <w:color w:val="000000"/>
          <w:sz w:val="24"/>
          <w:szCs w:val="24"/>
        </w:rPr>
        <w:t>17</w:t>
      </w:r>
      <w:r>
        <w:rPr>
          <w:rFonts w:hint="eastAsia" w:ascii="宋体" w:hAnsi="宋体" w:cs="宋体"/>
          <w:color w:val="000000"/>
          <w:sz w:val="24"/>
          <w:szCs w:val="24"/>
        </w:rPr>
        <w:t>日），年平均蒸发量</w:t>
      </w:r>
      <w:r>
        <w:rPr>
          <w:rFonts w:ascii="宋体" w:hAnsi="宋体" w:cs="宋体"/>
          <w:color w:val="000000"/>
          <w:sz w:val="24"/>
          <w:szCs w:val="24"/>
        </w:rPr>
        <w:t>1840.1</w:t>
      </w:r>
      <w:r>
        <w:rPr>
          <w:rFonts w:hint="eastAsia" w:ascii="宋体" w:hAnsi="宋体" w:cs="宋体"/>
          <w:color w:val="000000"/>
          <w:sz w:val="24"/>
          <w:szCs w:val="24"/>
        </w:rPr>
        <w:t>毫米，年降水量</w:t>
      </w:r>
      <w:r>
        <w:rPr>
          <w:rFonts w:ascii="宋体" w:hAnsi="宋体" w:cs="宋体"/>
          <w:color w:val="000000"/>
          <w:sz w:val="24"/>
          <w:szCs w:val="24"/>
        </w:rPr>
        <w:t>1100</w:t>
      </w:r>
      <w:r>
        <w:rPr>
          <w:rFonts w:hint="eastAsia" w:ascii="宋体" w:hAnsi="宋体" w:cs="宋体"/>
          <w:color w:val="000000"/>
          <w:sz w:val="24"/>
          <w:szCs w:val="24"/>
        </w:rPr>
        <w:t>～</w:t>
      </w:r>
      <w:r>
        <w:rPr>
          <w:rFonts w:ascii="宋体" w:hAnsi="宋体" w:cs="宋体"/>
          <w:color w:val="000000"/>
          <w:sz w:val="24"/>
          <w:szCs w:val="24"/>
        </w:rPr>
        <w:t>1800</w:t>
      </w:r>
      <w:r>
        <w:rPr>
          <w:rFonts w:hint="eastAsia" w:ascii="宋体" w:hAnsi="宋体" w:cs="宋体"/>
          <w:color w:val="000000"/>
          <w:sz w:val="24"/>
          <w:szCs w:val="24"/>
        </w:rPr>
        <w:t>毫米，年平均降水量</w:t>
      </w:r>
      <w:r>
        <w:rPr>
          <w:rFonts w:ascii="宋体" w:hAnsi="宋体" w:cs="宋体"/>
          <w:color w:val="000000"/>
          <w:sz w:val="24"/>
          <w:szCs w:val="24"/>
        </w:rPr>
        <w:t>1590.8</w:t>
      </w:r>
      <w:r>
        <w:rPr>
          <w:rFonts w:hint="eastAsia" w:ascii="宋体" w:hAnsi="宋体" w:cs="宋体"/>
          <w:color w:val="000000"/>
          <w:sz w:val="24"/>
          <w:szCs w:val="24"/>
        </w:rPr>
        <w:t>毫米，年最大降水量</w:t>
      </w:r>
      <w:r>
        <w:rPr>
          <w:rFonts w:ascii="宋体" w:hAnsi="宋体" w:cs="宋体"/>
          <w:color w:val="000000"/>
          <w:sz w:val="24"/>
          <w:szCs w:val="24"/>
        </w:rPr>
        <w:t>2710.0</w:t>
      </w:r>
      <w:r>
        <w:rPr>
          <w:rFonts w:hint="eastAsia" w:ascii="宋体" w:hAnsi="宋体" w:cs="宋体"/>
          <w:color w:val="000000"/>
          <w:sz w:val="24"/>
          <w:szCs w:val="24"/>
        </w:rPr>
        <w:t>毫米（</w:t>
      </w:r>
      <w:r>
        <w:rPr>
          <w:rFonts w:ascii="宋体" w:hAnsi="宋体" w:cs="宋体"/>
          <w:color w:val="000000"/>
          <w:sz w:val="24"/>
          <w:szCs w:val="24"/>
        </w:rPr>
        <w:t>1985</w:t>
      </w:r>
      <w:r>
        <w:rPr>
          <w:rFonts w:hint="eastAsia" w:ascii="宋体" w:hAnsi="宋体" w:cs="宋体"/>
          <w:color w:val="000000"/>
          <w:sz w:val="24"/>
          <w:szCs w:val="24"/>
        </w:rPr>
        <w:t>年），年最小降雨量</w:t>
      </w:r>
      <w:r>
        <w:rPr>
          <w:rFonts w:ascii="宋体" w:hAnsi="宋体" w:cs="宋体"/>
          <w:color w:val="000000"/>
          <w:sz w:val="24"/>
          <w:szCs w:val="24"/>
        </w:rPr>
        <w:t>678.0</w:t>
      </w:r>
      <w:r>
        <w:rPr>
          <w:rFonts w:hint="eastAsia" w:ascii="宋体" w:hAnsi="宋体" w:cs="宋体"/>
          <w:color w:val="000000"/>
          <w:sz w:val="24"/>
          <w:szCs w:val="24"/>
        </w:rPr>
        <w:t>毫米（</w:t>
      </w:r>
      <w:r>
        <w:rPr>
          <w:rFonts w:ascii="宋体" w:hAnsi="宋体" w:cs="宋体"/>
          <w:color w:val="000000"/>
          <w:sz w:val="24"/>
          <w:szCs w:val="24"/>
        </w:rPr>
        <w:t>1955</w:t>
      </w:r>
      <w:r>
        <w:rPr>
          <w:rFonts w:hint="eastAsia" w:ascii="宋体" w:hAnsi="宋体" w:cs="宋体"/>
          <w:color w:val="000000"/>
          <w:sz w:val="24"/>
          <w:szCs w:val="24"/>
        </w:rPr>
        <w:t>年），月最大降水量</w:t>
      </w:r>
      <w:r>
        <w:rPr>
          <w:rFonts w:ascii="宋体" w:hAnsi="宋体" w:cs="宋体"/>
          <w:color w:val="000000"/>
          <w:sz w:val="24"/>
          <w:szCs w:val="24"/>
        </w:rPr>
        <w:t>907</w:t>
      </w:r>
      <w:r>
        <w:rPr>
          <w:rFonts w:hint="eastAsia" w:ascii="宋体" w:hAnsi="宋体" w:cs="宋体"/>
          <w:color w:val="000000"/>
          <w:sz w:val="24"/>
          <w:szCs w:val="24"/>
        </w:rPr>
        <w:t>毫米（</w:t>
      </w:r>
      <w:r>
        <w:rPr>
          <w:rFonts w:ascii="宋体" w:hAnsi="宋体" w:cs="宋体"/>
          <w:color w:val="000000"/>
          <w:sz w:val="24"/>
          <w:szCs w:val="24"/>
        </w:rPr>
        <w:t>1985</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月），日最大降水量</w:t>
      </w:r>
      <w:r>
        <w:rPr>
          <w:rFonts w:ascii="宋体" w:hAnsi="宋体" w:cs="宋体"/>
          <w:color w:val="000000"/>
          <w:sz w:val="24"/>
          <w:szCs w:val="24"/>
        </w:rPr>
        <w:t>343.3</w:t>
      </w:r>
      <w:r>
        <w:rPr>
          <w:rFonts w:hint="eastAsia" w:ascii="宋体" w:hAnsi="宋体" w:cs="宋体"/>
          <w:color w:val="000000"/>
          <w:sz w:val="24"/>
          <w:szCs w:val="24"/>
        </w:rPr>
        <w:t>毫米（</w:t>
      </w:r>
      <w:r>
        <w:rPr>
          <w:rFonts w:ascii="宋体" w:hAnsi="宋体" w:cs="宋体"/>
          <w:color w:val="000000"/>
          <w:sz w:val="24"/>
          <w:szCs w:val="24"/>
        </w:rPr>
        <w:t>2007</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w:t>
      </w:r>
      <w:r>
        <w:rPr>
          <w:rFonts w:ascii="宋体" w:hAnsi="宋体" w:cs="宋体"/>
          <w:color w:val="000000"/>
          <w:sz w:val="24"/>
          <w:szCs w:val="24"/>
        </w:rPr>
        <w:t>12</w:t>
      </w:r>
      <w:r>
        <w:rPr>
          <w:rFonts w:hint="eastAsia" w:ascii="宋体" w:hAnsi="宋体" w:cs="宋体"/>
          <w:color w:val="000000"/>
          <w:sz w:val="24"/>
          <w:szCs w:val="24"/>
        </w:rPr>
        <w:t>日），日平均降水量</w:t>
      </w:r>
      <w:r>
        <w:rPr>
          <w:rFonts w:ascii="宋体" w:hAnsi="宋体" w:cs="宋体"/>
          <w:color w:val="000000"/>
          <w:sz w:val="24"/>
          <w:szCs w:val="24"/>
        </w:rPr>
        <w:t>60.5</w:t>
      </w:r>
      <w:r>
        <w:rPr>
          <w:rFonts w:hint="eastAsia" w:ascii="宋体" w:hAnsi="宋体" w:cs="宋体"/>
          <w:color w:val="000000"/>
          <w:sz w:val="24"/>
          <w:szCs w:val="24"/>
        </w:rPr>
        <w:t>毫米，时最大降雨量</w:t>
      </w:r>
      <w:r>
        <w:rPr>
          <w:rFonts w:ascii="宋体" w:hAnsi="宋体" w:cs="宋体"/>
          <w:color w:val="000000"/>
          <w:sz w:val="24"/>
          <w:szCs w:val="24"/>
        </w:rPr>
        <w:t>158.5</w:t>
      </w:r>
      <w:r>
        <w:rPr>
          <w:rFonts w:hint="eastAsia" w:ascii="宋体" w:hAnsi="宋体" w:cs="宋体"/>
          <w:color w:val="000000"/>
          <w:sz w:val="24"/>
          <w:szCs w:val="24"/>
        </w:rPr>
        <w:t>毫米（</w:t>
      </w:r>
      <w:r>
        <w:rPr>
          <w:rFonts w:ascii="宋体" w:hAnsi="宋体" w:cs="宋体"/>
          <w:color w:val="000000"/>
          <w:sz w:val="24"/>
          <w:szCs w:val="24"/>
        </w:rPr>
        <w:t>2007</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w:t>
      </w:r>
      <w:r>
        <w:rPr>
          <w:rFonts w:ascii="宋体" w:hAnsi="宋体" w:cs="宋体"/>
          <w:color w:val="000000"/>
          <w:sz w:val="24"/>
          <w:szCs w:val="24"/>
        </w:rPr>
        <w:t>13</w:t>
      </w:r>
      <w:r>
        <w:rPr>
          <w:rFonts w:hint="eastAsia" w:ascii="宋体" w:hAnsi="宋体" w:cs="宋体"/>
          <w:color w:val="000000"/>
          <w:sz w:val="24"/>
          <w:szCs w:val="24"/>
        </w:rPr>
        <w:t>日），年平均降雨日</w:t>
      </w:r>
      <w:r>
        <w:rPr>
          <w:rFonts w:ascii="宋体" w:hAnsi="宋体" w:cs="宋体"/>
          <w:color w:val="000000"/>
          <w:sz w:val="24"/>
          <w:szCs w:val="24"/>
        </w:rPr>
        <w:t>126</w:t>
      </w:r>
      <w:r>
        <w:rPr>
          <w:rFonts w:hint="eastAsia" w:ascii="宋体" w:hAnsi="宋体" w:cs="宋体"/>
          <w:color w:val="000000"/>
          <w:sz w:val="24"/>
          <w:szCs w:val="24"/>
        </w:rPr>
        <w:t>天，降水分配：降水多集中在</w:t>
      </w:r>
      <w:r>
        <w:rPr>
          <w:rFonts w:ascii="宋体" w:hAnsi="宋体" w:cs="宋体"/>
          <w:color w:val="000000"/>
          <w:sz w:val="24"/>
          <w:szCs w:val="24"/>
        </w:rPr>
        <w:t>4</w:t>
      </w:r>
      <w:r>
        <w:rPr>
          <w:rFonts w:hint="eastAsia" w:ascii="宋体" w:hAnsi="宋体" w:cs="宋体"/>
          <w:color w:val="000000"/>
          <w:sz w:val="24"/>
          <w:szCs w:val="24"/>
        </w:rPr>
        <w:t>～</w:t>
      </w:r>
      <w:r>
        <w:rPr>
          <w:rFonts w:ascii="宋体" w:hAnsi="宋体" w:cs="宋体"/>
          <w:color w:val="000000"/>
          <w:sz w:val="24"/>
          <w:szCs w:val="24"/>
        </w:rPr>
        <w:t>9</w:t>
      </w:r>
      <w:r>
        <w:rPr>
          <w:rFonts w:hint="eastAsia" w:ascii="宋体" w:hAnsi="宋体" w:cs="宋体"/>
          <w:color w:val="000000"/>
          <w:sz w:val="24"/>
          <w:szCs w:val="24"/>
        </w:rPr>
        <w:t>月，约占全年</w:t>
      </w:r>
      <w:r>
        <w:rPr>
          <w:rFonts w:ascii="宋体" w:hAnsi="宋体" w:cs="宋体"/>
          <w:color w:val="000000"/>
          <w:sz w:val="24"/>
          <w:szCs w:val="24"/>
        </w:rPr>
        <w:t>82%</w:t>
      </w:r>
      <w:r>
        <w:rPr>
          <w:rFonts w:hint="eastAsia" w:ascii="宋体" w:hAnsi="宋体" w:cs="宋体"/>
          <w:color w:val="000000"/>
          <w:sz w:val="24"/>
          <w:szCs w:val="24"/>
        </w:rPr>
        <w:t>，有雨季、旱季之分。</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雷暴：年平均雷暴日</w:t>
      </w:r>
      <w:r>
        <w:rPr>
          <w:rFonts w:ascii="宋体" w:hAnsi="宋体" w:cs="宋体"/>
          <w:color w:val="000000"/>
          <w:sz w:val="24"/>
          <w:szCs w:val="24"/>
        </w:rPr>
        <w:t>100</w:t>
      </w:r>
      <w:r>
        <w:rPr>
          <w:rFonts w:hint="eastAsia" w:ascii="宋体" w:hAnsi="宋体" w:cs="宋体"/>
          <w:color w:val="000000"/>
          <w:sz w:val="24"/>
          <w:szCs w:val="24"/>
        </w:rPr>
        <w:t>天，主要发生在</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11</w:t>
      </w:r>
      <w:r>
        <w:rPr>
          <w:rFonts w:hint="eastAsia" w:ascii="宋体" w:hAnsi="宋体" w:cs="宋体"/>
          <w:color w:val="000000"/>
          <w:sz w:val="24"/>
          <w:szCs w:val="24"/>
        </w:rPr>
        <w:t>月。</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风况：</w:t>
      </w:r>
      <w:r>
        <w:rPr>
          <w:rFonts w:ascii="宋体" w:hAnsi="宋体" w:cs="宋体"/>
          <w:color w:val="000000"/>
          <w:sz w:val="24"/>
          <w:szCs w:val="24"/>
        </w:rPr>
        <w:t>4</w:t>
      </w:r>
      <w:r>
        <w:rPr>
          <w:rFonts w:hint="eastAsia" w:ascii="宋体" w:hAnsi="宋体" w:cs="宋体"/>
          <w:color w:val="000000"/>
          <w:sz w:val="24"/>
          <w:szCs w:val="24"/>
        </w:rPr>
        <w:t>～</w:t>
      </w:r>
      <w:r>
        <w:rPr>
          <w:rFonts w:ascii="宋体" w:hAnsi="宋体" w:cs="宋体"/>
          <w:color w:val="000000"/>
          <w:sz w:val="24"/>
          <w:szCs w:val="24"/>
        </w:rPr>
        <w:t>9</w:t>
      </w:r>
      <w:r>
        <w:rPr>
          <w:rFonts w:hint="eastAsia" w:ascii="宋体" w:hAnsi="宋体" w:cs="宋体"/>
          <w:color w:val="000000"/>
          <w:sz w:val="24"/>
          <w:szCs w:val="24"/>
        </w:rPr>
        <w:t>月多东及东南风，</w:t>
      </w:r>
      <w:r>
        <w:rPr>
          <w:rFonts w:ascii="宋体" w:hAnsi="宋体" w:cs="宋体"/>
          <w:color w:val="000000"/>
          <w:sz w:val="24"/>
          <w:szCs w:val="24"/>
        </w:rPr>
        <w:t>10</w:t>
      </w:r>
      <w:r>
        <w:rPr>
          <w:rFonts w:hint="eastAsia" w:ascii="宋体" w:hAnsi="宋体" w:cs="宋体"/>
          <w:color w:val="000000"/>
          <w:sz w:val="24"/>
          <w:szCs w:val="24"/>
        </w:rPr>
        <w:t>月～次年</w:t>
      </w:r>
      <w:r>
        <w:rPr>
          <w:rFonts w:ascii="宋体" w:hAnsi="宋体" w:cs="宋体"/>
          <w:color w:val="000000"/>
          <w:sz w:val="24"/>
          <w:szCs w:val="24"/>
        </w:rPr>
        <w:t>3</w:t>
      </w:r>
      <w:r>
        <w:rPr>
          <w:rFonts w:hint="eastAsia" w:ascii="宋体" w:hAnsi="宋体" w:cs="宋体"/>
          <w:color w:val="000000"/>
          <w:sz w:val="24"/>
          <w:szCs w:val="24"/>
        </w:rPr>
        <w:t>月盛行北及东北风，一般</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级，最大达</w:t>
      </w:r>
      <w:r>
        <w:rPr>
          <w:rFonts w:ascii="宋体" w:hAnsi="宋体" w:cs="宋体"/>
          <w:color w:val="000000"/>
          <w:sz w:val="24"/>
          <w:szCs w:val="24"/>
        </w:rPr>
        <w:t>6</w:t>
      </w: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级。热带风暴一般发生于</w:t>
      </w:r>
      <w:r>
        <w:rPr>
          <w:rFonts w:ascii="宋体" w:hAnsi="宋体" w:cs="宋体"/>
          <w:color w:val="000000"/>
          <w:sz w:val="24"/>
          <w:szCs w:val="24"/>
        </w:rPr>
        <w:t>5</w:t>
      </w:r>
      <w:r>
        <w:rPr>
          <w:rFonts w:hint="eastAsia" w:ascii="宋体" w:hAnsi="宋体" w:cs="宋体"/>
          <w:color w:val="000000"/>
          <w:sz w:val="24"/>
          <w:szCs w:val="24"/>
        </w:rPr>
        <w:t>～</w:t>
      </w:r>
      <w:r>
        <w:rPr>
          <w:rFonts w:ascii="宋体" w:hAnsi="宋体" w:cs="宋体"/>
          <w:color w:val="000000"/>
          <w:sz w:val="24"/>
          <w:szCs w:val="24"/>
        </w:rPr>
        <w:t>11</w:t>
      </w:r>
      <w:r>
        <w:rPr>
          <w:rFonts w:hint="eastAsia" w:ascii="宋体" w:hAnsi="宋体" w:cs="宋体"/>
          <w:color w:val="000000"/>
          <w:sz w:val="24"/>
          <w:szCs w:val="24"/>
        </w:rPr>
        <w:t>月，以</w:t>
      </w:r>
      <w:r>
        <w:rPr>
          <w:rFonts w:ascii="宋体" w:hAnsi="宋体" w:cs="宋体"/>
          <w:color w:val="000000"/>
          <w:sz w:val="24"/>
          <w:szCs w:val="24"/>
        </w:rPr>
        <w:t>7</w:t>
      </w:r>
      <w:r>
        <w:rPr>
          <w:rFonts w:hint="eastAsia" w:ascii="宋体" w:hAnsi="宋体" w:cs="宋体"/>
          <w:color w:val="000000"/>
          <w:sz w:val="24"/>
          <w:szCs w:val="24"/>
        </w:rPr>
        <w:t>～</w:t>
      </w:r>
      <w:r>
        <w:rPr>
          <w:rFonts w:ascii="宋体" w:hAnsi="宋体" w:cs="宋体"/>
          <w:color w:val="000000"/>
          <w:sz w:val="24"/>
          <w:szCs w:val="24"/>
        </w:rPr>
        <w:t>9</w:t>
      </w:r>
      <w:r>
        <w:rPr>
          <w:rFonts w:hint="eastAsia" w:ascii="宋体" w:hAnsi="宋体" w:cs="宋体"/>
          <w:color w:val="000000"/>
          <w:sz w:val="24"/>
          <w:szCs w:val="24"/>
        </w:rPr>
        <w:t>月居多，平均每年</w:t>
      </w:r>
      <w:r>
        <w:rPr>
          <w:rFonts w:ascii="宋体" w:hAnsi="宋体" w:cs="宋体"/>
          <w:color w:val="000000"/>
          <w:sz w:val="24"/>
          <w:szCs w:val="24"/>
        </w:rPr>
        <w:t>5</w:t>
      </w: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次波及该市，风力大于</w:t>
      </w:r>
      <w:r>
        <w:rPr>
          <w:rFonts w:ascii="宋体" w:hAnsi="宋体" w:cs="宋体"/>
          <w:color w:val="000000"/>
          <w:sz w:val="24"/>
          <w:szCs w:val="24"/>
        </w:rPr>
        <w:t>8</w:t>
      </w:r>
      <w:r>
        <w:rPr>
          <w:rFonts w:hint="eastAsia" w:ascii="宋体" w:hAnsi="宋体" w:cs="宋体"/>
          <w:color w:val="000000"/>
          <w:sz w:val="24"/>
          <w:szCs w:val="24"/>
        </w:rPr>
        <w:t>级以上的出现天数平均每年</w:t>
      </w:r>
      <w:r>
        <w:rPr>
          <w:rFonts w:ascii="宋体" w:hAnsi="宋体" w:cs="宋体"/>
          <w:color w:val="000000"/>
          <w:sz w:val="24"/>
          <w:szCs w:val="24"/>
        </w:rPr>
        <w:t>7</w:t>
      </w:r>
      <w:r>
        <w:rPr>
          <w:rFonts w:hint="eastAsia" w:ascii="宋体" w:hAnsi="宋体" w:cs="宋体"/>
          <w:color w:val="000000"/>
          <w:sz w:val="24"/>
          <w:szCs w:val="24"/>
        </w:rPr>
        <w:t>天。个别年份会受强台风袭击，</w:t>
      </w:r>
      <w:r>
        <w:rPr>
          <w:rFonts w:ascii="宋体" w:hAnsi="宋体" w:cs="宋体"/>
          <w:color w:val="000000"/>
          <w:sz w:val="24"/>
          <w:szCs w:val="24"/>
        </w:rPr>
        <w:t>1954</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w:t>
      </w:r>
      <w:r>
        <w:rPr>
          <w:rFonts w:ascii="宋体" w:hAnsi="宋体" w:cs="宋体"/>
          <w:color w:val="000000"/>
          <w:sz w:val="24"/>
          <w:szCs w:val="24"/>
        </w:rPr>
        <w:t>29</w:t>
      </w:r>
      <w:r>
        <w:rPr>
          <w:rFonts w:hint="eastAsia" w:ascii="宋体" w:hAnsi="宋体" w:cs="宋体"/>
          <w:color w:val="000000"/>
          <w:sz w:val="24"/>
          <w:szCs w:val="24"/>
        </w:rPr>
        <w:t>日曾遇</w:t>
      </w:r>
      <w:r>
        <w:rPr>
          <w:rFonts w:ascii="宋体" w:hAnsi="宋体" w:cs="宋体"/>
          <w:color w:val="000000"/>
          <w:sz w:val="24"/>
          <w:szCs w:val="24"/>
        </w:rPr>
        <w:t>12</w:t>
      </w:r>
      <w:r>
        <w:rPr>
          <w:rFonts w:hint="eastAsia" w:ascii="宋体" w:hAnsi="宋体" w:cs="宋体"/>
          <w:color w:val="000000"/>
          <w:sz w:val="24"/>
          <w:szCs w:val="24"/>
        </w:rPr>
        <w:t>级以上大风。</w:t>
      </w:r>
      <w:r>
        <w:rPr>
          <w:rFonts w:ascii="宋体" w:hAnsi="宋体" w:cs="宋体"/>
          <w:color w:val="000000"/>
          <w:sz w:val="24"/>
          <w:szCs w:val="24"/>
        </w:rPr>
        <w:t>1996</w:t>
      </w:r>
      <w:r>
        <w:rPr>
          <w:rFonts w:hint="eastAsia" w:ascii="宋体" w:hAnsi="宋体" w:cs="宋体"/>
          <w:color w:val="000000"/>
          <w:sz w:val="24"/>
          <w:szCs w:val="24"/>
        </w:rPr>
        <w:t>年</w:t>
      </w:r>
      <w:r>
        <w:rPr>
          <w:rFonts w:ascii="宋体" w:hAnsi="宋体" w:cs="宋体"/>
          <w:color w:val="000000"/>
          <w:sz w:val="24"/>
          <w:szCs w:val="24"/>
        </w:rPr>
        <w:t>9</w:t>
      </w:r>
      <w:r>
        <w:rPr>
          <w:rFonts w:hint="eastAsia" w:ascii="宋体" w:hAnsi="宋体" w:cs="宋体"/>
          <w:color w:val="000000"/>
          <w:sz w:val="24"/>
          <w:szCs w:val="24"/>
        </w:rPr>
        <w:t>月</w:t>
      </w:r>
      <w:r>
        <w:rPr>
          <w:rFonts w:ascii="宋体" w:hAnsi="宋体" w:cs="宋体"/>
          <w:color w:val="000000"/>
          <w:sz w:val="24"/>
          <w:szCs w:val="24"/>
        </w:rPr>
        <w:t>9</w:t>
      </w:r>
      <w:r>
        <w:rPr>
          <w:rFonts w:hint="eastAsia" w:ascii="宋体" w:hAnsi="宋体" w:cs="宋体"/>
          <w:color w:val="000000"/>
          <w:sz w:val="24"/>
          <w:szCs w:val="24"/>
        </w:rPr>
        <w:t>日受到特大台风袭击，中心附近瞬时极大风速高达</w:t>
      </w:r>
      <w:r>
        <w:rPr>
          <w:rFonts w:ascii="宋体" w:hAnsi="宋体" w:cs="宋体"/>
          <w:color w:val="000000"/>
          <w:sz w:val="24"/>
          <w:szCs w:val="24"/>
        </w:rPr>
        <w:t>59</w:t>
      </w:r>
      <w:r>
        <w:rPr>
          <w:rFonts w:hint="eastAsia" w:ascii="宋体" w:hAnsi="宋体" w:cs="宋体"/>
          <w:color w:val="000000"/>
          <w:sz w:val="24"/>
          <w:szCs w:val="24"/>
        </w:rPr>
        <w:t>米</w:t>
      </w:r>
      <w:r>
        <w:rPr>
          <w:rFonts w:ascii="宋体" w:hAnsi="宋体" w:cs="宋体"/>
          <w:color w:val="000000"/>
          <w:sz w:val="24"/>
          <w:szCs w:val="24"/>
        </w:rPr>
        <w:t>/</w:t>
      </w:r>
      <w:r>
        <w:rPr>
          <w:rFonts w:hint="eastAsia" w:ascii="宋体" w:hAnsi="宋体" w:cs="宋体"/>
          <w:color w:val="000000"/>
          <w:sz w:val="24"/>
          <w:szCs w:val="24"/>
        </w:rPr>
        <w:t>秒。</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）经济概况</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近几年来，遂城镇充分利用地缘优势，在稳定农业的基础上，积极招商引资，引进人才、资金和技术，大力发展城郊经济和海洋经济，花卉园艺产业和海边高位池养虾业已成为全镇的新兴产业，有效地带动了全镇经济的快速发展。</w:t>
      </w:r>
      <w:r>
        <w:rPr>
          <w:rFonts w:ascii="宋体" w:hAnsi="宋体" w:cs="宋体"/>
          <w:color w:val="000000"/>
          <w:sz w:val="24"/>
          <w:szCs w:val="24"/>
        </w:rPr>
        <w:t>2009</w:t>
      </w:r>
      <w:r>
        <w:rPr>
          <w:rFonts w:hint="eastAsia" w:ascii="宋体" w:hAnsi="宋体" w:cs="宋体"/>
          <w:color w:val="000000"/>
          <w:sz w:val="24"/>
          <w:szCs w:val="24"/>
        </w:rPr>
        <w:t>年，全镇国名生产总产值（</w:t>
      </w:r>
      <w:r>
        <w:rPr>
          <w:rFonts w:ascii="宋体" w:hAnsi="宋体" w:cs="宋体"/>
          <w:color w:val="000000"/>
          <w:sz w:val="24"/>
          <w:szCs w:val="24"/>
        </w:rPr>
        <w:t>GDP</w:t>
      </w:r>
      <w:r>
        <w:rPr>
          <w:rFonts w:hint="eastAsia" w:ascii="宋体" w:hAnsi="宋体" w:cs="宋体"/>
          <w:color w:val="000000"/>
          <w:sz w:val="24"/>
          <w:szCs w:val="24"/>
        </w:rPr>
        <w:t>）</w:t>
      </w:r>
      <w:r>
        <w:rPr>
          <w:rFonts w:ascii="宋体" w:hAnsi="宋体" w:cs="宋体"/>
          <w:color w:val="000000"/>
          <w:sz w:val="24"/>
          <w:szCs w:val="24"/>
        </w:rPr>
        <w:t>97643</w:t>
      </w:r>
      <w:r>
        <w:rPr>
          <w:rFonts w:hint="eastAsia" w:ascii="宋体" w:hAnsi="宋体" w:cs="宋体"/>
          <w:color w:val="000000"/>
          <w:sz w:val="24"/>
          <w:szCs w:val="24"/>
        </w:rPr>
        <w:t>万元，比上年增长</w:t>
      </w:r>
      <w:r>
        <w:rPr>
          <w:rFonts w:ascii="宋体" w:hAnsi="宋体" w:cs="宋体"/>
          <w:color w:val="000000"/>
          <w:sz w:val="24"/>
          <w:szCs w:val="24"/>
        </w:rPr>
        <w:t>12%</w:t>
      </w:r>
      <w:r>
        <w:rPr>
          <w:rFonts w:hint="eastAsia" w:ascii="宋体" w:hAnsi="宋体" w:cs="宋体"/>
          <w:color w:val="000000"/>
          <w:sz w:val="24"/>
          <w:szCs w:val="24"/>
        </w:rPr>
        <w:t>，农民人均纯收入</w:t>
      </w:r>
      <w:r>
        <w:rPr>
          <w:rFonts w:ascii="宋体" w:hAnsi="宋体" w:cs="宋体"/>
          <w:color w:val="000000"/>
          <w:sz w:val="24"/>
          <w:szCs w:val="24"/>
        </w:rPr>
        <w:t>4827</w:t>
      </w:r>
      <w:r>
        <w:rPr>
          <w:rFonts w:hint="eastAsia" w:ascii="宋体" w:hAnsi="宋体" w:cs="宋体"/>
          <w:color w:val="000000"/>
          <w:sz w:val="24"/>
          <w:szCs w:val="24"/>
        </w:rPr>
        <w:t>元。属于中等经济区。</w:t>
      </w:r>
    </w:p>
    <w:p>
      <w:pPr>
        <w:pStyle w:val="5"/>
        <w:spacing w:before="0" w:after="0" w:line="360" w:lineRule="auto"/>
        <w:ind w:left="420" w:leftChars="200" w:firstLine="482" w:firstLineChars="200"/>
        <w:rPr>
          <w:rFonts w:ascii="宋体" w:hAnsi="宋体" w:eastAsia="宋体" w:cs="Times New Roman"/>
        </w:rPr>
      </w:pPr>
      <w:r>
        <w:rPr>
          <w:rFonts w:hint="eastAsia" w:ascii="宋体" w:hAnsi="宋体" w:eastAsia="宋体" w:cs="宋体"/>
        </w:rPr>
        <w:t>（二）地质工作概况</w:t>
      </w:r>
      <w:bookmarkStart w:id="93" w:name="_Toc265673365"/>
      <w:bookmarkStart w:id="94" w:name="_Toc257893217"/>
      <w:bookmarkStart w:id="95" w:name="_Toc265673366"/>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1965</w:t>
      </w:r>
      <w:r>
        <w:rPr>
          <w:rFonts w:hint="eastAsia" w:ascii="宋体" w:hAnsi="宋体" w:cs="宋体"/>
          <w:color w:val="000000"/>
          <w:sz w:val="24"/>
          <w:szCs w:val="24"/>
        </w:rPr>
        <w:t>年，广东省地质矿产局区域地质调查大队完成了《</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20</w:t>
      </w:r>
      <w:r>
        <w:rPr>
          <w:rFonts w:hint="eastAsia" w:ascii="宋体" w:hAnsi="宋体" w:cs="宋体"/>
          <w:color w:val="000000"/>
          <w:sz w:val="24"/>
          <w:szCs w:val="24"/>
        </w:rPr>
        <w:t>万廉江幅区域地质矿产调查报告》及地质图。</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w:t>
      </w:r>
      <w:r>
        <w:rPr>
          <w:rFonts w:ascii="宋体" w:hAnsi="宋体" w:cs="宋体"/>
          <w:color w:val="000000"/>
          <w:sz w:val="24"/>
          <w:szCs w:val="24"/>
        </w:rPr>
        <w:t>1966</w:t>
      </w:r>
      <w:r>
        <w:rPr>
          <w:rFonts w:hint="eastAsia" w:ascii="宋体" w:hAnsi="宋体" w:cs="宋体"/>
          <w:color w:val="000000"/>
          <w:sz w:val="24"/>
          <w:szCs w:val="24"/>
        </w:rPr>
        <w:t>年，广东省地质矿产局区域地质调查大队完成了《</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20</w:t>
      </w:r>
      <w:r>
        <w:rPr>
          <w:rFonts w:hint="eastAsia" w:ascii="宋体" w:hAnsi="宋体" w:cs="宋体"/>
          <w:color w:val="000000"/>
          <w:sz w:val="24"/>
          <w:szCs w:val="24"/>
        </w:rPr>
        <w:t>万湛江幅区域地质矿产调查报告》及地质图。</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1981</w:t>
      </w:r>
      <w:r>
        <w:rPr>
          <w:rFonts w:hint="eastAsia" w:ascii="宋体" w:hAnsi="宋体" w:cs="宋体"/>
          <w:color w:val="000000"/>
          <w:sz w:val="24"/>
          <w:szCs w:val="24"/>
        </w:rPr>
        <w:t>年，广东省地质局水文工程地质一大队完成了《</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20</w:t>
      </w:r>
      <w:r>
        <w:rPr>
          <w:rFonts w:hint="eastAsia" w:ascii="宋体" w:hAnsi="宋体" w:cs="宋体"/>
          <w:color w:val="000000"/>
          <w:sz w:val="24"/>
          <w:szCs w:val="24"/>
        </w:rPr>
        <w:t>万雷州半岛幅区域水文地质普查报告》及附图。</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w:t>
      </w:r>
      <w:r>
        <w:rPr>
          <w:rFonts w:ascii="宋体" w:hAnsi="宋体" w:cs="宋体"/>
          <w:color w:val="000000"/>
          <w:sz w:val="24"/>
          <w:szCs w:val="24"/>
        </w:rPr>
        <w:t>1990</w:t>
      </w:r>
      <w:r>
        <w:rPr>
          <w:rFonts w:hint="eastAsia" w:ascii="宋体" w:hAnsi="宋体" w:cs="宋体"/>
          <w:color w:val="000000"/>
          <w:sz w:val="24"/>
          <w:szCs w:val="24"/>
        </w:rPr>
        <w:t>年</w:t>
      </w:r>
      <w:r>
        <w:rPr>
          <w:rFonts w:ascii="宋体" w:hAnsi="宋体" w:cs="宋体"/>
          <w:color w:val="000000"/>
          <w:sz w:val="24"/>
          <w:szCs w:val="24"/>
        </w:rPr>
        <w:t>4</w:t>
      </w:r>
      <w:r>
        <w:rPr>
          <w:rFonts w:hint="eastAsia" w:ascii="宋体" w:hAnsi="宋体" w:cs="宋体"/>
          <w:color w:val="000000"/>
          <w:sz w:val="24"/>
          <w:szCs w:val="24"/>
        </w:rPr>
        <w:t>月～</w:t>
      </w:r>
      <w:r>
        <w:rPr>
          <w:rFonts w:ascii="宋体" w:hAnsi="宋体" w:cs="宋体"/>
          <w:color w:val="000000"/>
          <w:sz w:val="24"/>
          <w:szCs w:val="24"/>
        </w:rPr>
        <w:t>1992</w:t>
      </w:r>
      <w:r>
        <w:rPr>
          <w:rFonts w:hint="eastAsia" w:ascii="宋体" w:hAnsi="宋体" w:cs="宋体"/>
          <w:color w:val="000000"/>
          <w:sz w:val="24"/>
          <w:szCs w:val="24"/>
        </w:rPr>
        <w:t>年</w:t>
      </w:r>
      <w:r>
        <w:rPr>
          <w:rFonts w:ascii="宋体" w:hAnsi="宋体" w:cs="宋体"/>
          <w:color w:val="000000"/>
          <w:sz w:val="24"/>
          <w:szCs w:val="24"/>
        </w:rPr>
        <w:t>3</w:t>
      </w:r>
      <w:r>
        <w:rPr>
          <w:rFonts w:hint="eastAsia" w:ascii="宋体" w:hAnsi="宋体" w:cs="宋体"/>
          <w:color w:val="000000"/>
          <w:sz w:val="24"/>
          <w:szCs w:val="24"/>
        </w:rPr>
        <w:t>月，广东省地质环境监测总站完成了《</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50</w:t>
      </w:r>
      <w:r>
        <w:rPr>
          <w:rFonts w:hint="eastAsia" w:ascii="宋体" w:hAnsi="宋体" w:cs="宋体"/>
          <w:color w:val="000000"/>
          <w:sz w:val="24"/>
          <w:szCs w:val="24"/>
        </w:rPr>
        <w:t>万广东省地质灾害调查报告》。</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5</w:t>
      </w:r>
      <w:r>
        <w:rPr>
          <w:rFonts w:hint="eastAsia" w:ascii="宋体" w:hAnsi="宋体" w:cs="宋体"/>
          <w:color w:val="000000"/>
          <w:sz w:val="24"/>
          <w:szCs w:val="24"/>
        </w:rPr>
        <w:t>、</w:t>
      </w:r>
      <w:r>
        <w:rPr>
          <w:rFonts w:ascii="宋体" w:hAnsi="宋体" w:cs="宋体"/>
          <w:color w:val="000000"/>
          <w:sz w:val="24"/>
          <w:szCs w:val="24"/>
        </w:rPr>
        <w:t>1991</w:t>
      </w:r>
      <w:r>
        <w:rPr>
          <w:rFonts w:hint="eastAsia" w:ascii="宋体" w:hAnsi="宋体" w:cs="宋体"/>
          <w:color w:val="000000"/>
          <w:sz w:val="24"/>
          <w:szCs w:val="24"/>
        </w:rPr>
        <w:t>年</w:t>
      </w:r>
      <w:r>
        <w:rPr>
          <w:rFonts w:ascii="宋体" w:hAnsi="宋体" w:cs="宋体"/>
          <w:color w:val="000000"/>
          <w:sz w:val="24"/>
          <w:szCs w:val="24"/>
        </w:rPr>
        <w:t>4</w:t>
      </w:r>
      <w:r>
        <w:rPr>
          <w:rFonts w:hint="eastAsia" w:ascii="宋体" w:hAnsi="宋体" w:cs="宋体"/>
          <w:color w:val="000000"/>
          <w:sz w:val="24"/>
          <w:szCs w:val="24"/>
        </w:rPr>
        <w:t>月～</w:t>
      </w:r>
      <w:r>
        <w:rPr>
          <w:rFonts w:ascii="宋体" w:hAnsi="宋体" w:cs="宋体"/>
          <w:color w:val="000000"/>
          <w:sz w:val="24"/>
          <w:szCs w:val="24"/>
        </w:rPr>
        <w:t>1993</w:t>
      </w:r>
      <w:r>
        <w:rPr>
          <w:rFonts w:hint="eastAsia" w:ascii="宋体" w:hAnsi="宋体" w:cs="宋体"/>
          <w:color w:val="000000"/>
          <w:sz w:val="24"/>
          <w:szCs w:val="24"/>
        </w:rPr>
        <w:t>年</w:t>
      </w:r>
      <w:r>
        <w:rPr>
          <w:rFonts w:ascii="宋体" w:hAnsi="宋体" w:cs="宋体"/>
          <w:color w:val="000000"/>
          <w:sz w:val="24"/>
          <w:szCs w:val="24"/>
        </w:rPr>
        <w:t>12</w:t>
      </w:r>
      <w:r>
        <w:rPr>
          <w:rFonts w:hint="eastAsia" w:ascii="宋体" w:hAnsi="宋体" w:cs="宋体"/>
          <w:color w:val="000000"/>
          <w:sz w:val="24"/>
          <w:szCs w:val="24"/>
        </w:rPr>
        <w:t>月，广东省地质矿产局水文工程地质一大队完成了《</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50</w:t>
      </w:r>
      <w:r>
        <w:rPr>
          <w:rFonts w:hint="eastAsia" w:ascii="宋体" w:hAnsi="宋体" w:cs="宋体"/>
          <w:color w:val="000000"/>
          <w:sz w:val="24"/>
          <w:szCs w:val="24"/>
        </w:rPr>
        <w:t>万广东省环境地质调查报告》。</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6</w:t>
      </w:r>
      <w:r>
        <w:rPr>
          <w:rFonts w:hint="eastAsia" w:ascii="宋体" w:hAnsi="宋体" w:cs="宋体"/>
          <w:color w:val="000000"/>
          <w:sz w:val="24"/>
          <w:szCs w:val="24"/>
        </w:rPr>
        <w:t>、</w:t>
      </w:r>
      <w:r>
        <w:rPr>
          <w:rFonts w:ascii="宋体" w:hAnsi="宋体" w:cs="宋体"/>
          <w:color w:val="000000"/>
          <w:sz w:val="24"/>
          <w:szCs w:val="24"/>
        </w:rPr>
        <w:t>1994</w:t>
      </w:r>
      <w:r>
        <w:rPr>
          <w:rFonts w:hint="eastAsia" w:ascii="宋体" w:hAnsi="宋体" w:cs="宋体"/>
          <w:color w:val="000000"/>
          <w:sz w:val="24"/>
          <w:szCs w:val="24"/>
        </w:rPr>
        <w:t>年，广东省地质局水文工程地质一大队完成了《</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万遂溪幅区域地质矿产调查报告》及地质图。</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7</w:t>
      </w:r>
      <w:r>
        <w:rPr>
          <w:rFonts w:hint="eastAsia" w:ascii="宋体" w:hAnsi="宋体" w:cs="宋体"/>
          <w:color w:val="000000"/>
          <w:sz w:val="24"/>
          <w:szCs w:val="24"/>
        </w:rPr>
        <w:t>、</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月，广东省地球物理探矿大队提交了《广东省遂溪县遂城镇洪家村矿区建筑用玄武岩矿详查报告》，该报告通过了广东省矿产资源储量评审中心评审以及湛江市国土资源局备案。</w:t>
      </w:r>
    </w:p>
    <w:p>
      <w:pPr>
        <w:pStyle w:val="5"/>
        <w:spacing w:before="0" w:after="0" w:line="360" w:lineRule="auto"/>
        <w:ind w:left="420" w:leftChars="200" w:firstLine="482" w:firstLineChars="200"/>
        <w:rPr>
          <w:rFonts w:ascii="宋体" w:hAnsi="宋体" w:eastAsia="宋体" w:cs="Times New Roman"/>
          <w:b w:val="0"/>
          <w:bCs w:val="0"/>
          <w:color w:val="000000"/>
        </w:rPr>
      </w:pPr>
      <w:r>
        <w:rPr>
          <w:rFonts w:hint="eastAsia" w:ascii="宋体" w:hAnsi="宋体" w:eastAsia="宋体" w:cs="宋体"/>
        </w:rPr>
        <w:t>（三）矿区地质概况</w:t>
      </w:r>
      <w:bookmarkEnd w:id="93"/>
      <w:bookmarkEnd w:id="94"/>
      <w:bookmarkStart w:id="96" w:name="_Toc91055663"/>
      <w:bookmarkStart w:id="97" w:name="_Toc91055954"/>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、地层</w:t>
      </w:r>
    </w:p>
    <w:bookmarkEnd w:id="96"/>
    <w:bookmarkEnd w:id="97"/>
    <w:p>
      <w:pPr>
        <w:spacing w:line="360" w:lineRule="auto"/>
        <w:ind w:left="420" w:leftChars="200" w:firstLine="480" w:firstLineChars="200"/>
        <w:rPr>
          <w:rFonts w:ascii="宋体" w:cs="Times New Roman"/>
          <w:color w:val="000000"/>
          <w:sz w:val="24"/>
          <w:szCs w:val="24"/>
        </w:rPr>
      </w:pPr>
      <w:bookmarkStart w:id="98" w:name="_Toc91055959"/>
      <w:bookmarkStart w:id="99" w:name="_Toc91055668"/>
      <w:r>
        <w:rPr>
          <w:rFonts w:hint="eastAsia" w:ascii="宋体" w:hAnsi="宋体" w:cs="宋体"/>
          <w:color w:val="000000"/>
          <w:sz w:val="24"/>
          <w:szCs w:val="24"/>
        </w:rPr>
        <w:t>矿区内出露的地层主要为第四系残坡积（</w:t>
      </w:r>
      <w:r>
        <w:rPr>
          <w:rFonts w:ascii="宋体" w:hAnsi="宋体" w:cs="宋体"/>
          <w:color w:val="000000"/>
          <w:sz w:val="24"/>
          <w:szCs w:val="24"/>
        </w:rPr>
        <w:t>Qeal</w:t>
      </w:r>
      <w:r>
        <w:rPr>
          <w:rFonts w:hint="eastAsia" w:ascii="宋体" w:hAnsi="宋体" w:cs="宋体"/>
          <w:color w:val="000000"/>
          <w:sz w:val="24"/>
          <w:szCs w:val="24"/>
        </w:rPr>
        <w:t>），分布全区。</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第四系残坡积（</w:t>
      </w:r>
      <w:r>
        <w:rPr>
          <w:rFonts w:ascii="宋体" w:hAnsi="宋体" w:cs="宋体"/>
          <w:color w:val="000000"/>
          <w:sz w:val="24"/>
          <w:szCs w:val="24"/>
        </w:rPr>
        <w:t>Qeal</w:t>
      </w:r>
      <w:r>
        <w:rPr>
          <w:rFonts w:hint="eastAsia" w:ascii="宋体" w:hAnsi="宋体" w:cs="宋体"/>
          <w:color w:val="000000"/>
          <w:sz w:val="24"/>
          <w:szCs w:val="24"/>
        </w:rPr>
        <w:t>）：分布于整个矿区，土性主要为亚粘土、粘土，呈黄褐色，灰褐色，硬塑状，稍湿。根据矿山开采揭露及钻探资料，土层厚</w:t>
      </w:r>
      <w:r>
        <w:rPr>
          <w:rFonts w:ascii="宋体" w:hAnsi="宋体" w:cs="宋体"/>
          <w:color w:val="000000"/>
          <w:sz w:val="24"/>
          <w:szCs w:val="24"/>
        </w:rPr>
        <w:t>2.5</w:t>
      </w: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米，平均约</w:t>
      </w:r>
      <w:r>
        <w:rPr>
          <w:rFonts w:ascii="宋体" w:hAnsi="宋体" w:cs="宋体"/>
          <w:color w:val="000000"/>
          <w:sz w:val="24"/>
          <w:szCs w:val="24"/>
        </w:rPr>
        <w:t>3.5</w:t>
      </w:r>
      <w:r>
        <w:rPr>
          <w:rFonts w:hint="eastAsia" w:ascii="宋体" w:hAnsi="宋体" w:cs="宋体"/>
          <w:color w:val="000000"/>
          <w:sz w:val="24"/>
          <w:szCs w:val="24"/>
        </w:rPr>
        <w:t>米。</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、构造</w:t>
      </w:r>
    </w:p>
    <w:bookmarkEnd w:id="98"/>
    <w:bookmarkEnd w:id="99"/>
    <w:p>
      <w:pPr>
        <w:spacing w:line="360" w:lineRule="auto"/>
        <w:ind w:left="420" w:leftChars="200" w:firstLine="480" w:firstLineChars="200"/>
        <w:rPr>
          <w:rFonts w:ascii="宋体" w:cs="Times New Roman"/>
          <w:color w:val="000000"/>
          <w:sz w:val="24"/>
          <w:szCs w:val="24"/>
        </w:rPr>
      </w:pPr>
      <w:bookmarkStart w:id="100" w:name="_Toc91055962"/>
      <w:bookmarkStart w:id="101" w:name="_Toc91055671"/>
      <w:r>
        <w:rPr>
          <w:rFonts w:hint="eastAsia" w:ascii="宋体" w:hAnsi="宋体" w:cs="宋体"/>
          <w:color w:val="000000"/>
          <w:sz w:val="24"/>
          <w:szCs w:val="24"/>
        </w:rPr>
        <w:t>矿区范围内构造简单，断裂构造不发育。根据钻探资料，节理裂隙发育一般。</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、岩浆岩</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喜马拉雅期玄武岩（β</w:t>
      </w:r>
      <w:r>
        <w:rPr>
          <w:rFonts w:ascii="宋体" w:hAnsi="宋体" w:cs="宋体"/>
          <w:color w:val="000000"/>
          <w:sz w:val="24"/>
          <w:szCs w:val="24"/>
        </w:rPr>
        <w:t>6</w:t>
      </w:r>
      <w:r>
        <w:rPr>
          <w:rFonts w:hint="eastAsia" w:ascii="宋体" w:hAnsi="宋体" w:cs="宋体"/>
          <w:color w:val="000000"/>
          <w:sz w:val="24"/>
          <w:szCs w:val="24"/>
        </w:rPr>
        <w:t>）：矿区分布范围广且连续，其上为第四系残坡积覆盖层。据矿山开采揭露，岩性为玄武岩、橄榄玄武岩，深灰色、灰色，间粒结构，部分气孔状构造，大部分呈微风化状态，局部顶面岩石呈强～中风化，厚度约</w:t>
      </w:r>
      <w:r>
        <w:rPr>
          <w:rFonts w:ascii="宋体" w:hAnsi="宋体" w:cs="宋体"/>
          <w:color w:val="000000"/>
          <w:sz w:val="24"/>
          <w:szCs w:val="24"/>
        </w:rPr>
        <w:t>1.5</w:t>
      </w: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米。</w:t>
      </w:r>
    </w:p>
    <w:bookmarkEnd w:id="100"/>
    <w:bookmarkEnd w:id="101"/>
    <w:p>
      <w:pPr>
        <w:pStyle w:val="5"/>
        <w:spacing w:before="0" w:after="0" w:line="360" w:lineRule="auto"/>
        <w:ind w:left="420" w:leftChars="200" w:firstLine="482" w:firstLineChars="200"/>
        <w:rPr>
          <w:rFonts w:ascii="宋体" w:hAnsi="宋体" w:eastAsia="宋体" w:cs="Times New Roman"/>
        </w:rPr>
      </w:pPr>
      <w:r>
        <w:rPr>
          <w:rFonts w:hint="eastAsia" w:ascii="宋体" w:hAnsi="宋体" w:eastAsia="宋体" w:cs="宋体"/>
        </w:rPr>
        <w:t>（四）矿体特征</w:t>
      </w:r>
    </w:p>
    <w:p>
      <w:pPr>
        <w:spacing w:line="360" w:lineRule="auto"/>
        <w:ind w:left="420" w:leftChars="200" w:firstLine="480" w:firstLineChars="200"/>
        <w:rPr>
          <w:rFonts w:ascii="宋体" w:cs="Times New Roman"/>
          <w:color w:val="000000"/>
          <w:sz w:val="24"/>
          <w:szCs w:val="24"/>
        </w:rPr>
      </w:pPr>
      <w:bookmarkStart w:id="102" w:name="_Toc91055964"/>
      <w:bookmarkStart w:id="103" w:name="_Toc91055673"/>
      <w:r>
        <w:rPr>
          <w:rFonts w:ascii="宋体" w:hAnsi="宋体" w:cs="宋体"/>
          <w:color w:val="000000"/>
          <w:sz w:val="24"/>
          <w:szCs w:val="24"/>
        </w:rPr>
        <w:t>1</w:t>
      </w:r>
      <w:r>
        <w:rPr>
          <w:rFonts w:hint="eastAsia" w:ascii="宋体" w:hAnsi="宋体" w:cs="宋体"/>
          <w:color w:val="000000"/>
          <w:sz w:val="24"/>
          <w:szCs w:val="24"/>
        </w:rPr>
        <w:t>、矿体地质特征</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矿体即为玄武岩岩体，属中喜马拉雅期岩浆喷出型矿床，呈岩流、岩被状产出，整个矿区玄武岩矿体均有分布，但未出露地表。根据矿区圈定的矿体范围及目前地质勘查程度，矿体呈均匀板状，矿体长约</w:t>
      </w:r>
      <w:r>
        <w:rPr>
          <w:rFonts w:ascii="宋体" w:hAnsi="宋体" w:cs="宋体"/>
          <w:color w:val="000000"/>
          <w:sz w:val="24"/>
          <w:szCs w:val="24"/>
        </w:rPr>
        <w:t>450</w:t>
      </w:r>
      <w:r>
        <w:rPr>
          <w:rFonts w:hint="eastAsia" w:ascii="宋体" w:hAnsi="宋体" w:cs="宋体"/>
          <w:color w:val="000000"/>
          <w:sz w:val="24"/>
          <w:szCs w:val="24"/>
        </w:rPr>
        <w:t>米，宽约</w:t>
      </w:r>
      <w:r>
        <w:rPr>
          <w:rFonts w:ascii="宋体" w:hAnsi="宋体" w:cs="宋体"/>
          <w:color w:val="000000"/>
          <w:sz w:val="24"/>
          <w:szCs w:val="24"/>
        </w:rPr>
        <w:t>250</w:t>
      </w:r>
      <w:r>
        <w:rPr>
          <w:rFonts w:hint="eastAsia" w:ascii="宋体" w:hAnsi="宋体" w:cs="宋体"/>
          <w:color w:val="000000"/>
          <w:sz w:val="24"/>
          <w:szCs w:val="24"/>
        </w:rPr>
        <w:t>米，矿体地表未出露，赋存标高</w:t>
      </w:r>
      <w:r>
        <w:rPr>
          <w:rFonts w:ascii="宋体" w:hAnsi="宋体" w:cs="宋体"/>
          <w:color w:val="000000"/>
          <w:sz w:val="24"/>
          <w:szCs w:val="24"/>
        </w:rPr>
        <w:t>+54</w:t>
      </w:r>
      <w:r>
        <w:rPr>
          <w:rFonts w:hint="eastAsia" w:ascii="宋体" w:hAnsi="宋体" w:cs="宋体"/>
          <w:color w:val="000000"/>
          <w:sz w:val="24"/>
          <w:szCs w:val="24"/>
        </w:rPr>
        <w:t>～</w:t>
      </w:r>
      <w:r>
        <w:rPr>
          <w:rFonts w:ascii="宋体" w:hAnsi="宋体" w:cs="宋体"/>
          <w:color w:val="000000"/>
          <w:sz w:val="24"/>
          <w:szCs w:val="24"/>
        </w:rPr>
        <w:t>+30</w:t>
      </w:r>
      <w:r>
        <w:rPr>
          <w:rFonts w:hint="eastAsia" w:ascii="宋体" w:hAnsi="宋体" w:cs="宋体"/>
          <w:color w:val="000000"/>
          <w:sz w:val="24"/>
          <w:szCs w:val="24"/>
        </w:rPr>
        <w:t>米，埋深厚度大于</w:t>
      </w:r>
      <w:r>
        <w:rPr>
          <w:rFonts w:ascii="宋体" w:hAnsi="宋体" w:cs="宋体"/>
          <w:color w:val="000000"/>
          <w:sz w:val="24"/>
          <w:szCs w:val="24"/>
        </w:rPr>
        <w:t>24</w:t>
      </w:r>
      <w:r>
        <w:rPr>
          <w:rFonts w:hint="eastAsia" w:ascii="宋体" w:hAnsi="宋体" w:cs="宋体"/>
          <w:color w:val="000000"/>
          <w:sz w:val="24"/>
          <w:szCs w:val="24"/>
        </w:rPr>
        <w:t>米。向四周及深部延出矿区外，一般零星出露在矿区沟壑中。根据实地调查和钻探工程揭露，矿体顶部覆盖层为残坡积土及强风化～中风化玄武岩，盖层厚度约</w:t>
      </w:r>
      <w:r>
        <w:rPr>
          <w:rFonts w:ascii="宋体" w:hAnsi="宋体" w:cs="宋体"/>
          <w:color w:val="000000"/>
          <w:sz w:val="24"/>
          <w:szCs w:val="24"/>
        </w:rPr>
        <w:t>4.5</w:t>
      </w:r>
      <w:r>
        <w:rPr>
          <w:rFonts w:hint="eastAsia" w:ascii="宋体" w:hAnsi="宋体" w:cs="宋体"/>
          <w:color w:val="000000"/>
          <w:sz w:val="24"/>
          <w:szCs w:val="24"/>
        </w:rPr>
        <w:t>～</w:t>
      </w:r>
      <w:r>
        <w:rPr>
          <w:rFonts w:ascii="宋体" w:hAnsi="宋体" w:cs="宋体"/>
          <w:color w:val="000000"/>
          <w:sz w:val="24"/>
          <w:szCs w:val="24"/>
        </w:rPr>
        <w:t>6.2</w:t>
      </w:r>
      <w:r>
        <w:rPr>
          <w:rFonts w:hint="eastAsia" w:ascii="宋体" w:hAnsi="宋体" w:cs="宋体"/>
          <w:color w:val="000000"/>
          <w:sz w:val="24"/>
          <w:szCs w:val="24"/>
        </w:rPr>
        <w:t>米。</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残坡积土：黄褐色，稍湿，硬塑状，局部可塑，厚度较均匀，厚度</w:t>
      </w:r>
      <w:r>
        <w:rPr>
          <w:rFonts w:ascii="宋体" w:hAnsi="宋体" w:cs="宋体"/>
          <w:color w:val="000000"/>
          <w:sz w:val="24"/>
          <w:szCs w:val="24"/>
        </w:rPr>
        <w:t>2</w:t>
      </w:r>
      <w:r>
        <w:rPr>
          <w:rFonts w:hint="eastAsia" w:ascii="宋体" w:hAnsi="宋体" w:cs="宋体"/>
          <w:color w:val="000000"/>
          <w:sz w:val="24"/>
          <w:szCs w:val="24"/>
        </w:rPr>
        <w:t>～</w:t>
      </w:r>
      <w:r>
        <w:rPr>
          <w:rFonts w:ascii="宋体" w:hAnsi="宋体" w:cs="宋体"/>
          <w:color w:val="000000"/>
          <w:sz w:val="24"/>
          <w:szCs w:val="24"/>
        </w:rPr>
        <w:t>3.5</w:t>
      </w:r>
      <w:r>
        <w:rPr>
          <w:rFonts w:hint="eastAsia" w:ascii="宋体" w:hAnsi="宋体" w:cs="宋体"/>
          <w:color w:val="000000"/>
          <w:sz w:val="24"/>
          <w:szCs w:val="24"/>
        </w:rPr>
        <w:t>米。</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强风化玄武岩：浅灰色，原岩组织结构已大部分破坏，呈半岩半土状，矿物成分显著变化，长石、云母已风化成次生矿物，裂隙较发育，岩体破碎。岩体被切割成</w:t>
      </w:r>
      <w:r>
        <w:rPr>
          <w:rFonts w:ascii="宋体" w:hAnsi="宋体" w:cs="宋体"/>
          <w:color w:val="000000"/>
          <w:sz w:val="24"/>
          <w:szCs w:val="24"/>
        </w:rPr>
        <w:t>2</w:t>
      </w:r>
      <w:r>
        <w:rPr>
          <w:rFonts w:hint="eastAsia" w:ascii="宋体" w:hAnsi="宋体" w:cs="宋体"/>
          <w:color w:val="000000"/>
          <w:sz w:val="24"/>
          <w:szCs w:val="24"/>
        </w:rPr>
        <w:t>×</w:t>
      </w:r>
      <w:r>
        <w:rPr>
          <w:rFonts w:ascii="宋体" w:hAnsi="宋体" w:cs="宋体"/>
          <w:color w:val="000000"/>
          <w:sz w:val="24"/>
          <w:szCs w:val="24"/>
        </w:rPr>
        <w:t>20</w:t>
      </w:r>
      <w:r>
        <w:rPr>
          <w:rFonts w:hint="eastAsia" w:ascii="宋体" w:hAnsi="宋体" w:cs="宋体"/>
          <w:color w:val="000000"/>
          <w:sz w:val="24"/>
          <w:szCs w:val="24"/>
        </w:rPr>
        <w:t>厘米不等的岩块，颗粒间连结力减弱，岩块用手可折断，褐黄色。厚度</w:t>
      </w:r>
      <w:r>
        <w:rPr>
          <w:rFonts w:ascii="宋体" w:hAnsi="宋体" w:cs="宋体"/>
          <w:color w:val="000000"/>
          <w:sz w:val="24"/>
          <w:szCs w:val="24"/>
        </w:rPr>
        <w:t>0.5</w:t>
      </w:r>
      <w:r>
        <w:rPr>
          <w:rFonts w:hint="eastAsia" w:ascii="宋体" w:hAnsi="宋体" w:cs="宋体"/>
          <w:color w:val="000000"/>
          <w:sz w:val="24"/>
          <w:szCs w:val="24"/>
        </w:rPr>
        <w:t>～</w:t>
      </w:r>
      <w:r>
        <w:rPr>
          <w:rFonts w:ascii="宋体" w:hAnsi="宋体" w:cs="宋体"/>
          <w:color w:val="000000"/>
          <w:sz w:val="24"/>
          <w:szCs w:val="24"/>
        </w:rPr>
        <w:t>1.5</w:t>
      </w:r>
      <w:r>
        <w:rPr>
          <w:rFonts w:hint="eastAsia" w:ascii="宋体" w:hAnsi="宋体" w:cs="宋体"/>
          <w:color w:val="000000"/>
          <w:sz w:val="24"/>
          <w:szCs w:val="24"/>
        </w:rPr>
        <w:t>米不等。</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中风化玄武岩：灰黑色，斑状结构，块状构造，矿物成分主要为斜长石、橄榄石及少量其他矿物，岩石普遍变色，岩块用手不易折断，与强风化层呈渐变过渡关系。厚度</w:t>
      </w:r>
      <w:r>
        <w:rPr>
          <w:rFonts w:ascii="宋体" w:hAnsi="宋体" w:cs="宋体"/>
          <w:color w:val="000000"/>
          <w:sz w:val="24"/>
          <w:szCs w:val="24"/>
        </w:rPr>
        <w:t>0.5</w:t>
      </w:r>
      <w:r>
        <w:rPr>
          <w:rFonts w:hint="eastAsia" w:ascii="宋体" w:hAnsi="宋体" w:cs="宋体"/>
          <w:color w:val="000000"/>
          <w:sz w:val="24"/>
          <w:szCs w:val="24"/>
        </w:rPr>
        <w:t>～</w:t>
      </w:r>
      <w:r>
        <w:rPr>
          <w:rFonts w:ascii="宋体" w:hAnsi="宋体" w:cs="宋体"/>
          <w:color w:val="000000"/>
          <w:sz w:val="24"/>
          <w:szCs w:val="24"/>
        </w:rPr>
        <w:t>1.5</w:t>
      </w:r>
      <w:r>
        <w:rPr>
          <w:rFonts w:hint="eastAsia" w:ascii="宋体" w:hAnsi="宋体" w:cs="宋体"/>
          <w:color w:val="000000"/>
          <w:sz w:val="24"/>
          <w:szCs w:val="24"/>
        </w:rPr>
        <w:t>米不等。</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、矿石质量</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）矿石物质组成</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矿石为微（未）风化玄武岩呈灰黑、黑色，斑状结构，块状构造。矿石主要矿物组分：斜长石</w:t>
      </w:r>
      <w:r>
        <w:rPr>
          <w:rFonts w:ascii="宋体" w:hAnsi="宋体" w:cs="宋体"/>
          <w:color w:val="000000"/>
          <w:sz w:val="24"/>
          <w:szCs w:val="24"/>
        </w:rPr>
        <w:t>55%</w:t>
      </w:r>
      <w:r>
        <w:rPr>
          <w:rFonts w:hint="eastAsia" w:ascii="宋体" w:hAnsi="宋体" w:cs="宋体"/>
          <w:color w:val="000000"/>
          <w:sz w:val="24"/>
          <w:szCs w:val="24"/>
        </w:rPr>
        <w:t>±、橄榄石</w:t>
      </w:r>
      <w:r>
        <w:rPr>
          <w:rFonts w:ascii="宋体" w:hAnsi="宋体" w:cs="宋体"/>
          <w:color w:val="000000"/>
          <w:sz w:val="24"/>
          <w:szCs w:val="24"/>
        </w:rPr>
        <w:t>30%</w:t>
      </w:r>
      <w:r>
        <w:rPr>
          <w:rFonts w:hint="eastAsia" w:ascii="宋体" w:hAnsi="宋体" w:cs="宋体"/>
          <w:color w:val="000000"/>
          <w:sz w:val="24"/>
          <w:szCs w:val="24"/>
        </w:rPr>
        <w:t>±、辉石</w:t>
      </w:r>
      <w:r>
        <w:rPr>
          <w:rFonts w:ascii="宋体" w:hAnsi="宋体" w:cs="宋体"/>
          <w:color w:val="000000"/>
          <w:sz w:val="24"/>
          <w:szCs w:val="24"/>
        </w:rPr>
        <w:t>9%</w:t>
      </w:r>
      <w:r>
        <w:rPr>
          <w:rFonts w:hint="eastAsia" w:ascii="宋体" w:hAnsi="宋体" w:cs="宋体"/>
          <w:color w:val="000000"/>
          <w:sz w:val="24"/>
          <w:szCs w:val="24"/>
        </w:rPr>
        <w:t>±、金属矿物</w:t>
      </w:r>
      <w:r>
        <w:rPr>
          <w:rFonts w:ascii="宋体" w:hAnsi="宋体" w:cs="宋体"/>
          <w:color w:val="000000"/>
          <w:sz w:val="24"/>
          <w:szCs w:val="24"/>
        </w:rPr>
        <w:t>2%</w:t>
      </w:r>
      <w:r>
        <w:rPr>
          <w:rFonts w:hint="eastAsia" w:ascii="宋体" w:hAnsi="宋体" w:cs="宋体"/>
          <w:color w:val="000000"/>
          <w:sz w:val="24"/>
          <w:szCs w:val="24"/>
        </w:rPr>
        <w:t>±、其他矿物</w:t>
      </w:r>
      <w:r>
        <w:rPr>
          <w:rFonts w:ascii="宋体" w:hAnsi="宋体" w:cs="宋体"/>
          <w:color w:val="000000"/>
          <w:sz w:val="24"/>
          <w:szCs w:val="24"/>
        </w:rPr>
        <w:t>3%</w:t>
      </w:r>
      <w:r>
        <w:rPr>
          <w:rFonts w:hint="eastAsia" w:ascii="宋体" w:hAnsi="宋体" w:cs="宋体"/>
          <w:color w:val="000000"/>
          <w:sz w:val="24"/>
          <w:szCs w:val="24"/>
        </w:rPr>
        <w:t>±、次生矿物有（绿泥石、钠黝帘石、粘土类矿物）。室内命名为橄榄玄武岩。</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）矿石抗压强度</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在矿区取了</w:t>
      </w:r>
      <w:r>
        <w:rPr>
          <w:rFonts w:ascii="宋体" w:hAnsi="宋体" w:cs="宋体"/>
          <w:color w:val="000000"/>
          <w:sz w:val="24"/>
          <w:szCs w:val="24"/>
        </w:rPr>
        <w:t>12</w:t>
      </w:r>
      <w:r>
        <w:rPr>
          <w:rFonts w:hint="eastAsia" w:ascii="宋体" w:hAnsi="宋体" w:cs="宋体"/>
          <w:color w:val="000000"/>
          <w:sz w:val="24"/>
          <w:szCs w:val="24"/>
        </w:rPr>
        <w:t>组微风化玄武岩样品作饱和抗压试验，根据广东省地质物探工程勘察院化验室提交的“检验报告”，本矿区的</w:t>
      </w:r>
      <w:r>
        <w:rPr>
          <w:rFonts w:ascii="宋体" w:hAnsi="宋体" w:cs="宋体"/>
          <w:color w:val="000000"/>
          <w:sz w:val="24"/>
          <w:szCs w:val="24"/>
        </w:rPr>
        <w:t>12</w:t>
      </w:r>
      <w:r>
        <w:rPr>
          <w:rFonts w:hint="eastAsia" w:ascii="宋体" w:hAnsi="宋体" w:cs="宋体"/>
          <w:color w:val="000000"/>
          <w:sz w:val="24"/>
          <w:szCs w:val="24"/>
        </w:rPr>
        <w:t>个微</w:t>
      </w:r>
      <w:r>
        <w:rPr>
          <w:rFonts w:ascii="宋体" w:hAnsi="宋体" w:cs="宋体"/>
          <w:color w:val="000000"/>
          <w:sz w:val="24"/>
          <w:szCs w:val="24"/>
        </w:rPr>
        <w:t>—</w:t>
      </w:r>
      <w:r>
        <w:rPr>
          <w:rFonts w:hint="eastAsia" w:ascii="宋体" w:hAnsi="宋体" w:cs="宋体"/>
          <w:color w:val="000000"/>
          <w:sz w:val="24"/>
          <w:szCs w:val="24"/>
        </w:rPr>
        <w:t>未风玄武岩样品的饱和抗压强度为</w:t>
      </w:r>
      <w:r>
        <w:rPr>
          <w:rFonts w:ascii="宋体" w:hAnsi="宋体" w:cs="宋体"/>
          <w:color w:val="000000"/>
          <w:sz w:val="24"/>
          <w:szCs w:val="24"/>
        </w:rPr>
        <w:t>80.2</w:t>
      </w:r>
      <w:r>
        <w:rPr>
          <w:rFonts w:hint="eastAsia" w:ascii="宋体" w:hAnsi="宋体" w:cs="宋体"/>
          <w:color w:val="000000"/>
          <w:sz w:val="24"/>
          <w:szCs w:val="24"/>
        </w:rPr>
        <w:t>兆帕～</w:t>
      </w:r>
      <w:r>
        <w:rPr>
          <w:rFonts w:ascii="宋体" w:hAnsi="宋体" w:cs="宋体"/>
          <w:color w:val="000000"/>
          <w:sz w:val="24"/>
          <w:szCs w:val="24"/>
        </w:rPr>
        <w:t>100.9</w:t>
      </w:r>
      <w:r>
        <w:rPr>
          <w:rFonts w:hint="eastAsia" w:ascii="宋体" w:hAnsi="宋体" w:cs="宋体"/>
          <w:color w:val="000000"/>
          <w:sz w:val="24"/>
          <w:szCs w:val="24"/>
        </w:rPr>
        <w:t>兆帕，全部大于</w:t>
      </w:r>
      <w:r>
        <w:rPr>
          <w:rFonts w:ascii="宋体" w:hAnsi="宋体" w:cs="宋体"/>
          <w:color w:val="000000"/>
          <w:sz w:val="24"/>
          <w:szCs w:val="24"/>
        </w:rPr>
        <w:t>80</w:t>
      </w:r>
      <w:r>
        <w:rPr>
          <w:rFonts w:hint="eastAsia" w:ascii="宋体" w:hAnsi="宋体" w:cs="宋体"/>
          <w:color w:val="000000"/>
          <w:sz w:val="24"/>
          <w:szCs w:val="24"/>
        </w:rPr>
        <w:t>兆帕，平均</w:t>
      </w:r>
      <w:r>
        <w:rPr>
          <w:rFonts w:ascii="宋体" w:hAnsi="宋体" w:cs="宋体"/>
          <w:color w:val="000000"/>
          <w:sz w:val="24"/>
          <w:szCs w:val="24"/>
        </w:rPr>
        <w:t>86.5</w:t>
      </w:r>
      <w:r>
        <w:rPr>
          <w:rFonts w:hint="eastAsia" w:ascii="宋体" w:hAnsi="宋体" w:cs="宋体"/>
          <w:color w:val="000000"/>
          <w:sz w:val="24"/>
          <w:szCs w:val="24"/>
        </w:rPr>
        <w:t>兆帕。符合《建设用卵石、碎石》</w:t>
      </w:r>
      <w:r>
        <w:rPr>
          <w:rFonts w:ascii="宋体" w:hAnsi="宋体" w:cs="宋体"/>
          <w:color w:val="000000"/>
          <w:sz w:val="24"/>
          <w:szCs w:val="24"/>
        </w:rPr>
        <w:t>GB/T 14685-2011</w:t>
      </w:r>
      <w:r>
        <w:rPr>
          <w:rFonts w:hint="eastAsia" w:ascii="宋体" w:hAnsi="宋体" w:cs="宋体"/>
          <w:color w:val="000000"/>
          <w:sz w:val="24"/>
          <w:szCs w:val="24"/>
        </w:rPr>
        <w:t>要求火成岩其抗压强度应不小于</w:t>
      </w:r>
      <w:r>
        <w:rPr>
          <w:rFonts w:ascii="宋体" w:hAnsi="宋体" w:cs="宋体"/>
          <w:color w:val="000000"/>
          <w:sz w:val="24"/>
          <w:szCs w:val="24"/>
        </w:rPr>
        <w:t>80</w:t>
      </w:r>
      <w:r>
        <w:rPr>
          <w:rFonts w:hint="eastAsia" w:ascii="宋体" w:hAnsi="宋体" w:cs="宋体"/>
          <w:color w:val="000000"/>
          <w:sz w:val="24"/>
          <w:szCs w:val="24"/>
        </w:rPr>
        <w:t>兆帕的标准。</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）矿石天然放射性测试</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7</w:t>
      </w:r>
      <w:r>
        <w:rPr>
          <w:rFonts w:hint="eastAsia" w:ascii="宋体" w:hAnsi="宋体" w:cs="宋体"/>
          <w:color w:val="000000"/>
          <w:sz w:val="24"/>
          <w:szCs w:val="24"/>
        </w:rPr>
        <w:t>月</w:t>
      </w:r>
      <w:r>
        <w:rPr>
          <w:rFonts w:ascii="宋体" w:hAnsi="宋体" w:cs="宋体"/>
          <w:color w:val="000000"/>
          <w:sz w:val="24"/>
          <w:szCs w:val="24"/>
        </w:rPr>
        <w:t>12</w:t>
      </w:r>
      <w:r>
        <w:rPr>
          <w:rFonts w:hint="eastAsia" w:ascii="宋体" w:hAnsi="宋体" w:cs="宋体"/>
          <w:color w:val="000000"/>
          <w:sz w:val="24"/>
          <w:szCs w:val="24"/>
        </w:rPr>
        <w:t>日国土资源部广州矿产资源监督检测中心（广东省矿产应用研究所）检验结果，本矿区矿石的</w:t>
      </w:r>
      <w:r>
        <w:rPr>
          <w:rFonts w:ascii="宋体" w:hAnsi="宋体" w:cs="宋体"/>
          <w:color w:val="000000"/>
          <w:sz w:val="24"/>
          <w:szCs w:val="24"/>
        </w:rPr>
        <w:t>1</w:t>
      </w:r>
      <w:r>
        <w:rPr>
          <w:rFonts w:hint="eastAsia" w:ascii="宋体" w:hAnsi="宋体" w:cs="宋体"/>
          <w:color w:val="000000"/>
          <w:sz w:val="24"/>
          <w:szCs w:val="24"/>
        </w:rPr>
        <w:t>组天然放射性核素检验结果：镭比活度</w:t>
      </w:r>
      <w:r>
        <w:rPr>
          <w:rFonts w:ascii="宋体" w:hAnsi="宋体" w:cs="宋体"/>
          <w:color w:val="000000"/>
          <w:sz w:val="24"/>
          <w:szCs w:val="24"/>
        </w:rPr>
        <w:t>9.0Bq/kg</w:t>
      </w:r>
      <w:r>
        <w:rPr>
          <w:rFonts w:hint="eastAsia" w:ascii="宋体" w:hAnsi="宋体" w:cs="宋体"/>
          <w:color w:val="000000"/>
          <w:sz w:val="24"/>
          <w:szCs w:val="24"/>
        </w:rPr>
        <w:t>，钍比活度</w:t>
      </w:r>
      <w:r>
        <w:rPr>
          <w:rFonts w:ascii="宋体" w:hAnsi="宋体" w:cs="宋体"/>
          <w:color w:val="000000"/>
          <w:sz w:val="24"/>
          <w:szCs w:val="24"/>
        </w:rPr>
        <w:t>6.8Bq/kg</w:t>
      </w:r>
      <w:r>
        <w:rPr>
          <w:rFonts w:hint="eastAsia" w:ascii="宋体" w:hAnsi="宋体" w:cs="宋体"/>
          <w:color w:val="000000"/>
          <w:sz w:val="24"/>
          <w:szCs w:val="24"/>
        </w:rPr>
        <w:t>，钾比活度</w:t>
      </w:r>
      <w:r>
        <w:rPr>
          <w:rFonts w:ascii="宋体" w:hAnsi="宋体" w:cs="宋体"/>
          <w:color w:val="000000"/>
          <w:sz w:val="24"/>
          <w:szCs w:val="24"/>
        </w:rPr>
        <w:t>237.5Bq/kg</w:t>
      </w:r>
      <w:r>
        <w:rPr>
          <w:rFonts w:hint="eastAsia" w:ascii="宋体" w:hAnsi="宋体" w:cs="宋体"/>
          <w:color w:val="000000"/>
          <w:sz w:val="24"/>
          <w:szCs w:val="24"/>
        </w:rPr>
        <w:t>。内照射指数</w:t>
      </w:r>
      <w:r>
        <w:rPr>
          <w:rFonts w:ascii="宋体" w:hAnsi="宋体" w:cs="宋体"/>
          <w:color w:val="000000"/>
          <w:sz w:val="24"/>
          <w:szCs w:val="24"/>
        </w:rPr>
        <w:t>IRa</w:t>
      </w:r>
      <w:r>
        <w:rPr>
          <w:rFonts w:hint="eastAsia" w:ascii="宋体" w:hAnsi="宋体" w:cs="宋体"/>
          <w:color w:val="000000"/>
          <w:sz w:val="24"/>
          <w:szCs w:val="24"/>
        </w:rPr>
        <w:t>＜</w:t>
      </w:r>
      <w:r>
        <w:rPr>
          <w:rFonts w:ascii="宋体" w:hAnsi="宋体" w:cs="宋体"/>
          <w:color w:val="000000"/>
          <w:sz w:val="24"/>
          <w:szCs w:val="24"/>
        </w:rPr>
        <w:t>0.1</w:t>
      </w:r>
      <w:r>
        <w:rPr>
          <w:rFonts w:hint="eastAsia" w:ascii="宋体" w:hAnsi="宋体" w:cs="宋体"/>
          <w:color w:val="000000"/>
          <w:sz w:val="24"/>
          <w:szCs w:val="24"/>
        </w:rPr>
        <w:t>，外照射指数</w:t>
      </w:r>
      <w:r>
        <w:rPr>
          <w:rFonts w:ascii="宋体" w:hAnsi="宋体" w:cs="宋体"/>
          <w:color w:val="000000"/>
          <w:sz w:val="24"/>
          <w:szCs w:val="24"/>
        </w:rPr>
        <w:t>Ir=0.1</w:t>
      </w:r>
      <w:r>
        <w:rPr>
          <w:rFonts w:hint="eastAsia" w:ascii="宋体" w:hAnsi="宋体" w:cs="宋体"/>
          <w:color w:val="000000"/>
          <w:sz w:val="24"/>
          <w:szCs w:val="24"/>
        </w:rPr>
        <w:t>。根据中华人民共和国国家标准《建筑材料放射性核素限量》（</w:t>
      </w:r>
      <w:r>
        <w:rPr>
          <w:rFonts w:ascii="宋体" w:hAnsi="宋体" w:cs="宋体"/>
          <w:color w:val="000000"/>
          <w:sz w:val="24"/>
          <w:szCs w:val="24"/>
        </w:rPr>
        <w:t>GB6566-2010</w:t>
      </w:r>
      <w:r>
        <w:rPr>
          <w:rFonts w:hint="eastAsia" w:ascii="宋体" w:hAnsi="宋体" w:cs="宋体"/>
          <w:color w:val="000000"/>
          <w:sz w:val="24"/>
          <w:szCs w:val="24"/>
        </w:rPr>
        <w:t>）判定，该矿石可作为</w:t>
      </w:r>
      <w:r>
        <w:rPr>
          <w:rFonts w:ascii="宋体" w:hAnsi="宋体" w:cs="宋体"/>
          <w:color w:val="000000"/>
          <w:sz w:val="24"/>
          <w:szCs w:val="24"/>
        </w:rPr>
        <w:t>A</w:t>
      </w:r>
      <w:r>
        <w:rPr>
          <w:rFonts w:hint="eastAsia" w:ascii="宋体" w:hAnsi="宋体" w:cs="宋体"/>
          <w:color w:val="000000"/>
          <w:sz w:val="24"/>
          <w:szCs w:val="24"/>
        </w:rPr>
        <w:t>类建筑材料，适用于建筑物的内、外饰面及其他用途，其使用和销售不受限制。</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）矿体围岩和夹石</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除上部为第四系残坡积土外，矿体围岩同为玄武岩，分布连续，不存在夹石。</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）矿床共（伴）生矿产</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本矿区矿石不含共伴生矿产。</w:t>
      </w:r>
    </w:p>
    <w:p>
      <w:pPr>
        <w:pStyle w:val="5"/>
        <w:spacing w:before="0" w:after="0" w:line="360" w:lineRule="auto"/>
        <w:ind w:left="420" w:leftChars="200" w:firstLine="482" w:firstLineChars="200"/>
        <w:rPr>
          <w:rFonts w:ascii="宋体" w:hAnsi="宋体" w:eastAsia="宋体" w:cs="Times New Roman"/>
        </w:rPr>
      </w:pPr>
      <w:bookmarkStart w:id="104" w:name="_Toc174243513"/>
      <w:bookmarkStart w:id="105" w:name="_Toc165386217"/>
      <w:bookmarkStart w:id="106" w:name="_Toc204409209"/>
      <w:bookmarkStart w:id="107" w:name="_Toc145238574"/>
      <w:r>
        <w:rPr>
          <w:rFonts w:hint="eastAsia" w:ascii="宋体" w:hAnsi="宋体" w:eastAsia="宋体" w:cs="宋体"/>
        </w:rPr>
        <w:t>（五）矿石加工技术性能</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矿石主要用于建筑碎石料用，其加工主要为机械物理破碎，工序较为简单，目前碎石加工技术已成熟，矿石为岩浆岩，在当前加工技术水平下，较为容易加工分级破碎。</w:t>
      </w:r>
    </w:p>
    <w:p>
      <w:pPr>
        <w:pStyle w:val="5"/>
        <w:spacing w:before="0" w:after="0" w:line="360" w:lineRule="auto"/>
        <w:ind w:left="420" w:leftChars="200" w:firstLine="482" w:firstLineChars="200"/>
        <w:rPr>
          <w:rFonts w:ascii="宋体" w:hAnsi="宋体" w:eastAsia="宋体" w:cs="Times New Roman"/>
        </w:rPr>
      </w:pPr>
      <w:r>
        <w:rPr>
          <w:rFonts w:hint="eastAsia" w:ascii="宋体" w:hAnsi="宋体" w:eastAsia="宋体" w:cs="宋体"/>
        </w:rPr>
        <w:t>（六）矿床开采技术条件</w:t>
      </w:r>
    </w:p>
    <w:p>
      <w:pPr>
        <w:spacing w:line="360" w:lineRule="auto"/>
        <w:ind w:left="420" w:leftChars="200" w:firstLine="480" w:firstLineChars="200"/>
        <w:rPr>
          <w:rFonts w:cs="Times New Roman"/>
        </w:rPr>
      </w:pPr>
      <w:r>
        <w:rPr>
          <w:rFonts w:ascii="宋体" w:hAnsi="宋体" w:cs="宋体"/>
          <w:color w:val="000000"/>
          <w:sz w:val="24"/>
          <w:szCs w:val="24"/>
        </w:rPr>
        <w:t>1</w:t>
      </w:r>
      <w:r>
        <w:rPr>
          <w:rFonts w:hint="eastAsia" w:ascii="宋体" w:hAnsi="宋体" w:cs="宋体"/>
          <w:color w:val="000000"/>
          <w:sz w:val="24"/>
          <w:szCs w:val="24"/>
        </w:rPr>
        <w:t>、水文地质条件</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矿区地表有大气降雨集雨，地下水为基岩裂隙水，含水层的富水性弱，补给靠大气降水，采区集雨主要有采区大气降雨集水、地下水涌水等，采区为凹陷开采，大气降雨、地下水对开采有一定影响，通过选用的抽水机完全可以将采坑积水排出。根据《固体矿产地质勘查规范总则》（</w:t>
      </w:r>
      <w:r>
        <w:rPr>
          <w:rFonts w:ascii="宋体" w:hAnsi="宋体" w:cs="宋体"/>
          <w:color w:val="000000"/>
          <w:sz w:val="24"/>
          <w:szCs w:val="24"/>
        </w:rPr>
        <w:t>GB/T392.0008-2002</w:t>
      </w:r>
      <w:r>
        <w:rPr>
          <w:rFonts w:hint="eastAsia" w:ascii="宋体" w:hAnsi="宋体" w:cs="宋体"/>
          <w:color w:val="000000"/>
          <w:sz w:val="24"/>
          <w:szCs w:val="24"/>
        </w:rPr>
        <w:t>）附录</w:t>
      </w:r>
      <w:r>
        <w:rPr>
          <w:rFonts w:ascii="宋体" w:hAnsi="宋体" w:cs="宋体"/>
          <w:color w:val="000000"/>
          <w:sz w:val="24"/>
          <w:szCs w:val="24"/>
        </w:rPr>
        <w:t>B</w:t>
      </w:r>
      <w:r>
        <w:rPr>
          <w:rFonts w:hint="eastAsia" w:ascii="宋体" w:hAnsi="宋体" w:cs="宋体"/>
          <w:color w:val="000000"/>
          <w:sz w:val="24"/>
          <w:szCs w:val="24"/>
        </w:rPr>
        <w:t>判定矿区水文地质条件复杂程度为中等。</w:t>
      </w:r>
    </w:p>
    <w:p>
      <w:pPr>
        <w:spacing w:line="360" w:lineRule="auto"/>
        <w:ind w:left="420" w:leftChars="200" w:firstLine="480" w:firstLineChars="200"/>
        <w:rPr>
          <w:rFonts w:cs="Times New Roman"/>
        </w:rPr>
      </w:pPr>
      <w:r>
        <w:rPr>
          <w:rFonts w:ascii="宋体" w:hAnsi="宋体" w:cs="宋体"/>
          <w:color w:val="000000"/>
          <w:sz w:val="24"/>
          <w:szCs w:val="24"/>
        </w:rPr>
        <w:t>2</w:t>
      </w:r>
      <w:r>
        <w:rPr>
          <w:rFonts w:hint="eastAsia" w:ascii="宋体" w:hAnsi="宋体" w:cs="宋体"/>
          <w:color w:val="000000"/>
          <w:sz w:val="24"/>
          <w:szCs w:val="24"/>
        </w:rPr>
        <w:t>、工程地质条件</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人工采坑边坡形成后，将破坏原有的地应力平衡，在重力、侧压力的共同作用下，边坡体内部将产生裂隙，裂隙不断扩大、连通，形成独立于基底的边坡体。边坡体为达到新的应力平衡，有向下移动的趋势。当作用力大于阻力（含粘着力、附着力和</w:t>
      </w:r>
      <w:r>
        <w:rPr>
          <w:rFonts w:hint="eastAsia" w:ascii="宋体" w:hAnsi="宋体" w:cs="宋体"/>
          <w:color w:val="000000"/>
          <w:sz w:val="24"/>
          <w:szCs w:val="24"/>
          <w:lang w:val="en-US" w:eastAsia="zh-CN"/>
        </w:rPr>
        <w:t>摩擦力</w:t>
      </w:r>
      <w:r>
        <w:rPr>
          <w:rFonts w:hint="eastAsia" w:ascii="宋体" w:hAnsi="宋体" w:cs="宋体"/>
          <w:color w:val="000000"/>
          <w:sz w:val="24"/>
          <w:szCs w:val="24"/>
        </w:rPr>
        <w:t>）时，边坡体就会发生位移，甚至发生突然的崩塌或滑坡。崩塌或滑坡是否会发生，主要取决于边坡的坡度、高度，坡体的物理力学性质，结构面的发育程度和产状，以及水的作用程度等因素。比如：当有地表水或地下水浸入坡体时，既加大坡体的重量，又降低坡体的摩擦力、附着力和粘着力，所以，水有加速和加大边坡崩塌和滑坡发生的危险。据上述岩土体特征分析，松散岩类盖层较厚，工程地质条件差，稳定性差；坚硬岩类工程地质条件较好，稳定性较好。矿区整体松散岩类厚度较薄，厚度变化较均匀，总体厚度约</w:t>
      </w:r>
      <w:r>
        <w:rPr>
          <w:rFonts w:ascii="宋体" w:hAnsi="宋体" w:cs="宋体"/>
          <w:color w:val="000000"/>
          <w:sz w:val="24"/>
          <w:szCs w:val="24"/>
        </w:rPr>
        <w:t>5</w:t>
      </w:r>
      <w:r>
        <w:rPr>
          <w:rFonts w:hint="eastAsia" w:ascii="宋体" w:hAnsi="宋体" w:cs="宋体"/>
          <w:color w:val="000000"/>
          <w:sz w:val="24"/>
          <w:szCs w:val="24"/>
        </w:rPr>
        <w:t>米，为剥离的对象，只要控制好开采边坡，对矿山开采影响较小。</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据此，评价矿床工程地质条件为简单型。</w:t>
      </w:r>
    </w:p>
    <w:p>
      <w:pPr>
        <w:spacing w:line="360" w:lineRule="auto"/>
        <w:ind w:left="420" w:leftChars="200" w:firstLine="480" w:firstLineChars="200"/>
        <w:rPr>
          <w:rFonts w:cs="Times New Roman"/>
        </w:rPr>
      </w:pPr>
      <w:r>
        <w:rPr>
          <w:rFonts w:ascii="宋体" w:hAnsi="宋体" w:cs="宋体"/>
          <w:color w:val="000000"/>
          <w:sz w:val="24"/>
          <w:szCs w:val="24"/>
        </w:rPr>
        <w:t>3</w:t>
      </w:r>
      <w:r>
        <w:rPr>
          <w:rFonts w:hint="eastAsia" w:ascii="宋体" w:hAnsi="宋体" w:cs="宋体"/>
          <w:color w:val="000000"/>
          <w:sz w:val="24"/>
          <w:szCs w:val="24"/>
        </w:rPr>
        <w:t>、环境地质条件</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）矿区环境地质现状评价</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矿区域地震：根据</w:t>
      </w:r>
      <w:r>
        <w:rPr>
          <w:rFonts w:ascii="宋体" w:hAnsi="宋体" w:cs="宋体"/>
          <w:color w:val="000000"/>
          <w:sz w:val="24"/>
          <w:szCs w:val="24"/>
        </w:rPr>
        <w:t>1991</w:t>
      </w:r>
      <w:r>
        <w:rPr>
          <w:rFonts w:hint="eastAsia" w:ascii="宋体" w:hAnsi="宋体" w:cs="宋体"/>
          <w:color w:val="000000"/>
          <w:sz w:val="24"/>
          <w:szCs w:val="24"/>
        </w:rPr>
        <w:t>年《中国地震烈度区划图》（</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400</w:t>
      </w:r>
      <w:r>
        <w:rPr>
          <w:rFonts w:hint="eastAsia" w:ascii="宋体" w:hAnsi="宋体" w:cs="宋体"/>
          <w:color w:val="000000"/>
          <w:sz w:val="24"/>
          <w:szCs w:val="24"/>
        </w:rPr>
        <w:t>万）和《广东省地震烈度区划图》（</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180</w:t>
      </w:r>
      <w:r>
        <w:rPr>
          <w:rFonts w:hint="eastAsia" w:ascii="宋体" w:hAnsi="宋体" w:cs="宋体"/>
          <w:color w:val="000000"/>
          <w:sz w:val="24"/>
          <w:szCs w:val="24"/>
        </w:rPr>
        <w:t>万），矿区所在地区处于地震基本烈度为</w:t>
      </w:r>
      <w:r>
        <w:rPr>
          <w:rFonts w:ascii="宋体" w:hAnsi="宋体" w:cs="宋体"/>
          <w:color w:val="000000"/>
          <w:sz w:val="24"/>
          <w:szCs w:val="24"/>
        </w:rPr>
        <w:t>6</w:t>
      </w:r>
      <w:r>
        <w:rPr>
          <w:rFonts w:hint="eastAsia" w:ascii="宋体" w:hAnsi="宋体" w:cs="宋体"/>
          <w:color w:val="000000"/>
          <w:sz w:val="24"/>
          <w:szCs w:val="24"/>
        </w:rPr>
        <w:t>度区，地震峰值加速度</w:t>
      </w:r>
      <w:r>
        <w:rPr>
          <w:rFonts w:ascii="宋体" w:hAnsi="宋体" w:cs="宋体"/>
          <w:color w:val="000000"/>
          <w:sz w:val="24"/>
          <w:szCs w:val="24"/>
        </w:rPr>
        <w:t>0.05g</w:t>
      </w:r>
      <w:r>
        <w:rPr>
          <w:rFonts w:hint="eastAsia" w:ascii="宋体" w:hAnsi="宋体" w:cs="宋体"/>
          <w:color w:val="000000"/>
          <w:sz w:val="24"/>
          <w:szCs w:val="24"/>
        </w:rPr>
        <w:t>，属区域地壳稳定区，地震对矿山建设影响不大。</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矿区附近无污染源，地表、地下水水质良好，矿石及围岩的</w:t>
      </w:r>
      <w:bookmarkStart w:id="183" w:name="_GoBack"/>
      <w:bookmarkEnd w:id="183"/>
      <w:r>
        <w:rPr>
          <w:rFonts w:hint="eastAsia" w:ascii="宋体" w:hAnsi="宋体" w:cs="宋体"/>
          <w:color w:val="000000"/>
          <w:sz w:val="24"/>
          <w:szCs w:val="24"/>
        </w:rPr>
        <w:t>化学</w:t>
      </w:r>
      <w:r>
        <w:rPr>
          <w:rFonts w:hint="eastAsia" w:ascii="宋体" w:hAnsi="宋体" w:cs="宋体"/>
          <w:color w:val="000000"/>
          <w:sz w:val="24"/>
          <w:szCs w:val="24"/>
          <w:lang w:val="en-US" w:eastAsia="zh-CN"/>
        </w:rPr>
        <w:t>成分</w:t>
      </w:r>
      <w:r>
        <w:rPr>
          <w:rFonts w:hint="eastAsia" w:ascii="宋体" w:hAnsi="宋体" w:cs="宋体"/>
          <w:color w:val="000000"/>
          <w:sz w:val="24"/>
          <w:szCs w:val="24"/>
        </w:rPr>
        <w:t>稳定，不易分解出有害成分，有毒有害组份甚微；矿石放射性水平低，不会对水体造成污染，但爆破、粉碎过程会产生飞石和粉尘，须做好爆破安全措施及地面洒水工作；地表剥土将破坏原有植被及生态环境，对地形地貌景观造成破坏，并潜在不稳定斜坡及一定的水土流失现象；开采废土主要用于修建矿区土路，既可以解决弃土堆放问题，又可以对整个矿区进行部分覆土，以便将来复垦使用；矿区远离居民点，附近无民房、工业建筑、文物保护点；矿山开采的环境地质条件简单。</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据此，评价矿床环境地质条件现状简单。</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）矿区环境地质条件预测评价</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矿区在开采过程中，可能会对当地环境造成影响主要有：</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）对土地资源的破坏，如开采范围内会挖损和占用一定面积的土地；采坑边坡还有可能发生崩塌、滑坡，堆土场还有可能发生泥石流等地质灾害；</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）开采会破坏当地的地形地貌景观特征，以及局部地表植被；</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爆破产生的强烈震动和声响，爆破、加工碎石和运输过程会产生一定的粉尘，会对人、畜和周边环境造成一定的污染和影响等。但由于本矿的开采规模小，产生的污染源少，对环境的破坏和影响小。且矿体及围岩放射性不超标，不含有毒有害物质，矿体开采不会对周边的水、土地、植被和人畜造成污染或危害。</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综上所述，矿区环境地质条件预测评价为简单。</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、小结</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矿区水文地质条件为中等类型，对矿山开采影响不大。工程地质条件简单型；环境地质条件简单；综合评价开采技术条件勘查类型属于简单型（</w:t>
      </w:r>
      <w:r>
        <w:rPr>
          <w:rFonts w:ascii="宋体" w:hAnsi="宋体" w:cs="宋体"/>
          <w:color w:val="000000"/>
          <w:sz w:val="24"/>
          <w:szCs w:val="24"/>
        </w:rPr>
        <w:t>I-1</w:t>
      </w:r>
      <w:r>
        <w:rPr>
          <w:rFonts w:hint="eastAsia" w:ascii="宋体" w:hAnsi="宋体" w:cs="宋体"/>
          <w:color w:val="000000"/>
          <w:sz w:val="24"/>
          <w:szCs w:val="24"/>
        </w:rPr>
        <w:t>类）矿床。</w:t>
      </w:r>
    </w:p>
    <w:bookmarkEnd w:id="95"/>
    <w:bookmarkEnd w:id="102"/>
    <w:bookmarkEnd w:id="103"/>
    <w:bookmarkEnd w:id="104"/>
    <w:bookmarkEnd w:id="105"/>
    <w:bookmarkEnd w:id="106"/>
    <w:bookmarkEnd w:id="107"/>
    <w:p>
      <w:pPr>
        <w:pStyle w:val="5"/>
        <w:spacing w:before="0" w:after="0" w:line="360" w:lineRule="auto"/>
        <w:ind w:left="420" w:leftChars="200" w:firstLine="482" w:firstLineChars="200"/>
        <w:rPr>
          <w:rFonts w:ascii="宋体" w:hAnsi="宋体" w:eastAsia="宋体" w:cs="Times New Roman"/>
        </w:rPr>
      </w:pPr>
      <w:r>
        <w:rPr>
          <w:rFonts w:hint="eastAsia" w:ascii="宋体" w:hAnsi="宋体" w:eastAsia="宋体" w:cs="宋体"/>
        </w:rPr>
        <w:t>（七）矿山设计和开采现状</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根据《开发利用方案》，依据矿床开采技术条件，矿体赋存条件，结合矿体产状及矿区地形地貌，设计采用露天开采方式。开采工艺采用中深孔爆破，公路开拓</w:t>
      </w:r>
      <w:r>
        <w:rPr>
          <w:rFonts w:ascii="宋体" w:cs="宋体"/>
          <w:color w:val="000000"/>
          <w:sz w:val="24"/>
          <w:szCs w:val="24"/>
        </w:rPr>
        <w:t>-</w:t>
      </w:r>
      <w:r>
        <w:rPr>
          <w:rFonts w:hint="eastAsia" w:ascii="宋体" w:hAnsi="宋体" w:cs="宋体"/>
          <w:color w:val="000000"/>
          <w:sz w:val="24"/>
          <w:szCs w:val="24"/>
        </w:rPr>
        <w:t>汽车运输方式。</w:t>
      </w:r>
    </w:p>
    <w:p>
      <w:pPr>
        <w:spacing w:line="360" w:lineRule="auto"/>
        <w:ind w:left="420" w:leftChars="200" w:firstLine="480" w:firstLineChars="200"/>
        <w:rPr>
          <w:rFonts w:ascii="宋体" w:cs="Times New Roman"/>
          <w:color w:val="000000"/>
          <w:sz w:val="24"/>
          <w:szCs w:val="24"/>
          <w:highlight w:val="yellow"/>
        </w:rPr>
      </w:pPr>
      <w:r>
        <w:rPr>
          <w:rFonts w:hint="eastAsia" w:ascii="宋体" w:hAnsi="宋体" w:cs="宋体"/>
          <w:color w:val="000000"/>
          <w:sz w:val="24"/>
          <w:szCs w:val="24"/>
        </w:rPr>
        <w:t>本矿山为拟设矿山，未进行开采。</w:t>
      </w:r>
    </w:p>
    <w:p>
      <w:pPr>
        <w:spacing w:line="360" w:lineRule="auto"/>
        <w:rPr>
          <w:rFonts w:ascii="宋体" w:cs="Times New Roman"/>
          <w:highlight w:val="yellow"/>
        </w:rPr>
      </w:pPr>
    </w:p>
    <w:p>
      <w:pPr>
        <w:spacing w:line="360" w:lineRule="auto"/>
        <w:ind w:left="420" w:leftChars="200" w:firstLine="482" w:firstLineChars="200"/>
        <w:jc w:val="center"/>
        <w:outlineLvl w:val="0"/>
        <w:rPr>
          <w:rFonts w:ascii="宋体" w:cs="Times New Roman"/>
          <w:b/>
          <w:bCs/>
          <w:sz w:val="24"/>
          <w:szCs w:val="24"/>
        </w:rPr>
      </w:pPr>
      <w:bookmarkStart w:id="108" w:name="_Toc515199697"/>
      <w:bookmarkStart w:id="109" w:name="_Toc522712200"/>
      <w:r>
        <w:rPr>
          <w:rFonts w:hint="eastAsia" w:ascii="宋体" w:hAnsi="宋体" w:cs="宋体"/>
          <w:b/>
          <w:bCs/>
          <w:sz w:val="24"/>
          <w:szCs w:val="24"/>
        </w:rPr>
        <w:t>九、评估实施过程</w:t>
      </w:r>
      <w:bookmarkEnd w:id="108"/>
      <w:bookmarkEnd w:id="109"/>
    </w:p>
    <w:p>
      <w:pPr>
        <w:autoSpaceDN w:val="0"/>
        <w:spacing w:line="360" w:lineRule="auto"/>
        <w:ind w:left="420" w:leftChars="200" w:firstLine="480" w:firstLineChars="200"/>
        <w:rPr>
          <w:rFonts w:ascii="宋体" w:cs="Times New Roman"/>
          <w:color w:val="000000"/>
          <w:sz w:val="24"/>
          <w:szCs w:val="24"/>
        </w:rPr>
      </w:pPr>
      <w:bookmarkStart w:id="110" w:name="_Toc21571"/>
      <w:bookmarkStart w:id="111" w:name="_Toc17694"/>
      <w:bookmarkStart w:id="112" w:name="_Toc362963070"/>
      <w:bookmarkStart w:id="113" w:name="_Toc364775818"/>
      <w:bookmarkStart w:id="114" w:name="_Toc361736637"/>
      <w:r>
        <w:rPr>
          <w:rFonts w:hint="eastAsia" w:ascii="宋体" w:hAnsi="宋体" w:cs="宋体"/>
          <w:color w:val="000000"/>
          <w:sz w:val="24"/>
          <w:szCs w:val="24"/>
        </w:rPr>
        <w:t>根据《矿业权评估程序规范（</w:t>
      </w:r>
      <w:r>
        <w:rPr>
          <w:rFonts w:ascii="宋体" w:hAnsi="宋体" w:cs="宋体"/>
          <w:color w:val="000000"/>
          <w:sz w:val="24"/>
          <w:szCs w:val="24"/>
        </w:rPr>
        <w:t>CMVS 11000-2008</w:t>
      </w:r>
      <w:r>
        <w:rPr>
          <w:rFonts w:hint="eastAsia" w:ascii="宋体" w:hAnsi="宋体" w:cs="宋体"/>
          <w:color w:val="000000"/>
          <w:sz w:val="24"/>
          <w:szCs w:val="24"/>
        </w:rPr>
        <w:t>）》，按照评估委托人的要求，本评估机构组织评估人员，对委托评估的采矿权实施了如下评估程序：</w:t>
      </w:r>
    </w:p>
    <w:p>
      <w:pPr>
        <w:pStyle w:val="5"/>
        <w:spacing w:before="0" w:after="0" w:line="360" w:lineRule="auto"/>
        <w:ind w:left="420" w:leftChars="200" w:firstLine="482" w:firstLineChars="200"/>
        <w:rPr>
          <w:rFonts w:ascii="宋体" w:hAnsi="宋体" w:eastAsia="宋体" w:cs="Times New Roman"/>
        </w:rPr>
      </w:pPr>
      <w:r>
        <w:rPr>
          <w:rFonts w:hint="eastAsia" w:ascii="宋体" w:hAnsi="宋体" w:eastAsia="宋体" w:cs="宋体"/>
        </w:rPr>
        <w:t>（一）接受委托阶段</w:t>
      </w:r>
    </w:p>
    <w:p>
      <w:pPr>
        <w:autoSpaceDN w:val="0"/>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本公司接受遂溪县国土资源局评估委托，明确此次评估业务基本事项，拟定评估计划，收集与评估有关的资料，向矿业权人提供评估资料清单。</w:t>
      </w:r>
    </w:p>
    <w:p>
      <w:pPr>
        <w:pStyle w:val="5"/>
        <w:spacing w:before="0" w:after="0" w:line="360" w:lineRule="auto"/>
        <w:ind w:left="420" w:leftChars="200" w:firstLine="482" w:firstLineChars="200"/>
        <w:rPr>
          <w:rFonts w:ascii="宋体" w:hAnsi="宋体" w:eastAsia="宋体" w:cs="Times New Roman"/>
        </w:rPr>
      </w:pPr>
      <w:r>
        <w:rPr>
          <w:rFonts w:hint="eastAsia" w:ascii="宋体" w:hAnsi="宋体" w:eastAsia="宋体" w:cs="宋体"/>
        </w:rPr>
        <w:t>（二）现场勘查阶段</w:t>
      </w:r>
    </w:p>
    <w:p>
      <w:pPr>
        <w:autoSpaceDN w:val="0"/>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评估机构评估人员根据评估的有关原则和规定，对纳入评估范围内的矿业权进行了产权鉴定，查阅有关材料，征询、了解、落实矿区地质勘查、资源储量估算等基本情况，指导委托人准备与本次评估有关的资料，现场收集、核实与本次评估有关的地质资料、原始资料等；对矿区范围内有无矿业权纠纷进行了核实。</w:t>
      </w:r>
    </w:p>
    <w:p>
      <w:pPr>
        <w:pStyle w:val="5"/>
        <w:spacing w:before="0" w:after="0" w:line="360" w:lineRule="auto"/>
        <w:ind w:left="420" w:leftChars="200" w:firstLine="482" w:firstLineChars="200"/>
        <w:rPr>
          <w:rFonts w:ascii="宋体" w:hAnsi="宋体" w:eastAsia="宋体" w:cs="Times New Roman"/>
        </w:rPr>
      </w:pPr>
      <w:r>
        <w:rPr>
          <w:rFonts w:hint="eastAsia" w:ascii="宋体" w:hAnsi="宋体" w:eastAsia="宋体" w:cs="宋体"/>
        </w:rPr>
        <w:t>（三）评定估算阶段</w:t>
      </w:r>
    </w:p>
    <w:p>
      <w:pPr>
        <w:autoSpaceDN w:val="0"/>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依据收集的评估资料进行整理分析，选择适当的评估方法，合理选取评估参数，完成评定估算，具体步骤如下：根据所收集的资料进行归纳、整理，查阅有关法律、法规，按照既定的评估程序和方法，选取评估参数，对委托评估的采矿权价值进行评定估算，对估算结果进行必要的分析，形成合理评估结论，完成评估报告初稿，复核评估结论，并对评估结论进行修改和完善。</w:t>
      </w:r>
    </w:p>
    <w:p>
      <w:pPr>
        <w:pStyle w:val="5"/>
        <w:spacing w:before="0" w:after="0" w:line="360" w:lineRule="auto"/>
        <w:ind w:left="420" w:leftChars="200" w:firstLine="482" w:firstLineChars="200"/>
        <w:rPr>
          <w:rFonts w:ascii="宋体" w:hAnsi="宋体" w:eastAsia="宋体" w:cs="Times New Roman"/>
        </w:rPr>
      </w:pPr>
      <w:r>
        <w:rPr>
          <w:rFonts w:hint="eastAsia" w:ascii="宋体" w:hAnsi="宋体" w:eastAsia="宋体" w:cs="宋体"/>
        </w:rPr>
        <w:t>（四）出具报告阶段</w:t>
      </w:r>
    </w:p>
    <w:p>
      <w:pPr>
        <w:autoSpaceDN w:val="0"/>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评估工作情况，起草评估报告，向评估委托人提交评估报告初稿、交换评估初步结果意见，在遵守评估规范、指南和职业道德原则下，认真对待评估委托人提出的意见，并作必要的修改，在经评估委托人确认后，出具评估报告，提交正式评估报告。</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2" w:firstLineChars="200"/>
        <w:jc w:val="center"/>
        <w:outlineLvl w:val="0"/>
        <w:rPr>
          <w:rFonts w:ascii="宋体" w:cs="Times New Roman"/>
          <w:b/>
          <w:bCs/>
          <w:sz w:val="24"/>
          <w:szCs w:val="24"/>
        </w:rPr>
      </w:pPr>
      <w:bookmarkStart w:id="115" w:name="_Toc515199698"/>
      <w:bookmarkStart w:id="116" w:name="_Toc522712201"/>
      <w:r>
        <w:rPr>
          <w:rFonts w:hint="eastAsia" w:ascii="宋体" w:hAnsi="宋体" w:cs="宋体"/>
          <w:b/>
          <w:bCs/>
          <w:sz w:val="24"/>
          <w:szCs w:val="24"/>
        </w:rPr>
        <w:t>十、评估方法</w:t>
      </w:r>
      <w:bookmarkEnd w:id="110"/>
      <w:bookmarkEnd w:id="115"/>
      <w:bookmarkEnd w:id="116"/>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依据矿业权评估准则的规定，矿业权评估通常包括收益法、成本法、市场法三种基本评估方法。</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收益法，是基于预期收益原则和效用原则，通过计算待估矿业权所对应的矿产资源储量开发获得预期收益的现值，估算待估矿业权价值的技术路径。成本法是指基于贡献原则和重置成本的原理，即现时成本贡献于价值的原理，以成本反映价值的技术路径。市场法是指根据替代原理，通过分析、比较评估对象与市场上已有矿业权交易案例异同，间接估算评估对象价值的技术路径。</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一）成本法不适用原因：成本法适用于矿产资源预查和普查阶段的探矿权评估，但不适用于赋存稳定的沉积型大中型矿床中勘查程度较低的普查阶段的探矿权评估。本次委托评估对象为采矿权，故不适宜成本法评估。</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二）市场法不适用原因：根据委托评估采矿权的具体情况，本次评估范围的采矿权，因广东省尚未公布矿业权出让收益市场基准价，也缺乏类似可比参照物（相同或相似性的采矿权交易案例），采用基准价因素调整法、交易案例比较调整法等市场途径评估方法所需评估资料不具备，故不适宜市场法评估。</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三）收益法适用原因：折现现金流量法适用于详查及以上勘查阶段的探矿权评估和赋存稳定的沉积型大中型矿床的普查探矿权评估；适用于拟建、在建、改扩建矿山的采矿权评估，以及具备折现现金流量法适用条件的生产矿山的采矿权评估。</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鉴于：</w:t>
      </w:r>
      <w:r>
        <w:rPr>
          <w:rFonts w:ascii="宋体" w:hAnsi="宋体" w:cs="宋体"/>
          <w:sz w:val="24"/>
          <w:szCs w:val="24"/>
        </w:rPr>
        <w:t>1</w:t>
      </w:r>
      <w:r>
        <w:rPr>
          <w:rFonts w:hint="eastAsia" w:ascii="宋体" w:hAnsi="宋体" w:cs="宋体"/>
          <w:sz w:val="24"/>
          <w:szCs w:val="24"/>
        </w:rPr>
        <w:t>、评估对象于评估基准日为拟建矿山，矿山经过历次勘查，已详细探明了矿山的地质条件和资源条件，详查报告已通过评审备案，储量具有很高的可靠性；</w:t>
      </w:r>
      <w:r>
        <w:rPr>
          <w:rFonts w:ascii="宋体" w:hAnsi="宋体" w:cs="宋体"/>
          <w:sz w:val="24"/>
          <w:szCs w:val="24"/>
        </w:rPr>
        <w:t>2</w:t>
      </w:r>
      <w:r>
        <w:rPr>
          <w:rFonts w:hint="eastAsia" w:ascii="宋体" w:hAnsi="宋体" w:cs="宋体"/>
          <w:sz w:val="24"/>
          <w:szCs w:val="24"/>
        </w:rPr>
        <w:t>、广东省地质物探工程勘察院编制的《广东省遂溪县遂城镇洪家村矿区建筑用玄武岩矿矿产资源开发利用方案》，能够提供固定资产投资、生产成本等资料，其未来的预期收益及获得未来预期收益所承担的风险可以预测并可以用货币衡量。</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本次评估采用折现现金流量法，其计算公式为：</w:t>
      </w:r>
    </w:p>
    <w:p>
      <w:pPr>
        <w:tabs>
          <w:tab w:val="center" w:pos="4760"/>
          <w:tab w:val="right" w:pos="9120"/>
        </w:tabs>
        <w:snapToGrid w:val="0"/>
        <w:spacing w:line="360" w:lineRule="auto"/>
        <w:ind w:left="420" w:leftChars="200" w:firstLine="1260" w:firstLineChars="450"/>
        <w:jc w:val="left"/>
        <w:rPr>
          <w:rFonts w:ascii="宋体" w:cs="Times New Roman"/>
          <w:sz w:val="24"/>
          <w:szCs w:val="24"/>
        </w:rPr>
      </w:pPr>
      <w:r>
        <w:rPr>
          <w:rFonts w:hint="eastAsia" w:ascii="宋体" w:cs="宋体"/>
          <w:position w:val="-28"/>
          <w:sz w:val="28"/>
          <w:szCs w:val="28"/>
        </w:rPr>
        <w:pict>
          <v:shape id="_x0000_i1026" o:spt="75" type="#_x0000_t75" style="height:42.75pt;width:159pt;" filled="f" o:preferrelative="t" stroked="f" coordsize="21600,21600">
            <v:path/>
            <v:fill on="f" focussize="0,0"/>
            <v:stroke on="f" joinstyle="miter"/>
            <v:imagedata r:id="rId11" o:title=""/>
            <o:lock v:ext="edit" aspectratio="t"/>
            <w10:wrap type="none"/>
            <w10:anchorlock/>
          </v:shape>
        </w:pic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式中：</w:t>
      </w:r>
      <w:r>
        <w:rPr>
          <w:rFonts w:ascii="宋体" w:hAnsi="宋体" w:cs="宋体"/>
          <w:sz w:val="24"/>
          <w:szCs w:val="24"/>
        </w:rPr>
        <w:t>P——</w:t>
      </w:r>
      <w:r>
        <w:rPr>
          <w:rFonts w:hint="eastAsia" w:ascii="宋体" w:hAnsi="宋体" w:cs="宋体"/>
          <w:sz w:val="24"/>
          <w:szCs w:val="24"/>
        </w:rPr>
        <w:t>矿业权评估价值；</w:t>
      </w:r>
    </w:p>
    <w:p>
      <w:pPr>
        <w:spacing w:line="360" w:lineRule="auto"/>
        <w:ind w:left="420" w:leftChars="200" w:firstLine="1200" w:firstLineChars="500"/>
        <w:rPr>
          <w:rFonts w:ascii="宋体" w:cs="Times New Roman"/>
          <w:sz w:val="24"/>
          <w:szCs w:val="24"/>
        </w:rPr>
      </w:pPr>
      <w:r>
        <w:rPr>
          <w:rFonts w:ascii="宋体" w:hAnsi="宋体" w:cs="宋体"/>
          <w:sz w:val="24"/>
          <w:szCs w:val="24"/>
        </w:rPr>
        <w:t>CI——</w:t>
      </w:r>
      <w:r>
        <w:rPr>
          <w:rFonts w:hint="eastAsia" w:ascii="宋体" w:hAnsi="宋体" w:cs="宋体"/>
          <w:sz w:val="24"/>
          <w:szCs w:val="24"/>
        </w:rPr>
        <w:t>年现金流入量；</w:t>
      </w:r>
    </w:p>
    <w:p>
      <w:pPr>
        <w:spacing w:line="360" w:lineRule="auto"/>
        <w:ind w:left="420" w:leftChars="200" w:firstLine="1200" w:firstLineChars="500"/>
        <w:rPr>
          <w:rFonts w:ascii="宋体" w:cs="Times New Roman"/>
          <w:sz w:val="24"/>
          <w:szCs w:val="24"/>
        </w:rPr>
      </w:pPr>
      <w:r>
        <w:rPr>
          <w:rFonts w:ascii="宋体" w:hAnsi="宋体" w:cs="宋体"/>
          <w:sz w:val="24"/>
          <w:szCs w:val="24"/>
        </w:rPr>
        <w:t>CO——</w:t>
      </w:r>
      <w:r>
        <w:rPr>
          <w:rFonts w:hint="eastAsia" w:ascii="宋体" w:hAnsi="宋体" w:cs="宋体"/>
          <w:sz w:val="24"/>
          <w:szCs w:val="24"/>
        </w:rPr>
        <w:t>年现金流出量；</w:t>
      </w:r>
    </w:p>
    <w:p>
      <w:pPr>
        <w:spacing w:line="360" w:lineRule="auto"/>
        <w:ind w:left="420" w:leftChars="200" w:firstLine="1200" w:firstLineChars="500"/>
        <w:rPr>
          <w:rFonts w:ascii="宋体" w:cs="Times New Roman"/>
          <w:sz w:val="24"/>
          <w:szCs w:val="24"/>
        </w:rPr>
      </w:pPr>
      <w:r>
        <w:rPr>
          <w:rFonts w:ascii="宋体" w:hAnsi="宋体" w:cs="宋体"/>
          <w:sz w:val="24"/>
          <w:szCs w:val="24"/>
        </w:rPr>
        <w:t>(CI</w:t>
      </w:r>
      <w:r>
        <w:rPr>
          <w:rFonts w:hint="eastAsia" w:ascii="宋体" w:hAnsi="宋体" w:cs="宋体"/>
          <w:sz w:val="24"/>
          <w:szCs w:val="24"/>
        </w:rPr>
        <w:t>－</w:t>
      </w:r>
      <w:r>
        <w:rPr>
          <w:rFonts w:ascii="宋体" w:hAnsi="宋体" w:cs="宋体"/>
          <w:sz w:val="24"/>
          <w:szCs w:val="24"/>
        </w:rPr>
        <w:t>CO)</w:t>
      </w:r>
      <w:r>
        <w:rPr>
          <w:rFonts w:ascii="宋体" w:hAnsi="宋体" w:cs="宋体"/>
          <w:sz w:val="24"/>
          <w:szCs w:val="24"/>
          <w:vertAlign w:val="subscript"/>
        </w:rPr>
        <w:t>t</w:t>
      </w:r>
      <w:r>
        <w:rPr>
          <w:rFonts w:ascii="宋体" w:hAnsi="宋体" w:cs="宋体"/>
          <w:sz w:val="24"/>
          <w:szCs w:val="24"/>
        </w:rPr>
        <w:t>——</w:t>
      </w:r>
      <w:r>
        <w:rPr>
          <w:rFonts w:hint="eastAsia" w:ascii="宋体" w:hAnsi="宋体" w:cs="宋体"/>
          <w:sz w:val="24"/>
          <w:szCs w:val="24"/>
        </w:rPr>
        <w:t>年净现金流量；</w:t>
      </w:r>
    </w:p>
    <w:p>
      <w:pPr>
        <w:spacing w:line="360" w:lineRule="auto"/>
        <w:ind w:left="420" w:leftChars="200" w:firstLine="1200" w:firstLineChars="500"/>
        <w:rPr>
          <w:rFonts w:ascii="宋体" w:cs="Times New Roman"/>
          <w:sz w:val="24"/>
          <w:szCs w:val="24"/>
        </w:rPr>
      </w:pPr>
      <w:r>
        <w:rPr>
          <w:rFonts w:ascii="宋体" w:hAnsi="宋体" w:cs="宋体"/>
          <w:sz w:val="24"/>
          <w:szCs w:val="24"/>
        </w:rPr>
        <w:t>i ——</w:t>
      </w:r>
      <w:r>
        <w:rPr>
          <w:rFonts w:hint="eastAsia" w:ascii="宋体" w:hAnsi="宋体" w:cs="宋体"/>
          <w:sz w:val="24"/>
          <w:szCs w:val="24"/>
        </w:rPr>
        <w:t>折现率；</w:t>
      </w:r>
    </w:p>
    <w:p>
      <w:pPr>
        <w:spacing w:line="360" w:lineRule="auto"/>
        <w:ind w:left="420" w:leftChars="200" w:firstLine="1200" w:firstLineChars="500"/>
        <w:rPr>
          <w:rFonts w:ascii="宋体" w:cs="Times New Roman"/>
          <w:sz w:val="24"/>
          <w:szCs w:val="24"/>
        </w:rPr>
      </w:pPr>
      <w:r>
        <w:rPr>
          <w:rFonts w:ascii="宋体" w:hAnsi="宋体" w:cs="宋体"/>
          <w:sz w:val="24"/>
          <w:szCs w:val="24"/>
        </w:rPr>
        <w:t>t ——</w:t>
      </w:r>
      <w:r>
        <w:rPr>
          <w:rFonts w:hint="eastAsia" w:ascii="宋体" w:hAnsi="宋体" w:cs="宋体"/>
          <w:sz w:val="24"/>
          <w:szCs w:val="24"/>
        </w:rPr>
        <w:t>年序号（</w:t>
      </w:r>
      <w:r>
        <w:rPr>
          <w:rFonts w:ascii="宋体" w:hAnsi="宋体" w:cs="宋体"/>
          <w:sz w:val="24"/>
          <w:szCs w:val="24"/>
        </w:rPr>
        <w:t>t</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cs="宋体"/>
          <w:sz w:val="24"/>
          <w:szCs w:val="24"/>
        </w:rPr>
        <w:t>…</w:t>
      </w:r>
      <w:r>
        <w:rPr>
          <w:rFonts w:ascii="宋体" w:hAnsi="宋体" w:cs="宋体"/>
          <w:sz w:val="24"/>
          <w:szCs w:val="24"/>
        </w:rPr>
        <w:t>n</w:t>
      </w:r>
      <w:r>
        <w:rPr>
          <w:rFonts w:hint="eastAsia" w:ascii="宋体" w:hAnsi="宋体" w:cs="宋体"/>
          <w:sz w:val="24"/>
          <w:szCs w:val="24"/>
        </w:rPr>
        <w:t>）；</w:t>
      </w:r>
    </w:p>
    <w:p>
      <w:pPr>
        <w:spacing w:line="360" w:lineRule="auto"/>
        <w:ind w:left="420" w:leftChars="200" w:firstLine="1200" w:firstLineChars="500"/>
        <w:rPr>
          <w:rFonts w:ascii="宋体" w:cs="Times New Roman"/>
          <w:color w:val="000000"/>
          <w:sz w:val="24"/>
          <w:szCs w:val="24"/>
        </w:rPr>
      </w:pPr>
      <w:r>
        <w:rPr>
          <w:rFonts w:ascii="宋体" w:hAnsi="宋体" w:cs="宋体"/>
          <w:sz w:val="24"/>
          <w:szCs w:val="24"/>
        </w:rPr>
        <w:t>n——</w:t>
      </w:r>
      <w:r>
        <w:rPr>
          <w:rFonts w:hint="eastAsia" w:ascii="宋体" w:hAnsi="宋体" w:cs="宋体"/>
          <w:sz w:val="24"/>
          <w:szCs w:val="24"/>
        </w:rPr>
        <w:t>评估计算年限。</w:t>
      </w:r>
    </w:p>
    <w:bookmarkEnd w:id="111"/>
    <w:bookmarkEnd w:id="112"/>
    <w:bookmarkEnd w:id="113"/>
    <w:bookmarkEnd w:id="114"/>
    <w:p>
      <w:pPr>
        <w:spacing w:line="360" w:lineRule="auto"/>
        <w:ind w:left="420" w:leftChars="200" w:firstLine="480" w:firstLineChars="200"/>
        <w:rPr>
          <w:rFonts w:ascii="宋体" w:cs="Times New Roman"/>
          <w:color w:val="000000"/>
          <w:sz w:val="24"/>
          <w:szCs w:val="24"/>
        </w:rPr>
      </w:pPr>
      <w:bookmarkStart w:id="117" w:name="_Toc25163"/>
    </w:p>
    <w:p>
      <w:pPr>
        <w:spacing w:line="360" w:lineRule="auto"/>
        <w:ind w:left="420" w:leftChars="200" w:firstLine="482" w:firstLineChars="200"/>
        <w:jc w:val="center"/>
        <w:outlineLvl w:val="0"/>
        <w:rPr>
          <w:rFonts w:ascii="宋体" w:cs="Times New Roman"/>
          <w:b/>
          <w:bCs/>
          <w:sz w:val="24"/>
          <w:szCs w:val="24"/>
        </w:rPr>
      </w:pPr>
      <w:bookmarkStart w:id="118" w:name="_Toc522712202"/>
      <w:bookmarkStart w:id="119" w:name="_Toc515199699"/>
      <w:r>
        <w:rPr>
          <w:rFonts w:hint="eastAsia" w:ascii="宋体" w:hAnsi="宋体" w:cs="宋体"/>
          <w:b/>
          <w:bCs/>
          <w:sz w:val="24"/>
          <w:szCs w:val="24"/>
        </w:rPr>
        <w:t>十一、评估参数的确定</w:t>
      </w:r>
      <w:bookmarkEnd w:id="117"/>
      <w:bookmarkEnd w:id="118"/>
      <w:bookmarkEnd w:id="119"/>
    </w:p>
    <w:p>
      <w:pPr>
        <w:pStyle w:val="5"/>
        <w:spacing w:before="0" w:after="0" w:line="360" w:lineRule="auto"/>
        <w:ind w:left="420" w:leftChars="200" w:firstLine="482" w:firstLineChars="200"/>
        <w:rPr>
          <w:rFonts w:ascii="宋体" w:hAnsi="宋体" w:eastAsia="宋体" w:cs="Times New Roman"/>
        </w:rPr>
      </w:pPr>
      <w:bookmarkStart w:id="120" w:name="_Toc364775821"/>
      <w:bookmarkStart w:id="121" w:name="_Toc29064"/>
      <w:bookmarkStart w:id="122" w:name="_Toc361838483"/>
      <w:r>
        <w:rPr>
          <w:rFonts w:hint="eastAsia" w:ascii="宋体" w:hAnsi="宋体" w:eastAsia="宋体" w:cs="宋体"/>
        </w:rPr>
        <w:t>（一）主要技术参数的选取与计算</w:t>
      </w:r>
      <w:bookmarkEnd w:id="120"/>
      <w:bookmarkEnd w:id="121"/>
      <w:bookmarkEnd w:id="122"/>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、可采储量</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）保有资源储量</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月广东省地球物理探矿大队编制的《详查报告》、</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9</w:t>
      </w:r>
      <w:r>
        <w:rPr>
          <w:rFonts w:hint="eastAsia" w:ascii="宋体" w:hAnsi="宋体" w:cs="宋体"/>
          <w:color w:val="000000"/>
          <w:sz w:val="24"/>
          <w:szCs w:val="24"/>
        </w:rPr>
        <w:t>月</w:t>
      </w:r>
      <w:r>
        <w:rPr>
          <w:rFonts w:ascii="宋体" w:hAnsi="宋体" w:cs="宋体"/>
          <w:color w:val="000000"/>
          <w:sz w:val="24"/>
          <w:szCs w:val="24"/>
        </w:rPr>
        <w:t>6</w:t>
      </w:r>
      <w:r>
        <w:rPr>
          <w:rFonts w:hint="eastAsia" w:ascii="宋体" w:hAnsi="宋体" w:cs="宋体"/>
          <w:color w:val="000000"/>
          <w:sz w:val="24"/>
          <w:szCs w:val="24"/>
        </w:rPr>
        <w:t>日广东省矿产资源储量评审中心出具《详查报告评审意见书》（粤资储评审字</w:t>
      </w:r>
      <w:r>
        <w:rPr>
          <w:rFonts w:ascii="宋体" w:hAnsi="宋体" w:cs="宋体"/>
          <w:color w:val="000000"/>
          <w:sz w:val="24"/>
          <w:szCs w:val="24"/>
        </w:rPr>
        <w:t>[2016]111</w:t>
      </w:r>
      <w:r>
        <w:rPr>
          <w:rFonts w:hint="eastAsia" w:ascii="宋体" w:hAnsi="宋体" w:cs="宋体"/>
          <w:color w:val="000000"/>
          <w:sz w:val="24"/>
          <w:szCs w:val="24"/>
        </w:rPr>
        <w:t>号）、</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11</w:t>
      </w:r>
      <w:r>
        <w:rPr>
          <w:rFonts w:hint="eastAsia" w:ascii="宋体" w:hAnsi="宋体" w:cs="宋体"/>
          <w:color w:val="000000"/>
          <w:sz w:val="24"/>
          <w:szCs w:val="24"/>
        </w:rPr>
        <w:t>月</w:t>
      </w:r>
      <w:r>
        <w:rPr>
          <w:rFonts w:ascii="宋体" w:hAnsi="宋体" w:cs="宋体"/>
          <w:color w:val="000000"/>
          <w:sz w:val="24"/>
          <w:szCs w:val="24"/>
        </w:rPr>
        <w:t>17</w:t>
      </w:r>
      <w:r>
        <w:rPr>
          <w:rFonts w:hint="eastAsia" w:ascii="宋体" w:hAnsi="宋体" w:cs="宋体"/>
          <w:color w:val="000000"/>
          <w:sz w:val="24"/>
          <w:szCs w:val="24"/>
        </w:rPr>
        <w:t>日湛江市国土资源局出具的《详查报告审查备案证明》，截止</w:t>
      </w:r>
      <w:r>
        <w:rPr>
          <w:rFonts w:ascii="宋体" w:hAnsi="宋体" w:cs="宋体"/>
          <w:color w:val="000000"/>
          <w:sz w:val="24"/>
          <w:szCs w:val="24"/>
        </w:rPr>
        <w:t>2016</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w:t>
      </w:r>
      <w:r>
        <w:rPr>
          <w:rFonts w:ascii="宋体" w:hAnsi="宋体" w:cs="宋体"/>
          <w:color w:val="000000"/>
          <w:sz w:val="24"/>
          <w:szCs w:val="24"/>
        </w:rPr>
        <w:t>5</w:t>
      </w:r>
      <w:r>
        <w:rPr>
          <w:rFonts w:hint="eastAsia" w:ascii="宋体" w:hAnsi="宋体" w:cs="宋体"/>
          <w:color w:val="000000"/>
          <w:sz w:val="24"/>
          <w:szCs w:val="24"/>
        </w:rPr>
        <w:t>日，广东省湛江市遂溪县遂城镇洪家村矿区建筑用玄武岩矿保有资源储量（</w:t>
      </w:r>
      <w:r>
        <w:rPr>
          <w:rFonts w:ascii="宋体" w:hAnsi="宋体" w:cs="宋体"/>
          <w:color w:val="000000"/>
          <w:sz w:val="24"/>
          <w:szCs w:val="24"/>
        </w:rPr>
        <w:t>332+333</w:t>
      </w:r>
      <w:r>
        <w:rPr>
          <w:rFonts w:hint="eastAsia" w:ascii="宋体" w:hAnsi="宋体" w:cs="宋体"/>
          <w:color w:val="000000"/>
          <w:sz w:val="24"/>
          <w:szCs w:val="24"/>
        </w:rPr>
        <w:t>）</w:t>
      </w:r>
      <w:r>
        <w:rPr>
          <w:rFonts w:ascii="宋体" w:hAnsi="宋体" w:cs="宋体"/>
          <w:color w:val="000000"/>
          <w:sz w:val="24"/>
          <w:szCs w:val="24"/>
        </w:rPr>
        <w:t>132.73</w:t>
      </w:r>
      <w:r>
        <w:rPr>
          <w:rFonts w:hint="eastAsia" w:ascii="宋体" w:hAnsi="宋体" w:cs="宋体"/>
          <w:color w:val="000000"/>
          <w:sz w:val="24"/>
          <w:szCs w:val="24"/>
        </w:rPr>
        <w:t>万立方米，其中控制的内蕴经济资源量（</w:t>
      </w:r>
      <w:r>
        <w:rPr>
          <w:rFonts w:ascii="宋体" w:hAnsi="宋体" w:cs="宋体"/>
          <w:color w:val="000000"/>
          <w:sz w:val="24"/>
          <w:szCs w:val="24"/>
        </w:rPr>
        <w:t>332</w:t>
      </w:r>
      <w:r>
        <w:rPr>
          <w:rFonts w:hint="eastAsia" w:ascii="宋体" w:hAnsi="宋体" w:cs="宋体"/>
          <w:color w:val="000000"/>
          <w:sz w:val="24"/>
          <w:szCs w:val="24"/>
        </w:rPr>
        <w:t>）</w:t>
      </w:r>
      <w:r>
        <w:rPr>
          <w:rFonts w:ascii="宋体" w:hAnsi="宋体" w:cs="宋体"/>
          <w:color w:val="000000"/>
          <w:sz w:val="24"/>
          <w:szCs w:val="24"/>
        </w:rPr>
        <w:t>98.72</w:t>
      </w:r>
      <w:r>
        <w:rPr>
          <w:rFonts w:hint="eastAsia" w:ascii="宋体" w:hAnsi="宋体" w:cs="宋体"/>
          <w:color w:val="000000"/>
          <w:sz w:val="24"/>
          <w:szCs w:val="24"/>
        </w:rPr>
        <w:t>万立方米、推断的内蕴经济资源量（</w:t>
      </w:r>
      <w:r>
        <w:rPr>
          <w:rFonts w:ascii="宋体" w:hAnsi="宋体" w:cs="宋体"/>
          <w:color w:val="000000"/>
          <w:sz w:val="24"/>
          <w:szCs w:val="24"/>
        </w:rPr>
        <w:t>333</w:t>
      </w:r>
      <w:r>
        <w:rPr>
          <w:rFonts w:hint="eastAsia" w:ascii="宋体" w:hAnsi="宋体" w:cs="宋体"/>
          <w:color w:val="000000"/>
          <w:sz w:val="24"/>
          <w:szCs w:val="24"/>
        </w:rPr>
        <w:t>）</w:t>
      </w:r>
      <w:r>
        <w:rPr>
          <w:rFonts w:ascii="宋体" w:hAnsi="宋体" w:cs="宋体"/>
          <w:color w:val="000000"/>
          <w:sz w:val="24"/>
          <w:szCs w:val="24"/>
        </w:rPr>
        <w:t>34.01</w:t>
      </w:r>
      <w:r>
        <w:rPr>
          <w:rFonts w:hint="eastAsia" w:ascii="宋体" w:hAnsi="宋体" w:cs="宋体"/>
          <w:color w:val="000000"/>
          <w:sz w:val="24"/>
          <w:szCs w:val="24"/>
        </w:rPr>
        <w:t>万立方米。</w:t>
      </w:r>
    </w:p>
    <w:p>
      <w:pPr>
        <w:spacing w:line="360" w:lineRule="auto"/>
        <w:ind w:left="420" w:leftChars="200" w:firstLine="480" w:firstLineChars="200"/>
        <w:rPr>
          <w:rFonts w:ascii="宋体" w:cs="Times New Roman"/>
          <w:sz w:val="24"/>
          <w:szCs w:val="24"/>
        </w:rPr>
      </w:pPr>
      <w:r>
        <w:rPr>
          <w:rFonts w:hint="eastAsia" w:ascii="宋体" w:hAnsi="宋体" w:cs="宋体"/>
          <w:color w:val="000000"/>
          <w:sz w:val="24"/>
          <w:szCs w:val="24"/>
        </w:rPr>
        <w:t>故本次评估储量核实基准日矿山玄武岩矿保有资源储量为（</w:t>
      </w:r>
      <w:r>
        <w:rPr>
          <w:rFonts w:ascii="宋体" w:hAnsi="宋体" w:cs="宋体"/>
          <w:color w:val="000000"/>
          <w:sz w:val="24"/>
          <w:szCs w:val="24"/>
        </w:rPr>
        <w:t>332+333</w:t>
      </w:r>
      <w:r>
        <w:rPr>
          <w:rFonts w:hint="eastAsia" w:ascii="宋体" w:hAnsi="宋体" w:cs="宋体"/>
          <w:color w:val="000000"/>
          <w:sz w:val="24"/>
          <w:szCs w:val="24"/>
        </w:rPr>
        <w:t>）</w:t>
      </w:r>
      <w:r>
        <w:rPr>
          <w:rFonts w:ascii="宋体" w:hAnsi="宋体" w:cs="宋体"/>
          <w:color w:val="000000"/>
          <w:sz w:val="24"/>
          <w:szCs w:val="24"/>
        </w:rPr>
        <w:t>132.73</w:t>
      </w:r>
      <w:r>
        <w:rPr>
          <w:rFonts w:hint="eastAsia" w:ascii="宋体" w:hAnsi="宋体" w:cs="宋体"/>
          <w:color w:val="000000"/>
          <w:sz w:val="24"/>
          <w:szCs w:val="24"/>
        </w:rPr>
        <w:t>万立方米，其中控制的内蕴经济资源量（</w:t>
      </w:r>
      <w:r>
        <w:rPr>
          <w:rFonts w:ascii="宋体" w:hAnsi="宋体" w:cs="宋体"/>
          <w:color w:val="000000"/>
          <w:sz w:val="24"/>
          <w:szCs w:val="24"/>
        </w:rPr>
        <w:t>332</w:t>
      </w:r>
      <w:r>
        <w:rPr>
          <w:rFonts w:hint="eastAsia" w:ascii="宋体" w:hAnsi="宋体" w:cs="宋体"/>
          <w:color w:val="000000"/>
          <w:sz w:val="24"/>
          <w:szCs w:val="24"/>
        </w:rPr>
        <w:t>）</w:t>
      </w:r>
      <w:r>
        <w:rPr>
          <w:rFonts w:ascii="宋体" w:hAnsi="宋体" w:cs="宋体"/>
          <w:color w:val="000000"/>
          <w:sz w:val="24"/>
          <w:szCs w:val="24"/>
        </w:rPr>
        <w:t>98.72</w:t>
      </w:r>
      <w:r>
        <w:rPr>
          <w:rFonts w:hint="eastAsia" w:ascii="宋体" w:hAnsi="宋体" w:cs="宋体"/>
          <w:color w:val="000000"/>
          <w:sz w:val="24"/>
          <w:szCs w:val="24"/>
        </w:rPr>
        <w:t>万立方米、推</w:t>
      </w:r>
      <w:r>
        <w:rPr>
          <w:rFonts w:hint="eastAsia" w:ascii="宋体" w:hAnsi="宋体" w:cs="宋体"/>
          <w:sz w:val="24"/>
          <w:szCs w:val="24"/>
        </w:rPr>
        <w:t>断的内蕴经济资源量（</w:t>
      </w:r>
      <w:r>
        <w:rPr>
          <w:rFonts w:ascii="宋体" w:hAnsi="宋体" w:cs="宋体"/>
          <w:sz w:val="24"/>
          <w:szCs w:val="24"/>
        </w:rPr>
        <w:t>333</w:t>
      </w:r>
      <w:r>
        <w:rPr>
          <w:rFonts w:hint="eastAsia" w:ascii="宋体" w:hAnsi="宋体" w:cs="宋体"/>
          <w:sz w:val="24"/>
          <w:szCs w:val="24"/>
        </w:rPr>
        <w:t>）</w:t>
      </w:r>
      <w:r>
        <w:rPr>
          <w:rFonts w:ascii="宋体" w:hAnsi="宋体" w:cs="宋体"/>
          <w:sz w:val="24"/>
          <w:szCs w:val="24"/>
        </w:rPr>
        <w:t>34.01</w:t>
      </w:r>
      <w:r>
        <w:rPr>
          <w:rFonts w:hint="eastAsia" w:ascii="宋体" w:hAnsi="宋体" w:cs="宋体"/>
          <w:sz w:val="24"/>
          <w:szCs w:val="24"/>
        </w:rPr>
        <w:t>万立方米。</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）动用资源储量</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该矿山为新设矿山，储量核实基准日至评估基准日未动用资源储量，故本次评估动用资源储量为</w:t>
      </w:r>
      <w:r>
        <w:rPr>
          <w:rFonts w:ascii="宋体" w:cs="宋体"/>
          <w:sz w:val="24"/>
          <w:szCs w:val="24"/>
        </w:rPr>
        <w:t>0</w:t>
      </w:r>
      <w:r>
        <w:rPr>
          <w:rFonts w:hint="eastAsia" w:ascii="宋体" w:hAnsi="宋体" w:cs="宋体"/>
          <w:sz w:val="24"/>
          <w:szCs w:val="24"/>
        </w:rPr>
        <w:t>。</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）参与评估的保有资源储量</w:t>
      </w:r>
    </w:p>
    <w:p>
      <w:pPr>
        <w:spacing w:line="360" w:lineRule="auto"/>
        <w:ind w:left="3720" w:leftChars="400" w:hanging="2880" w:hangingChars="1200"/>
        <w:rPr>
          <w:rFonts w:ascii="宋体" w:cs="Times New Roman"/>
          <w:color w:val="000000"/>
          <w:sz w:val="24"/>
          <w:szCs w:val="24"/>
        </w:rPr>
      </w:pPr>
      <w:r>
        <w:rPr>
          <w:rFonts w:hint="eastAsia" w:ascii="宋体" w:hAnsi="宋体" w:cs="宋体"/>
          <w:color w:val="000000"/>
          <w:sz w:val="24"/>
          <w:szCs w:val="24"/>
        </w:rPr>
        <w:t>参与评估的保有资源储量＝储量核实基准日保有资源储量－储量核实基准日至评估基准日的动用储量＋储量核实基准日至评估基准日期间净增资源储量</w:t>
      </w:r>
    </w:p>
    <w:p>
      <w:pPr>
        <w:spacing w:line="360" w:lineRule="auto"/>
        <w:ind w:left="420" w:leftChars="200" w:firstLine="480" w:firstLineChars="200"/>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132.73</w:t>
      </w:r>
      <w:r>
        <w:rPr>
          <w:rFonts w:hint="eastAsia" w:ascii="宋体" w:hAnsi="宋体" w:cs="宋体"/>
          <w:color w:val="000000"/>
          <w:sz w:val="24"/>
          <w:szCs w:val="24"/>
        </w:rPr>
        <w:t>－</w:t>
      </w:r>
      <w:r>
        <w:rPr>
          <w:rFonts w:ascii="宋体" w:cs="宋体"/>
          <w:color w:val="000000"/>
          <w:sz w:val="24"/>
          <w:szCs w:val="24"/>
        </w:rPr>
        <w:t>0</w:t>
      </w:r>
      <w:r>
        <w:rPr>
          <w:rFonts w:hint="eastAsia" w:ascii="宋体" w:hAnsi="宋体" w:cs="宋体"/>
          <w:color w:val="000000"/>
          <w:sz w:val="24"/>
          <w:szCs w:val="24"/>
        </w:rPr>
        <w:t>＋</w:t>
      </w:r>
      <w:r>
        <w:rPr>
          <w:rFonts w:ascii="宋体" w:cs="宋体"/>
          <w:color w:val="000000"/>
          <w:sz w:val="24"/>
          <w:szCs w:val="24"/>
        </w:rPr>
        <w:t>0</w:t>
      </w:r>
    </w:p>
    <w:p>
      <w:pPr>
        <w:spacing w:line="360" w:lineRule="auto"/>
        <w:ind w:left="420" w:leftChars="200" w:firstLine="3120" w:firstLineChars="13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132.73</w:t>
      </w:r>
      <w:r>
        <w:rPr>
          <w:rFonts w:hint="eastAsia" w:ascii="宋体" w:hAnsi="宋体" w:cs="宋体"/>
          <w:color w:val="000000"/>
          <w:sz w:val="24"/>
          <w:szCs w:val="24"/>
        </w:rPr>
        <w:t>万立方米</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故本次评估确定参与评估的保有资源储量</w:t>
      </w:r>
      <w:r>
        <w:rPr>
          <w:rFonts w:ascii="宋体" w:hAnsi="宋体" w:cs="宋体"/>
          <w:color w:val="000000"/>
          <w:sz w:val="24"/>
          <w:szCs w:val="24"/>
        </w:rPr>
        <w:t>132.73</w:t>
      </w:r>
      <w:r>
        <w:rPr>
          <w:rFonts w:hint="eastAsia" w:ascii="宋体" w:hAnsi="宋体" w:cs="宋体"/>
          <w:color w:val="000000"/>
          <w:sz w:val="24"/>
          <w:szCs w:val="24"/>
        </w:rPr>
        <w:t>万立方米。</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）评估利用资源储量</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根据《矿业权出让收益评估应用指南（试行）》，矿业权范围内的资源储量均为评估利用资源储量，包括预测的资源量（</w:t>
      </w:r>
      <w:r>
        <w:rPr>
          <w:rFonts w:ascii="宋体" w:hAnsi="宋体" w:cs="宋体"/>
          <w:sz w:val="24"/>
          <w:szCs w:val="24"/>
        </w:rPr>
        <w:t>334</w:t>
      </w:r>
      <w:r>
        <w:rPr>
          <w:rFonts w:hint="eastAsia" w:ascii="宋体" w:hAnsi="宋体" w:cs="宋体"/>
          <w:sz w:val="24"/>
          <w:szCs w:val="24"/>
        </w:rPr>
        <w:t>）？。</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故评估利用的资源储量即为参与评估计算的保有资源储量</w:t>
      </w:r>
      <w:r>
        <w:rPr>
          <w:rFonts w:ascii="宋体" w:hAnsi="宋体" w:cs="宋体"/>
          <w:sz w:val="24"/>
          <w:szCs w:val="24"/>
        </w:rPr>
        <w:t>132.73</w:t>
      </w:r>
      <w:r>
        <w:rPr>
          <w:rFonts w:hint="eastAsia" w:ascii="宋体" w:hAnsi="宋体" w:cs="宋体"/>
          <w:sz w:val="24"/>
          <w:szCs w:val="24"/>
        </w:rPr>
        <w:t>万立方米。</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）开采技术指标</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本次评估设计损失量及采矿损失量参数依据《开发利用方案》取值。</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根据《开发利用方案》，采矿回采率</w:t>
      </w:r>
      <w:r>
        <w:rPr>
          <w:rFonts w:ascii="宋体" w:hAnsi="宋体" w:cs="宋体"/>
          <w:color w:val="000000"/>
          <w:sz w:val="24"/>
          <w:szCs w:val="24"/>
        </w:rPr>
        <w:t>98%</w:t>
      </w:r>
      <w:r>
        <w:rPr>
          <w:rFonts w:hint="eastAsia" w:ascii="宋体" w:hAnsi="宋体" w:cs="宋体"/>
          <w:color w:val="000000"/>
          <w:sz w:val="24"/>
          <w:szCs w:val="24"/>
        </w:rPr>
        <w:t>，废石混入率</w:t>
      </w:r>
      <w:r>
        <w:rPr>
          <w:rFonts w:ascii="宋体" w:hAnsi="宋体" w:cs="宋体"/>
          <w:color w:val="000000"/>
          <w:sz w:val="24"/>
          <w:szCs w:val="24"/>
        </w:rPr>
        <w:t>0.5%</w:t>
      </w:r>
      <w:r>
        <w:rPr>
          <w:rFonts w:hint="eastAsia" w:ascii="宋体" w:hAnsi="宋体" w:cs="宋体"/>
          <w:color w:val="000000"/>
          <w:sz w:val="24"/>
          <w:szCs w:val="24"/>
        </w:rPr>
        <w:t>，则采矿损失率为</w:t>
      </w:r>
      <w:r>
        <w:rPr>
          <w:rFonts w:ascii="宋体" w:hAnsi="宋体" w:cs="宋体"/>
          <w:color w:val="000000"/>
          <w:sz w:val="24"/>
          <w:szCs w:val="24"/>
        </w:rPr>
        <w:t>2%</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）评估利用可采储量</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）设计损失量</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根据《开发利用方案》，该矿设计损失量为</w:t>
      </w:r>
      <w:r>
        <w:rPr>
          <w:rFonts w:ascii="宋体" w:hAnsi="宋体" w:cs="宋体"/>
          <w:color w:val="000000"/>
          <w:sz w:val="24"/>
          <w:szCs w:val="24"/>
        </w:rPr>
        <w:t>9.06</w:t>
      </w:r>
      <w:r>
        <w:rPr>
          <w:rFonts w:hint="eastAsia" w:ascii="宋体" w:hAnsi="宋体" w:cs="宋体"/>
          <w:color w:val="000000"/>
          <w:sz w:val="24"/>
          <w:szCs w:val="24"/>
        </w:rPr>
        <w:t>万立方米。</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故本次评估确定设计损失量取值为</w:t>
      </w:r>
      <w:r>
        <w:rPr>
          <w:rFonts w:ascii="宋体" w:hAnsi="宋体" w:cs="宋体"/>
          <w:color w:val="000000"/>
          <w:sz w:val="24"/>
          <w:szCs w:val="24"/>
        </w:rPr>
        <w:t>9.06</w:t>
      </w:r>
      <w:r>
        <w:rPr>
          <w:rFonts w:hint="eastAsia" w:ascii="宋体" w:hAnsi="宋体" w:cs="宋体"/>
          <w:color w:val="000000"/>
          <w:sz w:val="24"/>
          <w:szCs w:val="24"/>
        </w:rPr>
        <w:t>万立方米。</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）评估利用可采储量</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根据《矿业权评估利用矿产资源储量指导意见（</w:t>
      </w:r>
      <w:r>
        <w:rPr>
          <w:rFonts w:ascii="宋体" w:hAnsi="宋体" w:cs="宋体"/>
          <w:sz w:val="24"/>
          <w:szCs w:val="24"/>
        </w:rPr>
        <w:t>CMVS 30300-2010</w:t>
      </w:r>
      <w:r>
        <w:rPr>
          <w:rFonts w:hint="eastAsia" w:ascii="宋体" w:hAnsi="宋体" w:cs="宋体"/>
          <w:sz w:val="24"/>
          <w:szCs w:val="24"/>
        </w:rPr>
        <w:t>）》，评估矿山可采储量按下式进行计算：</w:t>
      </w:r>
    </w:p>
    <w:p>
      <w:pPr>
        <w:spacing w:line="360" w:lineRule="auto"/>
        <w:ind w:left="3179" w:leftChars="428" w:hanging="2280" w:hangingChars="950"/>
        <w:rPr>
          <w:rFonts w:ascii="宋体" w:cs="Times New Roman"/>
          <w:sz w:val="24"/>
          <w:szCs w:val="24"/>
        </w:rPr>
      </w:pPr>
      <w:r>
        <w:rPr>
          <w:rFonts w:hint="eastAsia" w:ascii="宋体" w:hAnsi="宋体" w:cs="宋体"/>
          <w:sz w:val="24"/>
          <w:szCs w:val="24"/>
        </w:rPr>
        <w:t>评估利用可采储量＝（评估利用资源储量－设计损失量）</w:t>
      </w:r>
      <w:r>
        <w:rPr>
          <w:rFonts w:hint="eastAsia" w:ascii="宋体" w:cs="宋体"/>
          <w:sz w:val="24"/>
          <w:szCs w:val="24"/>
        </w:rPr>
        <w:t>×</w:t>
      </w:r>
      <w:r>
        <w:rPr>
          <w:rFonts w:hint="eastAsia" w:ascii="宋体" w:hAnsi="宋体" w:cs="宋体"/>
          <w:sz w:val="24"/>
          <w:szCs w:val="24"/>
        </w:rPr>
        <w:t>回采率</w:t>
      </w:r>
    </w:p>
    <w:p>
      <w:pPr>
        <w:spacing w:line="360" w:lineRule="auto"/>
        <w:ind w:left="420" w:leftChars="200" w:firstLine="2400" w:firstLineChars="1000"/>
        <w:rPr>
          <w:rFonts w:ascii="宋体" w:cs="Times New Roman"/>
          <w:sz w:val="24"/>
          <w:szCs w:val="24"/>
        </w:rPr>
      </w:pPr>
      <w:r>
        <w:rPr>
          <w:rFonts w:hint="eastAsia" w:ascii="宋体" w:hAnsi="宋体" w:cs="宋体"/>
          <w:sz w:val="24"/>
          <w:szCs w:val="24"/>
        </w:rPr>
        <w:t>＝（</w:t>
      </w:r>
      <w:r>
        <w:rPr>
          <w:rFonts w:ascii="宋体" w:hAnsi="宋体" w:cs="宋体"/>
          <w:sz w:val="24"/>
          <w:szCs w:val="24"/>
        </w:rPr>
        <w:t>132.73</w:t>
      </w:r>
      <w:r>
        <w:rPr>
          <w:rFonts w:hint="eastAsia" w:ascii="宋体" w:hAnsi="宋体" w:cs="宋体"/>
          <w:sz w:val="24"/>
          <w:szCs w:val="24"/>
        </w:rPr>
        <w:t>－</w:t>
      </w:r>
      <w:r>
        <w:rPr>
          <w:rFonts w:ascii="宋体" w:hAnsi="宋体" w:cs="宋体"/>
          <w:sz w:val="24"/>
          <w:szCs w:val="24"/>
        </w:rPr>
        <w:t>9.06</w:t>
      </w:r>
      <w:r>
        <w:rPr>
          <w:rFonts w:hint="eastAsia" w:ascii="宋体" w:hAnsi="宋体" w:cs="宋体"/>
          <w:sz w:val="24"/>
          <w:szCs w:val="24"/>
        </w:rPr>
        <w:t>）</w:t>
      </w:r>
      <w:r>
        <w:rPr>
          <w:rFonts w:hint="eastAsia" w:ascii="宋体" w:cs="宋体"/>
          <w:sz w:val="24"/>
          <w:szCs w:val="24"/>
        </w:rPr>
        <w:t>×</w:t>
      </w:r>
      <w:r>
        <w:rPr>
          <w:rFonts w:ascii="宋体" w:hAnsi="宋体" w:cs="宋体"/>
          <w:sz w:val="24"/>
          <w:szCs w:val="24"/>
        </w:rPr>
        <w:t>98%</w:t>
      </w:r>
    </w:p>
    <w:p>
      <w:pPr>
        <w:spacing w:line="360" w:lineRule="auto"/>
        <w:ind w:left="420" w:leftChars="200" w:firstLine="2400" w:firstLineChars="1000"/>
        <w:rPr>
          <w:rFonts w:ascii="宋体" w:hAnsi="宋体" w:cs="宋体"/>
          <w:sz w:val="24"/>
          <w:szCs w:val="24"/>
        </w:rPr>
      </w:pPr>
      <w:r>
        <w:rPr>
          <w:rFonts w:hint="eastAsia" w:ascii="宋体" w:hAnsi="宋体" w:cs="宋体"/>
          <w:sz w:val="24"/>
          <w:szCs w:val="24"/>
        </w:rPr>
        <w:t>＝</w:t>
      </w:r>
      <w:r>
        <w:rPr>
          <w:rFonts w:ascii="宋体" w:hAnsi="宋体" w:cs="宋体"/>
          <w:sz w:val="24"/>
          <w:szCs w:val="24"/>
        </w:rPr>
        <w:t>121.20</w:t>
      </w:r>
      <w:r>
        <w:rPr>
          <w:rFonts w:hint="eastAsia" w:ascii="宋体" w:hAnsi="宋体" w:cs="宋体"/>
          <w:sz w:val="24"/>
          <w:szCs w:val="24"/>
        </w:rPr>
        <w:t>万立方米</w:t>
      </w:r>
      <w:r>
        <w:rPr>
          <w:rFonts w:ascii="宋体" w:hAnsi="宋体" w:cs="宋体"/>
          <w:sz w:val="24"/>
          <w:szCs w:val="24"/>
        </w:rPr>
        <w:t xml:space="preserve"> </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、产品方案</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本次评估根据《开发利用方案》，确定产品方案为玄武岩碎石、石粉。</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3</w:t>
      </w:r>
      <w:r>
        <w:rPr>
          <w:rFonts w:hint="eastAsia" w:ascii="宋体" w:hAnsi="宋体" w:cs="宋体"/>
          <w:color w:val="000000"/>
          <w:sz w:val="24"/>
          <w:szCs w:val="24"/>
        </w:rPr>
        <w:t>、开采方案</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根据《开发利用方案》，矿山采用露天开采方式。</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、生产能力</w:t>
      </w:r>
    </w:p>
    <w:p>
      <w:pPr>
        <w:spacing w:line="360" w:lineRule="auto"/>
        <w:ind w:left="420" w:leftChars="200" w:firstLine="480"/>
        <w:rPr>
          <w:rFonts w:ascii="宋体" w:cs="Times New Roman"/>
          <w:color w:val="000000"/>
          <w:sz w:val="24"/>
          <w:szCs w:val="24"/>
        </w:rPr>
      </w:pPr>
      <w:r>
        <w:rPr>
          <w:rFonts w:hint="eastAsia" w:ascii="宋体" w:hAnsi="宋体" w:cs="宋体"/>
          <w:color w:val="000000"/>
          <w:sz w:val="24"/>
          <w:szCs w:val="24"/>
        </w:rPr>
        <w:t>根据《开发利用方案》，矿山设计生产规模为</w:t>
      </w:r>
      <w:r>
        <w:rPr>
          <w:rFonts w:ascii="宋体" w:hAnsi="宋体" w:cs="宋体"/>
          <w:color w:val="000000"/>
          <w:sz w:val="24"/>
          <w:szCs w:val="24"/>
        </w:rPr>
        <w:t>10</w:t>
      </w:r>
      <w:r>
        <w:rPr>
          <w:rFonts w:hint="eastAsia" w:ascii="宋体" w:hAnsi="宋体" w:cs="宋体"/>
          <w:color w:val="000000"/>
          <w:sz w:val="24"/>
          <w:szCs w:val="24"/>
        </w:rPr>
        <w:t>万立方米</w:t>
      </w:r>
      <w:r>
        <w:rPr>
          <w:rFonts w:ascii="宋体" w:hAnsi="宋体" w:cs="宋体"/>
          <w:color w:val="000000"/>
          <w:sz w:val="24"/>
          <w:szCs w:val="24"/>
        </w:rPr>
        <w:t>/</w:t>
      </w:r>
      <w:r>
        <w:rPr>
          <w:rFonts w:hint="eastAsia" w:ascii="宋体" w:hAnsi="宋体" w:cs="宋体"/>
          <w:color w:val="000000"/>
          <w:sz w:val="24"/>
          <w:szCs w:val="24"/>
        </w:rPr>
        <w:t>年。</w:t>
      </w:r>
    </w:p>
    <w:p>
      <w:pPr>
        <w:spacing w:line="360" w:lineRule="auto"/>
        <w:ind w:left="420" w:leftChars="200" w:firstLine="480"/>
        <w:rPr>
          <w:rFonts w:ascii="宋体" w:cs="Times New Roman"/>
          <w:color w:val="000000"/>
          <w:sz w:val="24"/>
          <w:szCs w:val="24"/>
          <w:highlight w:val="yellow"/>
        </w:rPr>
      </w:pPr>
      <w:r>
        <w:rPr>
          <w:rFonts w:hint="eastAsia" w:ascii="宋体" w:hAnsi="宋体" w:cs="宋体"/>
          <w:color w:val="000000"/>
          <w:sz w:val="24"/>
          <w:szCs w:val="24"/>
        </w:rPr>
        <w:t>故本次评估依据《开发利用方案》确定矿山生产能力为</w:t>
      </w:r>
      <w:r>
        <w:rPr>
          <w:rFonts w:ascii="宋体" w:hAnsi="宋体" w:cs="宋体"/>
          <w:color w:val="000000"/>
          <w:sz w:val="24"/>
          <w:szCs w:val="24"/>
        </w:rPr>
        <w:t>10</w:t>
      </w:r>
      <w:r>
        <w:rPr>
          <w:rFonts w:hint="eastAsia" w:ascii="宋体" w:hAnsi="宋体" w:cs="宋体"/>
          <w:color w:val="000000"/>
          <w:sz w:val="24"/>
          <w:szCs w:val="24"/>
        </w:rPr>
        <w:t>万立方米</w:t>
      </w:r>
      <w:r>
        <w:rPr>
          <w:rFonts w:ascii="宋体" w:hAnsi="宋体" w:cs="宋体"/>
          <w:color w:val="000000"/>
          <w:sz w:val="24"/>
          <w:szCs w:val="24"/>
        </w:rPr>
        <w:t>/</w:t>
      </w:r>
      <w:r>
        <w:rPr>
          <w:rFonts w:hint="eastAsia" w:ascii="宋体" w:hAnsi="宋体" w:cs="宋体"/>
          <w:color w:val="000000"/>
          <w:sz w:val="24"/>
          <w:szCs w:val="24"/>
        </w:rPr>
        <w:t>年。</w:t>
      </w:r>
    </w:p>
    <w:p>
      <w:pPr>
        <w:spacing w:line="360" w:lineRule="auto"/>
        <w:ind w:left="420" w:leftChars="200"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、矿山服务年限和评估计算年限</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根据确定的矿山生产规模，由下列公式可计算出矿山的服务年限：</w:t>
      </w:r>
    </w:p>
    <w:p>
      <w:pPr>
        <w:snapToGrid w:val="0"/>
        <w:spacing w:line="360" w:lineRule="auto"/>
        <w:rPr>
          <w:rFonts w:ascii="宋体" w:cs="Times New Roman"/>
          <w:sz w:val="24"/>
          <w:szCs w:val="24"/>
        </w:rPr>
      </w:pPr>
      <w:r>
        <w:rPr>
          <w:rFonts w:ascii="宋体" w:hAnsi="宋体" w:cs="宋体"/>
          <w:sz w:val="24"/>
          <w:szCs w:val="24"/>
        </w:rPr>
        <w:t xml:space="preserve">             </w:t>
      </w:r>
      <w:r>
        <w:rPr>
          <w:rFonts w:hint="eastAsia" w:ascii="宋体" w:cs="宋体"/>
          <w:position w:val="-24"/>
          <w:sz w:val="24"/>
          <w:szCs w:val="24"/>
        </w:rPr>
        <w:pict>
          <v:shape id="_x0000_i1027" o:spt="75" type="#_x0000_t75" style="height:34.5pt;width:75.75pt;" filled="f" o:preferrelative="t" stroked="f" coordsize="21600,21600">
            <v:path/>
            <v:fill on="f" focussize="0,0"/>
            <v:stroke on="f" joinstyle="miter"/>
            <v:imagedata r:id="rId12" o:title=""/>
            <o:lock v:ext="edit" aspectratio="t"/>
            <w10:wrap type="none"/>
            <w10:anchorlock/>
          </v:shape>
        </w:pict>
      </w:r>
      <w:r>
        <w:rPr>
          <w:rFonts w:ascii="宋体" w:hAnsi="宋体" w:cs="宋体"/>
          <w:position w:val="-24"/>
        </w:rPr>
        <w:t xml:space="preserve">       </w:t>
      </w:r>
    </w:p>
    <w:p>
      <w:pPr>
        <w:snapToGrid w:val="0"/>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式中：</w:t>
      </w:r>
      <w:r>
        <w:rPr>
          <w:rFonts w:ascii="宋体" w:hAnsi="宋体" w:cs="宋体"/>
          <w:color w:val="000000"/>
          <w:sz w:val="24"/>
          <w:szCs w:val="24"/>
        </w:rPr>
        <w:t>T——</w:t>
      </w:r>
      <w:r>
        <w:rPr>
          <w:rFonts w:hint="eastAsia" w:ascii="宋体" w:hAnsi="宋体" w:cs="宋体"/>
          <w:color w:val="000000"/>
          <w:sz w:val="24"/>
          <w:szCs w:val="24"/>
        </w:rPr>
        <w:t>矿山服务年限；</w:t>
      </w:r>
    </w:p>
    <w:p>
      <w:pPr>
        <w:snapToGrid w:val="0"/>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 xml:space="preserve">      Q——</w:t>
      </w:r>
      <w:r>
        <w:rPr>
          <w:rFonts w:hint="eastAsia" w:ascii="宋体" w:hAnsi="宋体" w:cs="宋体"/>
          <w:color w:val="000000"/>
          <w:sz w:val="24"/>
          <w:szCs w:val="24"/>
        </w:rPr>
        <w:t>可采储量，</w:t>
      </w:r>
      <w:r>
        <w:rPr>
          <w:rFonts w:ascii="宋体" w:hAnsi="宋体" w:cs="宋体"/>
          <w:color w:val="000000"/>
          <w:sz w:val="24"/>
          <w:szCs w:val="24"/>
        </w:rPr>
        <w:t>121.20</w:t>
      </w:r>
      <w:r>
        <w:rPr>
          <w:rFonts w:hint="eastAsia" w:ascii="宋体" w:hAnsi="宋体" w:cs="宋体"/>
          <w:color w:val="000000"/>
          <w:sz w:val="24"/>
          <w:szCs w:val="24"/>
        </w:rPr>
        <w:t>万立方米；</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 xml:space="preserve">      A——</w:t>
      </w:r>
      <w:r>
        <w:rPr>
          <w:rFonts w:hint="eastAsia" w:ascii="宋体" w:hAnsi="宋体" w:cs="宋体"/>
          <w:color w:val="000000"/>
          <w:sz w:val="24"/>
          <w:szCs w:val="24"/>
        </w:rPr>
        <w:t>矿山生产能力，</w:t>
      </w:r>
      <w:r>
        <w:rPr>
          <w:rFonts w:ascii="宋体" w:hAnsi="宋体" w:cs="宋体"/>
          <w:color w:val="000000"/>
          <w:sz w:val="24"/>
          <w:szCs w:val="24"/>
        </w:rPr>
        <w:t>10</w:t>
      </w:r>
      <w:r>
        <w:rPr>
          <w:rFonts w:ascii="宋体" w:cs="宋体"/>
          <w:color w:val="000000"/>
          <w:sz w:val="24"/>
          <w:szCs w:val="24"/>
        </w:rPr>
        <w:t>.00</w:t>
      </w:r>
      <w:r>
        <w:rPr>
          <w:rFonts w:hint="eastAsia" w:ascii="宋体" w:hAnsi="宋体" w:cs="宋体"/>
          <w:color w:val="000000"/>
          <w:sz w:val="24"/>
          <w:szCs w:val="24"/>
        </w:rPr>
        <w:t>万立方米</w:t>
      </w:r>
      <w:r>
        <w:rPr>
          <w:rFonts w:ascii="宋体" w:hAnsi="宋体" w:cs="宋体"/>
          <w:color w:val="000000"/>
          <w:sz w:val="24"/>
          <w:szCs w:val="24"/>
        </w:rPr>
        <w:t>/</w:t>
      </w:r>
      <w:r>
        <w:rPr>
          <w:rFonts w:hint="eastAsia" w:ascii="宋体" w:hAnsi="宋体" w:cs="宋体"/>
          <w:color w:val="000000"/>
          <w:sz w:val="24"/>
          <w:szCs w:val="24"/>
        </w:rPr>
        <w:t>年。</w:t>
      </w:r>
    </w:p>
    <w:p>
      <w:pPr>
        <w:spacing w:line="360" w:lineRule="auto"/>
        <w:ind w:left="420" w:leftChars="200" w:firstLine="1200" w:firstLineChars="500"/>
        <w:rPr>
          <w:rFonts w:ascii="宋体" w:cs="Times New Roman"/>
          <w:color w:val="000000"/>
          <w:sz w:val="24"/>
          <w:szCs w:val="24"/>
        </w:rPr>
      </w:pPr>
      <w:r>
        <w:rPr>
          <w:rFonts w:hint="eastAsia" w:ascii="宋体" w:hAnsi="宋体" w:cs="宋体"/>
          <w:color w:val="000000"/>
          <w:sz w:val="24"/>
          <w:szCs w:val="24"/>
        </w:rPr>
        <w:t>ρ</w:t>
      </w:r>
      <w:r>
        <w:rPr>
          <w:rFonts w:ascii="宋体" w:hAnsi="宋体" w:cs="宋体"/>
          <w:color w:val="000000"/>
          <w:sz w:val="24"/>
          <w:szCs w:val="24"/>
        </w:rPr>
        <w:t>——</w:t>
      </w:r>
      <w:r>
        <w:rPr>
          <w:rFonts w:hint="eastAsia" w:ascii="宋体" w:hAnsi="宋体" w:cs="宋体"/>
          <w:color w:val="000000"/>
          <w:sz w:val="24"/>
          <w:szCs w:val="24"/>
        </w:rPr>
        <w:t>废石混入率，</w:t>
      </w:r>
      <w:r>
        <w:rPr>
          <w:rFonts w:ascii="宋体" w:hAnsi="宋体" w:cs="宋体"/>
          <w:color w:val="000000"/>
          <w:sz w:val="24"/>
          <w:szCs w:val="24"/>
        </w:rPr>
        <w:t>0.5%</w:t>
      </w:r>
      <w:r>
        <w:rPr>
          <w:rFonts w:hint="eastAsia" w:ascii="宋体" w:hAnsi="宋体" w:cs="宋体"/>
          <w:color w:val="000000"/>
          <w:sz w:val="24"/>
          <w:szCs w:val="24"/>
        </w:rPr>
        <w:t>。</w:t>
      </w:r>
    </w:p>
    <w:p>
      <w:pPr>
        <w:spacing w:line="360" w:lineRule="auto"/>
        <w:ind w:firstLine="1680" w:firstLineChars="700"/>
        <w:rPr>
          <w:rFonts w:ascii="宋体" w:cs="Times New Roman"/>
          <w:color w:val="000000"/>
          <w:sz w:val="24"/>
          <w:szCs w:val="24"/>
        </w:rPr>
      </w:pPr>
      <w:r>
        <w:rPr>
          <w:rFonts w:ascii="宋体" w:hAnsi="宋体" w:cs="宋体"/>
          <w:color w:val="000000"/>
          <w:sz w:val="24"/>
          <w:szCs w:val="24"/>
        </w:rPr>
        <w:t>T</w:t>
      </w:r>
      <w:r>
        <w:rPr>
          <w:rFonts w:hint="eastAsia" w:ascii="宋体" w:hAnsi="宋体" w:cs="宋体"/>
          <w:color w:val="000000"/>
          <w:sz w:val="24"/>
          <w:szCs w:val="24"/>
        </w:rPr>
        <w:t>＝</w:t>
      </w:r>
      <w:r>
        <w:rPr>
          <w:rFonts w:ascii="宋体" w:hAnsi="宋体" w:cs="宋体"/>
          <w:color w:val="000000"/>
          <w:sz w:val="24"/>
          <w:szCs w:val="24"/>
        </w:rPr>
        <w:t>121.20</w:t>
      </w:r>
      <w:r>
        <w:rPr>
          <w:rFonts w:hint="eastAsia" w:ascii="宋体" w:hAnsi="宋体" w:cs="宋体"/>
          <w:color w:val="000000"/>
          <w:sz w:val="24"/>
          <w:szCs w:val="24"/>
        </w:rPr>
        <w:t>÷</w:t>
      </w:r>
      <w:r>
        <w:rPr>
          <w:rFonts w:ascii="宋体" w:hAnsi="宋体" w:cs="宋体"/>
          <w:color w:val="000000"/>
          <w:sz w:val="24"/>
          <w:szCs w:val="24"/>
        </w:rPr>
        <w:t>10.00</w:t>
      </w: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0.5%</w:t>
      </w:r>
      <w:r>
        <w:rPr>
          <w:rFonts w:hint="eastAsia" w:ascii="宋体" w:hAnsi="宋体" w:cs="宋体"/>
          <w:color w:val="000000"/>
          <w:sz w:val="24"/>
          <w:szCs w:val="24"/>
        </w:rPr>
        <w:t>）</w:t>
      </w:r>
    </w:p>
    <w:p>
      <w:pPr>
        <w:spacing w:line="360" w:lineRule="auto"/>
        <w:ind w:firstLine="1800" w:firstLineChars="75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12.18</w:t>
      </w:r>
      <w:r>
        <w:rPr>
          <w:rFonts w:hint="eastAsia" w:ascii="宋体" w:hAnsi="宋体" w:cs="宋体"/>
          <w:color w:val="000000"/>
          <w:sz w:val="24"/>
          <w:szCs w:val="24"/>
        </w:rPr>
        <w:t>年</w:t>
      </w:r>
    </w:p>
    <w:p>
      <w:pPr>
        <w:spacing w:line="360" w:lineRule="auto"/>
        <w:ind w:left="420" w:leftChars="200" w:firstLine="480" w:firstLineChars="200"/>
        <w:rPr>
          <w:rFonts w:ascii="宋体" w:cs="Times New Roman"/>
          <w:color w:val="000000"/>
          <w:sz w:val="24"/>
          <w:szCs w:val="24"/>
        </w:rPr>
      </w:pPr>
      <w:bookmarkStart w:id="123" w:name="_Toc369339418"/>
      <w:r>
        <w:rPr>
          <w:rFonts w:hint="eastAsia" w:ascii="宋体" w:hAnsi="宋体" w:cs="宋体"/>
          <w:color w:val="000000"/>
          <w:sz w:val="24"/>
          <w:szCs w:val="24"/>
        </w:rPr>
        <w:t>根据上述公式计算结果，本次评估矿山生产服务年限为</w:t>
      </w:r>
      <w:r>
        <w:rPr>
          <w:rFonts w:ascii="宋体" w:hAnsi="宋体" w:cs="宋体"/>
          <w:color w:val="000000"/>
          <w:sz w:val="24"/>
          <w:szCs w:val="24"/>
        </w:rPr>
        <w:t>12.18</w:t>
      </w:r>
      <w:r>
        <w:rPr>
          <w:rFonts w:hint="eastAsia" w:ascii="宋体" w:hAnsi="宋体" w:cs="宋体"/>
          <w:color w:val="000000"/>
          <w:sz w:val="24"/>
          <w:szCs w:val="24"/>
        </w:rPr>
        <w:t>年。</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根据《开发利用方案》，矿山需要半年建设期才能正常生产。</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故本次评估确定矿山服务年限为</w:t>
      </w:r>
      <w:r>
        <w:rPr>
          <w:rFonts w:ascii="宋体" w:hAnsi="宋体" w:cs="宋体"/>
          <w:color w:val="000000"/>
          <w:sz w:val="24"/>
          <w:szCs w:val="24"/>
        </w:rPr>
        <w:t>12.18</w:t>
      </w:r>
      <w:r>
        <w:rPr>
          <w:rFonts w:hint="eastAsia" w:ascii="宋体" w:hAnsi="宋体" w:cs="宋体"/>
          <w:color w:val="000000"/>
          <w:sz w:val="24"/>
          <w:szCs w:val="24"/>
        </w:rPr>
        <w:t>年，评估计算年限为</w:t>
      </w:r>
      <w:r>
        <w:rPr>
          <w:rFonts w:ascii="宋体" w:hAnsi="宋体" w:cs="宋体"/>
          <w:color w:val="000000"/>
          <w:sz w:val="24"/>
          <w:szCs w:val="24"/>
        </w:rPr>
        <w:t>12.68</w:t>
      </w:r>
      <w:r>
        <w:rPr>
          <w:rFonts w:hint="eastAsia" w:ascii="宋体" w:hAnsi="宋体" w:cs="宋体"/>
          <w:color w:val="000000"/>
          <w:sz w:val="24"/>
          <w:szCs w:val="24"/>
        </w:rPr>
        <w:t>年（含建设期</w:t>
      </w:r>
      <w:r>
        <w:rPr>
          <w:rFonts w:ascii="宋体" w:hAnsi="宋体" w:cs="宋体"/>
          <w:color w:val="000000"/>
          <w:sz w:val="24"/>
          <w:szCs w:val="24"/>
        </w:rPr>
        <w:t>0.5</w:t>
      </w:r>
      <w:r>
        <w:rPr>
          <w:rFonts w:hint="eastAsia" w:ascii="宋体" w:hAnsi="宋体" w:cs="宋体"/>
          <w:color w:val="000000"/>
          <w:sz w:val="24"/>
          <w:szCs w:val="24"/>
        </w:rPr>
        <w:t>年），评估计算期自</w:t>
      </w:r>
      <w:r>
        <w:rPr>
          <w:rFonts w:ascii="宋体" w:hAnsi="宋体" w:cs="宋体"/>
          <w:color w:val="000000"/>
          <w:sz w:val="24"/>
          <w:szCs w:val="24"/>
        </w:rPr>
        <w:t>2018</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月至</w:t>
      </w:r>
      <w:r>
        <w:rPr>
          <w:rFonts w:ascii="宋体" w:hAnsi="宋体" w:cs="宋体"/>
          <w:color w:val="000000"/>
          <w:sz w:val="24"/>
          <w:szCs w:val="24"/>
        </w:rPr>
        <w:t>2031</w:t>
      </w:r>
      <w:r>
        <w:rPr>
          <w:rFonts w:hint="eastAsia" w:ascii="宋体" w:hAnsi="宋体" w:cs="宋体"/>
          <w:color w:val="000000"/>
          <w:sz w:val="24"/>
          <w:szCs w:val="24"/>
        </w:rPr>
        <w:t>年</w:t>
      </w:r>
      <w:r>
        <w:rPr>
          <w:rFonts w:ascii="宋体" w:hAnsi="宋体" w:cs="宋体"/>
          <w:color w:val="000000"/>
          <w:sz w:val="24"/>
          <w:szCs w:val="24"/>
        </w:rPr>
        <w:t>4</w:t>
      </w:r>
      <w:r>
        <w:rPr>
          <w:rFonts w:hint="eastAsia" w:ascii="宋体" w:hAnsi="宋体" w:cs="宋体"/>
          <w:color w:val="000000"/>
          <w:sz w:val="24"/>
          <w:szCs w:val="24"/>
        </w:rPr>
        <w:t>月。</w:t>
      </w:r>
    </w:p>
    <w:p>
      <w:pPr>
        <w:pStyle w:val="5"/>
        <w:spacing w:before="0" w:after="0" w:line="360" w:lineRule="auto"/>
        <w:ind w:left="420" w:leftChars="200" w:firstLine="482" w:firstLineChars="200"/>
        <w:rPr>
          <w:rFonts w:ascii="宋体" w:hAnsi="宋体" w:eastAsia="宋体" w:cs="Times New Roman"/>
        </w:rPr>
      </w:pPr>
      <w:r>
        <w:rPr>
          <w:rFonts w:hint="eastAsia" w:ascii="宋体" w:hAnsi="宋体" w:eastAsia="宋体" w:cs="宋体"/>
        </w:rPr>
        <w:t>（二）评估主要经济参数的选取和计算</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、产品价格及销售收入</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）销售价格的确定</w:t>
      </w:r>
      <w:r>
        <w:rPr>
          <w:rFonts w:ascii="宋体" w:hAnsi="宋体" w:cs="宋体"/>
          <w:sz w:val="24"/>
          <w:szCs w:val="24"/>
        </w:rPr>
        <w:t xml:space="preserve"> </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根据《矿业权评估参数确定指导意见（</w:t>
      </w:r>
      <w:r>
        <w:rPr>
          <w:rFonts w:ascii="宋体" w:hAnsi="宋体" w:cs="宋体"/>
          <w:sz w:val="24"/>
          <w:szCs w:val="24"/>
        </w:rPr>
        <w:t>CMVS 30800-2008</w:t>
      </w:r>
      <w:r>
        <w:rPr>
          <w:rFonts w:hint="eastAsia" w:ascii="宋体" w:hAnsi="宋体" w:cs="宋体"/>
          <w:sz w:val="24"/>
          <w:szCs w:val="24"/>
        </w:rPr>
        <w:t>）》，矿产品价格应遵循以下原则：</w:t>
      </w:r>
    </w:p>
    <w:p>
      <w:pPr>
        <w:spacing w:line="360" w:lineRule="auto"/>
        <w:ind w:left="420" w:leftChars="200"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）确定的矿产品计价标准与矿业权评估确定的产品方案一致。确定产品方案应考虑国家（和市场通用）产品标准，或能够通过国家产品标准（和市场通用）换算成符合产品方案的计价标准；</w:t>
      </w:r>
    </w:p>
    <w:p>
      <w:pPr>
        <w:spacing w:line="360" w:lineRule="auto"/>
        <w:ind w:left="420" w:leftChars="200"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）确定的矿产品市场价格一般应是实际的，或潜在的销售市场范围市场价格。市场范围包括地域范围和客户范围；</w:t>
      </w:r>
    </w:p>
    <w:p>
      <w:pPr>
        <w:spacing w:line="360" w:lineRule="auto"/>
        <w:ind w:left="420" w:leftChars="200"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）不论采用何种方式确定的矿产品市场价格，其结果均视为对未来矿产品市场价格的判断结果；</w:t>
      </w:r>
    </w:p>
    <w:p>
      <w:pPr>
        <w:spacing w:line="360" w:lineRule="auto"/>
        <w:ind w:left="420" w:leftChars="200"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）矿产品市场价格的确定，应有充分的历史价格信息资料，并分析未来变动趋势，确定与产品方案口径相一致的、评估计算的服务年限内的矿产品市场价格。</w:t>
      </w:r>
    </w:p>
    <w:p>
      <w:pPr>
        <w:spacing w:line="360" w:lineRule="auto"/>
        <w:ind w:left="420" w:leftChars="200" w:firstLine="480" w:firstLineChars="200"/>
        <w:rPr>
          <w:rFonts w:ascii="宋体" w:cs="Times New Roman"/>
          <w:color w:val="000000"/>
          <w:sz w:val="24"/>
          <w:szCs w:val="24"/>
          <w:highlight w:val="yellow"/>
        </w:rPr>
      </w:pPr>
      <w:r>
        <w:rPr>
          <w:rFonts w:hint="eastAsia" w:ascii="宋体" w:hAnsi="宋体" w:cs="宋体"/>
          <w:color w:val="000000"/>
          <w:sz w:val="24"/>
          <w:szCs w:val="24"/>
        </w:rPr>
        <w:t>根据《开发利用方案》，产品主要销往湛江市及周边地区。随着经济的发展，建筑石料的市场价格将稳步上升。加上近年来，国家重视生态和环保，关闭了一些设备落后的小石场，将会刺激石料市场价的攀升。根据这种趋势，预测未来几年省内建筑石料的市场用量及价格将维持稳中有升态势。结合湛江地区建筑石料市场价格情况，《开发利用方案》规格碎石产品按不含税销售价格</w:t>
      </w:r>
      <w:r>
        <w:rPr>
          <w:rFonts w:ascii="宋体" w:hAnsi="宋体" w:cs="宋体"/>
          <w:color w:val="000000"/>
          <w:sz w:val="24"/>
          <w:szCs w:val="24"/>
        </w:rPr>
        <w:t>65</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立方米、石粉不含税销售价格</w:t>
      </w:r>
      <w:r>
        <w:rPr>
          <w:rFonts w:ascii="宋体" w:hAnsi="宋体" w:cs="宋体"/>
          <w:color w:val="000000"/>
          <w:sz w:val="24"/>
          <w:szCs w:val="24"/>
        </w:rPr>
        <w:t>8</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立方米进行经济核算。</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根据当地经济销售情况及调查当地石场的销售价格，当地近三年来同类矿产品不含税价格基本为：规格碎石</w:t>
      </w:r>
      <w:r>
        <w:rPr>
          <w:rFonts w:ascii="宋体" w:hAnsi="宋体" w:cs="宋体"/>
          <w:color w:val="000000"/>
          <w:sz w:val="24"/>
          <w:szCs w:val="24"/>
        </w:rPr>
        <w:t>60</w:t>
      </w:r>
      <w:r>
        <w:rPr>
          <w:rFonts w:hint="eastAsia" w:ascii="宋体" w:hAnsi="宋体" w:cs="宋体"/>
          <w:color w:val="000000"/>
          <w:sz w:val="24"/>
          <w:szCs w:val="24"/>
        </w:rPr>
        <w:t>～</w:t>
      </w:r>
      <w:r>
        <w:rPr>
          <w:rFonts w:ascii="宋体" w:hAnsi="宋体" w:cs="宋体"/>
          <w:color w:val="000000"/>
          <w:sz w:val="24"/>
          <w:szCs w:val="24"/>
        </w:rPr>
        <w:t>64</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立方米、石粉价格在</w:t>
      </w:r>
      <w:r>
        <w:rPr>
          <w:rFonts w:ascii="宋体" w:hAnsi="宋体" w:cs="宋体"/>
          <w:color w:val="000000"/>
          <w:sz w:val="24"/>
          <w:szCs w:val="24"/>
        </w:rPr>
        <w:t>6</w:t>
      </w:r>
      <w:r>
        <w:rPr>
          <w:rFonts w:hint="eastAsia" w:ascii="宋体" w:hAnsi="宋体" w:cs="宋体"/>
          <w:color w:val="000000"/>
          <w:sz w:val="24"/>
          <w:szCs w:val="24"/>
        </w:rPr>
        <w:t>～</w:t>
      </w:r>
      <w:r>
        <w:rPr>
          <w:rFonts w:ascii="宋体" w:hAnsi="宋体" w:cs="宋体"/>
          <w:color w:val="000000"/>
          <w:sz w:val="24"/>
          <w:szCs w:val="24"/>
        </w:rPr>
        <w:t>10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立方米，本次评估参照当地近三年同类矿产品的平均市场行情并综合考虑矿石质量及销售的实际情况，确定建筑用玄武岩矿碎石不含税销售价格为</w:t>
      </w:r>
      <w:r>
        <w:rPr>
          <w:rFonts w:ascii="宋体" w:hAnsi="宋体" w:cs="宋体"/>
          <w:color w:val="000000"/>
          <w:sz w:val="24"/>
          <w:szCs w:val="24"/>
        </w:rPr>
        <w:t>62</w:t>
      </w:r>
      <w:r>
        <w:rPr>
          <w:rFonts w:ascii="宋体" w:cs="宋体"/>
          <w:color w:val="000000"/>
          <w:sz w:val="24"/>
          <w:szCs w:val="24"/>
        </w:rPr>
        <w:t>.00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立方米，石粉不含税销售价格为</w:t>
      </w:r>
      <w:r>
        <w:rPr>
          <w:rFonts w:ascii="宋体" w:hAnsi="宋体" w:cs="宋体"/>
          <w:color w:val="000000"/>
          <w:sz w:val="24"/>
          <w:szCs w:val="24"/>
        </w:rPr>
        <w:t>8</w:t>
      </w:r>
      <w:r>
        <w:rPr>
          <w:rFonts w:ascii="宋体" w:cs="宋体"/>
          <w:color w:val="000000"/>
          <w:sz w:val="24"/>
          <w:szCs w:val="24"/>
        </w:rPr>
        <w:t>.00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w:t>
      </w:r>
    </w:p>
    <w:p>
      <w:pPr>
        <w:spacing w:line="360" w:lineRule="auto"/>
        <w:ind w:left="420" w:leftChars="200" w:firstLine="480" w:firstLineChars="200"/>
        <w:rPr>
          <w:rFonts w:ascii="宋体" w:cs="Times New Roman"/>
          <w:color w:val="000000"/>
          <w:sz w:val="24"/>
          <w:szCs w:val="24"/>
          <w:highlight w:val="yellow"/>
        </w:rPr>
      </w:pPr>
      <w:r>
        <w:rPr>
          <w:rFonts w:hint="eastAsia" w:ascii="宋体" w:hAnsi="宋体" w:cs="宋体"/>
          <w:color w:val="000000"/>
          <w:sz w:val="24"/>
          <w:szCs w:val="24"/>
        </w:rPr>
        <w:t>因此，本次评估确定碎石不含税销售价格</w:t>
      </w:r>
      <w:r>
        <w:rPr>
          <w:rFonts w:ascii="宋体" w:hAnsi="宋体" w:cs="宋体"/>
          <w:color w:val="000000"/>
          <w:sz w:val="24"/>
          <w:szCs w:val="24"/>
        </w:rPr>
        <w:t>62</w:t>
      </w:r>
      <w:r>
        <w:rPr>
          <w:rFonts w:ascii="宋体" w:cs="宋体"/>
          <w:color w:val="000000"/>
          <w:sz w:val="24"/>
          <w:szCs w:val="24"/>
        </w:rPr>
        <w:t>.00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立方米，石粉不含税销售价格</w:t>
      </w:r>
      <w:r>
        <w:rPr>
          <w:rFonts w:ascii="宋体" w:hAnsi="宋体" w:cs="宋体"/>
          <w:color w:val="000000"/>
          <w:sz w:val="24"/>
          <w:szCs w:val="24"/>
        </w:rPr>
        <w:t>8</w:t>
      </w:r>
      <w:r>
        <w:rPr>
          <w:rFonts w:ascii="宋体" w:cs="宋体"/>
          <w:color w:val="000000"/>
          <w:sz w:val="24"/>
          <w:szCs w:val="24"/>
        </w:rPr>
        <w:t>.00</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立方米。</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）产品产量（销售量）</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矿业权评估中，一般假设矿山企业当年生产的产品当年能够全部售出并收回货款，即年产品销售量等于年产品生产量的产销均衡原则。</w:t>
      </w:r>
    </w:p>
    <w:p>
      <w:pPr>
        <w:spacing w:line="360" w:lineRule="auto"/>
        <w:ind w:left="420" w:leftChars="200" w:firstLine="480" w:firstLineChars="200"/>
        <w:rPr>
          <w:rFonts w:ascii="宋体" w:cs="Times New Roman"/>
          <w:sz w:val="24"/>
          <w:szCs w:val="24"/>
        </w:rPr>
      </w:pPr>
      <w:r>
        <w:rPr>
          <w:rFonts w:hint="eastAsia" w:ascii="宋体" w:hAnsi="宋体" w:cs="宋体"/>
          <w:sz w:val="24"/>
          <w:szCs w:val="24"/>
        </w:rPr>
        <w:t>根据《开发利用方案》，矿山生产能力：碎石</w:t>
      </w:r>
      <w:r>
        <w:rPr>
          <w:rFonts w:ascii="宋体" w:hAnsi="宋体" w:cs="宋体"/>
          <w:sz w:val="24"/>
          <w:szCs w:val="24"/>
        </w:rPr>
        <w:t>14.87</w:t>
      </w:r>
      <w:r>
        <w:rPr>
          <w:rFonts w:hint="eastAsia" w:ascii="宋体" w:hAnsi="宋体" w:cs="宋体"/>
          <w:sz w:val="24"/>
          <w:szCs w:val="24"/>
        </w:rPr>
        <w:t>万立方米</w:t>
      </w:r>
      <w:r>
        <w:rPr>
          <w:rFonts w:ascii="宋体" w:hAnsi="宋体" w:cs="宋体"/>
          <w:sz w:val="24"/>
          <w:szCs w:val="24"/>
        </w:rPr>
        <w:t>/</w:t>
      </w:r>
      <w:r>
        <w:rPr>
          <w:rFonts w:hint="eastAsia" w:ascii="宋体" w:hAnsi="宋体" w:cs="宋体"/>
          <w:sz w:val="24"/>
          <w:szCs w:val="24"/>
        </w:rPr>
        <w:t>年、石粉</w:t>
      </w:r>
      <w:r>
        <w:rPr>
          <w:rFonts w:ascii="宋体" w:hAnsi="宋体" w:cs="宋体"/>
          <w:sz w:val="24"/>
          <w:szCs w:val="24"/>
        </w:rPr>
        <w:t>4.95</w:t>
      </w:r>
      <w:r>
        <w:rPr>
          <w:rFonts w:hint="eastAsia" w:ascii="宋体" w:hAnsi="宋体" w:cs="宋体"/>
          <w:sz w:val="24"/>
          <w:szCs w:val="24"/>
        </w:rPr>
        <w:t>万立方米</w:t>
      </w:r>
      <w:r>
        <w:rPr>
          <w:rFonts w:ascii="宋体" w:hAnsi="宋体" w:cs="宋体"/>
          <w:sz w:val="24"/>
          <w:szCs w:val="24"/>
        </w:rPr>
        <w:t>/</w:t>
      </w:r>
      <w:r>
        <w:rPr>
          <w:rFonts w:hint="eastAsia" w:ascii="宋体" w:hAnsi="宋体" w:cs="宋体"/>
          <w:sz w:val="24"/>
          <w:szCs w:val="24"/>
        </w:rPr>
        <w:t>年，则年销售量：碎石</w:t>
      </w:r>
      <w:r>
        <w:rPr>
          <w:rFonts w:ascii="宋体" w:hAnsi="宋体" w:cs="宋体"/>
          <w:sz w:val="24"/>
          <w:szCs w:val="24"/>
        </w:rPr>
        <w:t>14.87</w:t>
      </w:r>
      <w:r>
        <w:rPr>
          <w:rFonts w:hint="eastAsia" w:ascii="宋体" w:hAnsi="宋体" w:cs="宋体"/>
          <w:sz w:val="24"/>
          <w:szCs w:val="24"/>
        </w:rPr>
        <w:t>万立方米、石粉</w:t>
      </w:r>
      <w:r>
        <w:rPr>
          <w:rFonts w:ascii="宋体" w:hAnsi="宋体" w:cs="宋体"/>
          <w:sz w:val="24"/>
          <w:szCs w:val="24"/>
        </w:rPr>
        <w:t>4.95</w:t>
      </w:r>
      <w:r>
        <w:rPr>
          <w:rFonts w:hint="eastAsia" w:ascii="宋体" w:hAnsi="宋体" w:cs="宋体"/>
          <w:sz w:val="24"/>
          <w:szCs w:val="24"/>
        </w:rPr>
        <w:t>万立方米。</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）销售收入计算</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根据上述确定的产品销售价格、销售量参数和计算公式，计算评估对象年销售收入：</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正常生产年份年销售收入＝∑（年产品产量×销售价格）</w:t>
      </w:r>
    </w:p>
    <w:p>
      <w:pPr>
        <w:spacing w:line="360" w:lineRule="auto"/>
        <w:ind w:left="420" w:leftChars="200" w:firstLine="480" w:firstLineChars="200"/>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14.87</w:t>
      </w:r>
      <w:r>
        <w:rPr>
          <w:rFonts w:hint="eastAsia" w:ascii="宋体" w:hAnsi="宋体" w:cs="宋体"/>
          <w:color w:val="000000"/>
          <w:sz w:val="24"/>
          <w:szCs w:val="24"/>
        </w:rPr>
        <w:t>×</w:t>
      </w:r>
      <w:r>
        <w:rPr>
          <w:rFonts w:ascii="宋体" w:hAnsi="宋体" w:cs="宋体"/>
          <w:color w:val="000000"/>
          <w:sz w:val="24"/>
          <w:szCs w:val="24"/>
        </w:rPr>
        <w:t>62</w:t>
      </w:r>
      <w:r>
        <w:rPr>
          <w:rFonts w:ascii="宋体" w:cs="宋体"/>
          <w:color w:val="000000"/>
          <w:sz w:val="24"/>
          <w:szCs w:val="24"/>
        </w:rPr>
        <w:t>.00</w:t>
      </w:r>
      <w:r>
        <w:rPr>
          <w:rFonts w:hint="eastAsia" w:ascii="宋体" w:hAnsi="宋体" w:cs="宋体"/>
          <w:color w:val="000000"/>
          <w:sz w:val="24"/>
          <w:szCs w:val="24"/>
        </w:rPr>
        <w:t>＋</w:t>
      </w:r>
      <w:r>
        <w:rPr>
          <w:rFonts w:ascii="宋体" w:hAnsi="宋体" w:cs="宋体"/>
          <w:color w:val="000000"/>
          <w:sz w:val="24"/>
          <w:szCs w:val="24"/>
        </w:rPr>
        <w:t>4.95</w:t>
      </w:r>
      <w:r>
        <w:rPr>
          <w:rFonts w:hint="eastAsia" w:ascii="宋体" w:hAnsi="宋体" w:cs="宋体"/>
          <w:color w:val="000000"/>
          <w:sz w:val="24"/>
          <w:szCs w:val="24"/>
        </w:rPr>
        <w:t>×</w:t>
      </w:r>
      <w:r>
        <w:rPr>
          <w:rFonts w:ascii="宋体" w:hAnsi="宋体" w:cs="宋体"/>
          <w:color w:val="000000"/>
          <w:sz w:val="24"/>
          <w:szCs w:val="24"/>
        </w:rPr>
        <w:t>8</w:t>
      </w:r>
      <w:r>
        <w:rPr>
          <w:rFonts w:ascii="宋体" w:cs="宋体"/>
          <w:color w:val="000000"/>
          <w:sz w:val="24"/>
          <w:szCs w:val="24"/>
        </w:rPr>
        <w:t>.00</w:t>
      </w:r>
    </w:p>
    <w:p>
      <w:pPr>
        <w:spacing w:line="360" w:lineRule="auto"/>
        <w:ind w:left="420" w:leftChars="200" w:firstLine="480" w:firstLineChars="200"/>
        <w:rPr>
          <w:rFonts w:ascii="宋体" w:cs="Times New Roman"/>
          <w:color w:val="000000"/>
          <w:sz w:val="24"/>
          <w:szCs w:val="24"/>
          <w:highlight w:val="yellow"/>
        </w:rPr>
      </w:pPr>
      <w:r>
        <w:rPr>
          <w:rFonts w:ascii="宋体" w:hAnsi="宋体" w:cs="宋体"/>
          <w:color w:val="000000"/>
          <w:sz w:val="24"/>
          <w:szCs w:val="24"/>
        </w:rPr>
        <w:t xml:space="preserve">                      </w:t>
      </w:r>
      <w:r>
        <w:rPr>
          <w:rFonts w:hint="eastAsia" w:ascii="宋体" w:hAnsi="宋体" w:cs="宋体"/>
          <w:color w:val="000000"/>
          <w:sz w:val="24"/>
          <w:szCs w:val="24"/>
        </w:rPr>
        <w:t>＝</w:t>
      </w:r>
      <w:r>
        <w:rPr>
          <w:rFonts w:ascii="宋体" w:hAnsi="宋体" w:cs="宋体"/>
          <w:color w:val="000000"/>
          <w:sz w:val="24"/>
          <w:szCs w:val="24"/>
        </w:rPr>
        <w:t>961.54</w:t>
      </w:r>
      <w:r>
        <w:rPr>
          <w:rFonts w:hint="eastAsia" w:ascii="宋体" w:hAnsi="宋体" w:cs="宋体"/>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、固定资产投资</w:t>
      </w:r>
    </w:p>
    <w:p>
      <w:pPr>
        <w:spacing w:line="360" w:lineRule="auto"/>
        <w:ind w:left="420" w:leftChars="200" w:firstLine="480" w:firstLineChars="200"/>
        <w:rPr>
          <w:rFonts w:ascii="宋体" w:cs="宋体"/>
          <w:sz w:val="24"/>
          <w:szCs w:val="24"/>
        </w:rPr>
      </w:pPr>
      <w:r>
        <w:rPr>
          <w:rFonts w:hint="eastAsia" w:ascii="宋体" w:hAnsi="宋体" w:cs="宋体"/>
          <w:sz w:val="24"/>
          <w:szCs w:val="24"/>
        </w:rPr>
        <w:t>根据《矿业权评估利用企业财务报告指导意见（</w:t>
      </w:r>
      <w:r>
        <w:rPr>
          <w:rFonts w:ascii="宋体" w:hAnsi="宋体" w:cs="宋体"/>
          <w:sz w:val="24"/>
          <w:szCs w:val="24"/>
        </w:rPr>
        <w:t>CMVS 30900-2010</w:t>
      </w:r>
      <w:r>
        <w:rPr>
          <w:rFonts w:hint="eastAsia" w:ascii="宋体" w:hAnsi="宋体" w:cs="宋体"/>
          <w:sz w:val="24"/>
          <w:szCs w:val="24"/>
        </w:rPr>
        <w:t>）》，依据矿产资源开发利用方案、（预）可行性研究报告或矿山设计等资料中设计的固定资产投资数据，确定评估用固定资产投资时，合理剔除预备费用、征地费用、基建期贷款利息等，作为评估用固定资产投资。</w:t>
      </w:r>
    </w:p>
    <w:p>
      <w:pPr>
        <w:spacing w:line="360" w:lineRule="auto"/>
        <w:ind w:left="420" w:leftChars="200" w:firstLine="480" w:firstLineChars="200"/>
        <w:rPr>
          <w:rFonts w:ascii="宋体" w:cs="宋体"/>
          <w:sz w:val="24"/>
          <w:szCs w:val="24"/>
        </w:rPr>
      </w:pPr>
      <w:r>
        <w:rPr>
          <w:rFonts w:hint="eastAsia" w:ascii="宋体" w:hAnsi="宋体" w:cs="宋体"/>
          <w:sz w:val="24"/>
          <w:szCs w:val="24"/>
        </w:rPr>
        <w:t>根据《开发利用方案》合理剔除预备费、采矿权价款等，共需投入固定资产</w:t>
      </w:r>
      <w:r>
        <w:rPr>
          <w:rFonts w:ascii="宋体" w:hAnsi="宋体" w:cs="宋体"/>
          <w:sz w:val="24"/>
          <w:szCs w:val="24"/>
        </w:rPr>
        <w:t>1,319.50</w:t>
      </w:r>
      <w:r>
        <w:rPr>
          <w:rFonts w:hint="eastAsia" w:ascii="宋体" w:hAnsi="宋体" w:cs="宋体"/>
          <w:sz w:val="24"/>
          <w:szCs w:val="24"/>
        </w:rPr>
        <w:t>万元（不含税），其中：剥离工程</w:t>
      </w:r>
      <w:r>
        <w:rPr>
          <w:rFonts w:ascii="宋体" w:hAnsi="宋体" w:cs="宋体"/>
          <w:sz w:val="24"/>
          <w:szCs w:val="24"/>
        </w:rPr>
        <w:t>47.50</w:t>
      </w:r>
      <w:r>
        <w:rPr>
          <w:rFonts w:hint="eastAsia" w:ascii="宋体" w:hAnsi="宋体" w:cs="宋体"/>
          <w:sz w:val="24"/>
          <w:szCs w:val="24"/>
        </w:rPr>
        <w:t>万元，房屋建筑物</w:t>
      </w:r>
      <w:r>
        <w:rPr>
          <w:rFonts w:ascii="宋体" w:hAnsi="宋体" w:cs="宋体"/>
          <w:sz w:val="24"/>
          <w:szCs w:val="24"/>
        </w:rPr>
        <w:t>240.00</w:t>
      </w:r>
      <w:r>
        <w:rPr>
          <w:rFonts w:hint="eastAsia" w:ascii="宋体" w:hAnsi="宋体" w:cs="宋体"/>
          <w:sz w:val="24"/>
          <w:szCs w:val="24"/>
        </w:rPr>
        <w:t>万元，机器设备</w:t>
      </w:r>
      <w:r>
        <w:rPr>
          <w:rFonts w:ascii="宋体" w:hAnsi="宋体" w:cs="宋体"/>
          <w:sz w:val="24"/>
          <w:szCs w:val="24"/>
        </w:rPr>
        <w:t>890.00</w:t>
      </w:r>
      <w:r>
        <w:rPr>
          <w:rFonts w:hint="eastAsia" w:ascii="宋体" w:hAnsi="宋体" w:cs="宋体"/>
          <w:sz w:val="24"/>
          <w:szCs w:val="24"/>
        </w:rPr>
        <w:t>万元，其他费用</w:t>
      </w:r>
      <w:r>
        <w:rPr>
          <w:rFonts w:ascii="宋体" w:hAnsi="宋体" w:cs="宋体"/>
          <w:sz w:val="24"/>
          <w:szCs w:val="24"/>
        </w:rPr>
        <w:t>142.00</w:t>
      </w:r>
      <w:r>
        <w:rPr>
          <w:rFonts w:hint="eastAsia" w:ascii="宋体" w:hAnsi="宋体" w:cs="宋体"/>
          <w:sz w:val="24"/>
          <w:szCs w:val="24"/>
        </w:rPr>
        <w:t>万元。将其他费用按比例分摊后共需投入固定资产</w:t>
      </w:r>
      <w:r>
        <w:rPr>
          <w:rFonts w:ascii="宋体" w:hAnsi="宋体" w:cs="宋体"/>
          <w:sz w:val="24"/>
          <w:szCs w:val="24"/>
        </w:rPr>
        <w:t>1,319.50</w:t>
      </w:r>
      <w:r>
        <w:rPr>
          <w:rFonts w:hint="eastAsia" w:ascii="宋体" w:hAnsi="宋体" w:cs="宋体"/>
          <w:sz w:val="24"/>
          <w:szCs w:val="24"/>
        </w:rPr>
        <w:t>万元（不含税），其中：剥离工程</w:t>
      </w:r>
      <w:r>
        <w:rPr>
          <w:rFonts w:ascii="宋体" w:hAnsi="宋体" w:cs="宋体"/>
          <w:sz w:val="24"/>
          <w:szCs w:val="24"/>
        </w:rPr>
        <w:t>53.23</w:t>
      </w:r>
      <w:r>
        <w:rPr>
          <w:rFonts w:hint="eastAsia" w:ascii="宋体" w:hAnsi="宋体" w:cs="宋体"/>
          <w:sz w:val="24"/>
          <w:szCs w:val="24"/>
        </w:rPr>
        <w:t>万元，房屋建筑物</w:t>
      </w:r>
      <w:r>
        <w:rPr>
          <w:rFonts w:ascii="宋体" w:hAnsi="宋体" w:cs="宋体"/>
          <w:sz w:val="24"/>
          <w:szCs w:val="24"/>
        </w:rPr>
        <w:t>268.94</w:t>
      </w:r>
      <w:r>
        <w:rPr>
          <w:rFonts w:hint="eastAsia" w:ascii="宋体" w:hAnsi="宋体" w:cs="宋体"/>
          <w:sz w:val="24"/>
          <w:szCs w:val="24"/>
        </w:rPr>
        <w:t>万元，机器设备</w:t>
      </w:r>
      <w:r>
        <w:rPr>
          <w:rFonts w:ascii="宋体" w:hAnsi="宋体" w:cs="宋体"/>
          <w:sz w:val="24"/>
          <w:szCs w:val="24"/>
        </w:rPr>
        <w:t>997.33</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hint="eastAsia" w:ascii="宋体" w:hAnsi="宋体" w:cs="宋体"/>
          <w:sz w:val="24"/>
          <w:szCs w:val="24"/>
        </w:rPr>
        <w:t>本次评估根据《开发利用方案》确定评估用固定资产投资，固定资产投资取值见下表</w:t>
      </w:r>
      <w:r>
        <w:rPr>
          <w:rFonts w:ascii="宋体" w:hAnsi="宋体" w:cs="宋体"/>
          <w:sz w:val="24"/>
          <w:szCs w:val="24"/>
        </w:rPr>
        <w:t>11-1</w:t>
      </w:r>
      <w:r>
        <w:rPr>
          <w:rFonts w:hint="eastAsia" w:ascii="宋体" w:hAnsi="宋体" w:cs="宋体"/>
          <w:sz w:val="24"/>
          <w:szCs w:val="24"/>
        </w:rPr>
        <w:t>：</w:t>
      </w:r>
    </w:p>
    <w:p>
      <w:pPr>
        <w:spacing w:afterLines="50" w:line="440" w:lineRule="exact"/>
        <w:ind w:left="420" w:leftChars="200" w:right="420" w:firstLine="420" w:firstLineChars="200"/>
        <w:jc w:val="right"/>
        <w:rPr>
          <w:rFonts w:ascii="宋体" w:cs="宋体"/>
        </w:rPr>
      </w:pPr>
      <w:r>
        <w:rPr>
          <w:rFonts w:hint="eastAsia" w:ascii="宋体" w:hAnsi="宋体" w:cs="宋体"/>
        </w:rPr>
        <w:t>表</w:t>
      </w:r>
      <w:r>
        <w:rPr>
          <w:rFonts w:ascii="宋体" w:hAnsi="宋体" w:cs="宋体"/>
        </w:rPr>
        <w:t xml:space="preserve">11-1 </w:t>
      </w:r>
      <w:r>
        <w:rPr>
          <w:rFonts w:hint="eastAsia" w:ascii="宋体" w:hAnsi="宋体" w:cs="宋体"/>
        </w:rPr>
        <w:t>固定资产投资表</w:t>
      </w:r>
      <w:r>
        <w:rPr>
          <w:rFonts w:ascii="宋体" w:hAnsi="宋体" w:cs="宋体"/>
        </w:rPr>
        <w:t xml:space="preserve">               </w:t>
      </w:r>
      <w:r>
        <w:rPr>
          <w:rFonts w:hint="eastAsia" w:ascii="宋体" w:hAnsi="宋体" w:cs="宋体"/>
        </w:rPr>
        <w:t>单位：万元</w:t>
      </w:r>
    </w:p>
    <w:tbl>
      <w:tblPr>
        <w:tblStyle w:val="3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2"/>
        <w:gridCol w:w="1580"/>
        <w:gridCol w:w="2057"/>
        <w:gridCol w:w="175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blHeader/>
          <w:jc w:val="center"/>
        </w:trPr>
        <w:tc>
          <w:tcPr>
            <w:tcW w:w="975" w:type="pct"/>
            <w:vAlign w:val="center"/>
          </w:tcPr>
          <w:p>
            <w:pPr>
              <w:widowControl/>
              <w:jc w:val="center"/>
              <w:rPr>
                <w:rFonts w:ascii="宋体" w:cs="宋体"/>
                <w:kern w:val="0"/>
              </w:rPr>
            </w:pPr>
            <w:r>
              <w:rPr>
                <w:rFonts w:hint="eastAsia" w:ascii="宋体" w:hAnsi="宋体" w:cs="宋体"/>
                <w:kern w:val="0"/>
              </w:rPr>
              <w:t>序号</w:t>
            </w:r>
          </w:p>
        </w:tc>
        <w:tc>
          <w:tcPr>
            <w:tcW w:w="927" w:type="pct"/>
            <w:vAlign w:val="center"/>
          </w:tcPr>
          <w:p>
            <w:pPr>
              <w:widowControl/>
              <w:jc w:val="center"/>
              <w:rPr>
                <w:rFonts w:ascii="宋体" w:cs="宋体"/>
                <w:kern w:val="0"/>
              </w:rPr>
            </w:pPr>
            <w:r>
              <w:rPr>
                <w:rFonts w:hint="eastAsia" w:ascii="宋体" w:hAnsi="宋体" w:cs="宋体"/>
                <w:kern w:val="0"/>
              </w:rPr>
              <w:t>固定资产分类</w:t>
            </w:r>
          </w:p>
        </w:tc>
        <w:tc>
          <w:tcPr>
            <w:tcW w:w="1207" w:type="pct"/>
            <w:vAlign w:val="center"/>
          </w:tcPr>
          <w:p>
            <w:pPr>
              <w:widowControl/>
              <w:jc w:val="center"/>
              <w:rPr>
                <w:rFonts w:ascii="宋体" w:cs="宋体"/>
                <w:kern w:val="0"/>
              </w:rPr>
            </w:pPr>
            <w:r>
              <w:rPr>
                <w:rFonts w:hint="eastAsia" w:ascii="宋体" w:hAnsi="宋体" w:cs="宋体"/>
                <w:kern w:val="0"/>
              </w:rPr>
              <w:t>根据《开发利用方案》（不含税）</w:t>
            </w:r>
          </w:p>
        </w:tc>
        <w:tc>
          <w:tcPr>
            <w:tcW w:w="1031" w:type="pct"/>
            <w:vAlign w:val="center"/>
          </w:tcPr>
          <w:p>
            <w:pPr>
              <w:widowControl/>
              <w:jc w:val="center"/>
              <w:rPr>
                <w:rFonts w:ascii="宋体" w:cs="宋体"/>
                <w:kern w:val="0"/>
              </w:rPr>
            </w:pPr>
            <w:r>
              <w:rPr>
                <w:rFonts w:hint="eastAsia" w:ascii="宋体" w:hAnsi="宋体" w:cs="宋体"/>
                <w:kern w:val="0"/>
              </w:rPr>
              <w:t>其他费用摊销后固定资产投资（不含税）</w:t>
            </w:r>
          </w:p>
        </w:tc>
        <w:tc>
          <w:tcPr>
            <w:tcW w:w="860" w:type="pct"/>
            <w:vAlign w:val="center"/>
          </w:tcPr>
          <w:p>
            <w:pPr>
              <w:widowControl/>
              <w:jc w:val="center"/>
              <w:rPr>
                <w:rFonts w:ascii="宋体" w:cs="宋体"/>
                <w:kern w:val="0"/>
              </w:rPr>
            </w:pPr>
            <w:r>
              <w:rPr>
                <w:rFonts w:hint="eastAsia" w:ascii="宋体" w:hAnsi="宋体" w:cs="宋体"/>
                <w:kern w:val="0"/>
              </w:rPr>
              <w:t>评估取值</w:t>
            </w:r>
          </w:p>
          <w:p>
            <w:pPr>
              <w:widowControl/>
              <w:jc w:val="center"/>
              <w:rPr>
                <w:rFonts w:ascii="宋体" w:cs="宋体"/>
                <w:kern w:val="0"/>
              </w:rPr>
            </w:pPr>
            <w:r>
              <w:rPr>
                <w:rFonts w:hint="eastAsia" w:ascii="宋体" w:hAnsi="宋体" w:cs="宋体"/>
                <w:kern w:val="0"/>
              </w:rPr>
              <w:t>（含税）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75" w:type="pct"/>
            <w:vAlign w:val="center"/>
          </w:tcPr>
          <w:p>
            <w:pPr>
              <w:widowControl/>
              <w:jc w:val="center"/>
              <w:rPr>
                <w:rFonts w:ascii="宋体" w:hAnsi="宋体" w:cs="宋体"/>
                <w:kern w:val="0"/>
              </w:rPr>
            </w:pPr>
            <w:r>
              <w:rPr>
                <w:rFonts w:ascii="宋体" w:hAnsi="宋体" w:cs="宋体"/>
                <w:kern w:val="0"/>
              </w:rPr>
              <w:t>1</w:t>
            </w:r>
          </w:p>
        </w:tc>
        <w:tc>
          <w:tcPr>
            <w:tcW w:w="927" w:type="pct"/>
            <w:vAlign w:val="center"/>
          </w:tcPr>
          <w:p>
            <w:pPr>
              <w:widowControl/>
              <w:jc w:val="center"/>
              <w:rPr>
                <w:rFonts w:ascii="宋体" w:cs="宋体"/>
                <w:kern w:val="0"/>
              </w:rPr>
            </w:pPr>
            <w:r>
              <w:rPr>
                <w:rFonts w:hint="eastAsia" w:ascii="宋体" w:hAnsi="宋体" w:cs="宋体"/>
                <w:kern w:val="0"/>
              </w:rPr>
              <w:t>剥离工程</w:t>
            </w:r>
          </w:p>
        </w:tc>
        <w:tc>
          <w:tcPr>
            <w:tcW w:w="1207" w:type="pct"/>
            <w:vAlign w:val="center"/>
          </w:tcPr>
          <w:p>
            <w:pPr>
              <w:widowControl/>
              <w:jc w:val="center"/>
              <w:rPr>
                <w:rFonts w:ascii="宋体" w:hAnsi="宋体" w:cs="宋体"/>
                <w:kern w:val="0"/>
              </w:rPr>
            </w:pPr>
            <w:r>
              <w:rPr>
                <w:rFonts w:ascii="宋体" w:hAnsi="宋体" w:cs="宋体"/>
                <w:kern w:val="0"/>
              </w:rPr>
              <w:t>47.50</w:t>
            </w:r>
          </w:p>
        </w:tc>
        <w:tc>
          <w:tcPr>
            <w:tcW w:w="1031" w:type="pct"/>
            <w:vAlign w:val="center"/>
          </w:tcPr>
          <w:p>
            <w:pPr>
              <w:widowControl/>
              <w:jc w:val="center"/>
              <w:rPr>
                <w:rFonts w:ascii="宋体" w:hAnsi="宋体" w:cs="宋体"/>
                <w:kern w:val="0"/>
              </w:rPr>
            </w:pPr>
            <w:r>
              <w:rPr>
                <w:rFonts w:ascii="宋体" w:hAnsi="宋体" w:cs="宋体"/>
                <w:kern w:val="0"/>
              </w:rPr>
              <w:t>53.23</w:t>
            </w:r>
          </w:p>
        </w:tc>
        <w:tc>
          <w:tcPr>
            <w:tcW w:w="860" w:type="pct"/>
            <w:vAlign w:val="center"/>
          </w:tcPr>
          <w:p>
            <w:pPr>
              <w:widowControl/>
              <w:jc w:val="center"/>
              <w:rPr>
                <w:rFonts w:ascii="宋体" w:hAnsi="宋体" w:cs="宋体"/>
                <w:kern w:val="0"/>
              </w:rPr>
            </w:pPr>
            <w:r>
              <w:rPr>
                <w:rFonts w:ascii="宋体" w:hAnsi="宋体" w:cs="宋体"/>
                <w:kern w:val="0"/>
              </w:rPr>
              <w:t>58.55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975" w:type="pct"/>
            <w:vAlign w:val="center"/>
          </w:tcPr>
          <w:p>
            <w:pPr>
              <w:widowControl/>
              <w:jc w:val="center"/>
              <w:rPr>
                <w:rFonts w:ascii="宋体" w:hAnsi="宋体" w:cs="宋体"/>
                <w:kern w:val="0"/>
              </w:rPr>
            </w:pPr>
            <w:r>
              <w:rPr>
                <w:rFonts w:ascii="宋体" w:hAnsi="宋体" w:cs="宋体"/>
                <w:kern w:val="0"/>
              </w:rPr>
              <w:t>2</w:t>
            </w:r>
          </w:p>
        </w:tc>
        <w:tc>
          <w:tcPr>
            <w:tcW w:w="927" w:type="pct"/>
            <w:vAlign w:val="center"/>
          </w:tcPr>
          <w:p>
            <w:pPr>
              <w:widowControl/>
              <w:jc w:val="center"/>
              <w:rPr>
                <w:rFonts w:ascii="宋体" w:cs="宋体"/>
                <w:kern w:val="0"/>
              </w:rPr>
            </w:pPr>
            <w:r>
              <w:rPr>
                <w:rFonts w:hint="eastAsia" w:ascii="宋体" w:hAnsi="宋体" w:cs="宋体"/>
                <w:kern w:val="0"/>
              </w:rPr>
              <w:t>房屋建筑物</w:t>
            </w:r>
          </w:p>
        </w:tc>
        <w:tc>
          <w:tcPr>
            <w:tcW w:w="1207" w:type="pct"/>
            <w:vAlign w:val="center"/>
          </w:tcPr>
          <w:p>
            <w:pPr>
              <w:widowControl/>
              <w:jc w:val="center"/>
              <w:rPr>
                <w:rFonts w:ascii="宋体" w:hAnsi="宋体" w:cs="宋体"/>
                <w:kern w:val="0"/>
              </w:rPr>
            </w:pPr>
            <w:r>
              <w:rPr>
                <w:rFonts w:ascii="宋体" w:hAnsi="宋体" w:cs="宋体"/>
                <w:kern w:val="0"/>
              </w:rPr>
              <w:t>240.00</w:t>
            </w:r>
          </w:p>
        </w:tc>
        <w:tc>
          <w:tcPr>
            <w:tcW w:w="1031" w:type="pct"/>
            <w:vAlign w:val="center"/>
          </w:tcPr>
          <w:p>
            <w:pPr>
              <w:widowControl/>
              <w:jc w:val="center"/>
              <w:rPr>
                <w:rFonts w:ascii="宋体" w:hAnsi="宋体" w:cs="宋体"/>
                <w:kern w:val="0"/>
              </w:rPr>
            </w:pPr>
            <w:r>
              <w:rPr>
                <w:rFonts w:ascii="宋体" w:hAnsi="宋体" w:cs="宋体"/>
                <w:kern w:val="0"/>
              </w:rPr>
              <w:t>268.94</w:t>
            </w:r>
          </w:p>
        </w:tc>
        <w:tc>
          <w:tcPr>
            <w:tcW w:w="860" w:type="pct"/>
            <w:vAlign w:val="center"/>
          </w:tcPr>
          <w:p>
            <w:pPr>
              <w:widowControl/>
              <w:jc w:val="center"/>
              <w:rPr>
                <w:rFonts w:ascii="宋体" w:hAnsi="宋体" w:cs="宋体"/>
                <w:kern w:val="0"/>
              </w:rPr>
            </w:pPr>
            <w:r>
              <w:rPr>
                <w:rFonts w:ascii="宋体" w:hAnsi="宋体" w:cs="宋体"/>
                <w:kern w:val="0"/>
              </w:rPr>
              <w:t>295.83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975" w:type="pct"/>
            <w:vAlign w:val="center"/>
          </w:tcPr>
          <w:p>
            <w:pPr>
              <w:widowControl/>
              <w:jc w:val="center"/>
              <w:rPr>
                <w:rFonts w:ascii="宋体" w:hAnsi="宋体" w:cs="宋体"/>
                <w:kern w:val="0"/>
              </w:rPr>
            </w:pPr>
            <w:r>
              <w:rPr>
                <w:rFonts w:ascii="宋体" w:hAnsi="宋体" w:cs="宋体"/>
                <w:kern w:val="0"/>
              </w:rPr>
              <w:t>3</w:t>
            </w:r>
          </w:p>
        </w:tc>
        <w:tc>
          <w:tcPr>
            <w:tcW w:w="927" w:type="pct"/>
            <w:vAlign w:val="center"/>
          </w:tcPr>
          <w:p>
            <w:pPr>
              <w:widowControl/>
              <w:jc w:val="center"/>
              <w:rPr>
                <w:rFonts w:ascii="宋体" w:cs="宋体"/>
                <w:kern w:val="0"/>
              </w:rPr>
            </w:pPr>
            <w:r>
              <w:rPr>
                <w:rFonts w:hint="eastAsia" w:ascii="宋体" w:hAnsi="宋体" w:cs="宋体"/>
                <w:kern w:val="0"/>
              </w:rPr>
              <w:t>机器设备</w:t>
            </w:r>
          </w:p>
        </w:tc>
        <w:tc>
          <w:tcPr>
            <w:tcW w:w="1207" w:type="pct"/>
            <w:vAlign w:val="center"/>
          </w:tcPr>
          <w:p>
            <w:pPr>
              <w:widowControl/>
              <w:jc w:val="center"/>
              <w:rPr>
                <w:rFonts w:ascii="宋体" w:hAnsi="宋体" w:cs="宋体"/>
                <w:kern w:val="0"/>
              </w:rPr>
            </w:pPr>
            <w:r>
              <w:rPr>
                <w:rFonts w:ascii="宋体" w:hAnsi="宋体" w:cs="宋体"/>
                <w:kern w:val="0"/>
              </w:rPr>
              <w:t>890.00</w:t>
            </w:r>
          </w:p>
        </w:tc>
        <w:tc>
          <w:tcPr>
            <w:tcW w:w="1031" w:type="pct"/>
            <w:vAlign w:val="center"/>
          </w:tcPr>
          <w:p>
            <w:pPr>
              <w:widowControl/>
              <w:jc w:val="center"/>
              <w:rPr>
                <w:rFonts w:ascii="宋体" w:hAnsi="宋体" w:cs="宋体"/>
                <w:kern w:val="0"/>
              </w:rPr>
            </w:pPr>
            <w:r>
              <w:rPr>
                <w:rFonts w:ascii="宋体" w:hAnsi="宋体" w:cs="宋体"/>
                <w:kern w:val="0"/>
              </w:rPr>
              <w:t>997.33</w:t>
            </w:r>
          </w:p>
        </w:tc>
        <w:tc>
          <w:tcPr>
            <w:tcW w:w="860" w:type="pct"/>
            <w:vAlign w:val="center"/>
          </w:tcPr>
          <w:p>
            <w:pPr>
              <w:widowControl/>
              <w:jc w:val="center"/>
              <w:rPr>
                <w:rFonts w:ascii="宋体" w:hAnsi="宋体" w:cs="宋体"/>
                <w:kern w:val="0"/>
              </w:rPr>
            </w:pPr>
            <w:r>
              <w:rPr>
                <w:rFonts w:ascii="宋体" w:hAnsi="宋体" w:cs="宋体"/>
                <w:kern w:val="0"/>
              </w:rPr>
              <w:t>1,156.90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75" w:type="pct"/>
            <w:vAlign w:val="center"/>
          </w:tcPr>
          <w:p>
            <w:pPr>
              <w:widowControl/>
              <w:jc w:val="center"/>
              <w:rPr>
                <w:rFonts w:ascii="宋体" w:hAnsi="宋体" w:cs="宋体"/>
                <w:kern w:val="0"/>
              </w:rPr>
            </w:pPr>
            <w:r>
              <w:rPr>
                <w:rFonts w:ascii="宋体" w:hAnsi="宋体" w:cs="宋体"/>
                <w:kern w:val="0"/>
              </w:rPr>
              <w:t>4</w:t>
            </w:r>
          </w:p>
        </w:tc>
        <w:tc>
          <w:tcPr>
            <w:tcW w:w="927" w:type="pct"/>
            <w:vAlign w:val="center"/>
          </w:tcPr>
          <w:p>
            <w:pPr>
              <w:widowControl/>
              <w:jc w:val="center"/>
              <w:rPr>
                <w:rFonts w:ascii="宋体" w:cs="宋体"/>
                <w:kern w:val="0"/>
              </w:rPr>
            </w:pPr>
            <w:r>
              <w:rPr>
                <w:rFonts w:hint="eastAsia" w:ascii="宋体" w:hAnsi="宋体" w:cs="宋体"/>
                <w:kern w:val="0"/>
              </w:rPr>
              <w:t>其他费用</w:t>
            </w:r>
          </w:p>
        </w:tc>
        <w:tc>
          <w:tcPr>
            <w:tcW w:w="1207" w:type="pct"/>
            <w:vAlign w:val="center"/>
          </w:tcPr>
          <w:p>
            <w:pPr>
              <w:widowControl/>
              <w:jc w:val="center"/>
              <w:rPr>
                <w:rFonts w:ascii="宋体" w:hAnsi="宋体" w:cs="宋体"/>
                <w:kern w:val="0"/>
              </w:rPr>
            </w:pPr>
            <w:r>
              <w:rPr>
                <w:rFonts w:ascii="宋体" w:hAnsi="宋体" w:cs="宋体"/>
                <w:kern w:val="0"/>
              </w:rPr>
              <w:t>142.00</w:t>
            </w:r>
          </w:p>
        </w:tc>
        <w:tc>
          <w:tcPr>
            <w:tcW w:w="1031" w:type="pct"/>
            <w:vAlign w:val="center"/>
          </w:tcPr>
          <w:p>
            <w:pPr>
              <w:widowControl/>
              <w:jc w:val="center"/>
              <w:rPr>
                <w:rFonts w:ascii="宋体" w:hAnsi="宋体" w:cs="宋体"/>
                <w:kern w:val="0"/>
              </w:rPr>
            </w:pPr>
          </w:p>
        </w:tc>
        <w:tc>
          <w:tcPr>
            <w:tcW w:w="860" w:type="pct"/>
            <w:vAlign w:val="center"/>
          </w:tcPr>
          <w:p>
            <w:pPr>
              <w:widowControl/>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1902" w:type="pct"/>
            <w:gridSpan w:val="2"/>
            <w:vAlign w:val="center"/>
          </w:tcPr>
          <w:p>
            <w:pPr>
              <w:widowControl/>
              <w:jc w:val="center"/>
              <w:rPr>
                <w:rFonts w:ascii="宋体" w:cs="宋体"/>
                <w:kern w:val="0"/>
              </w:rPr>
            </w:pPr>
            <w:r>
              <w:rPr>
                <w:rFonts w:hint="eastAsia" w:ascii="宋体" w:hAnsi="宋体" w:cs="宋体"/>
                <w:kern w:val="0"/>
              </w:rPr>
              <w:t>合计</w:t>
            </w:r>
          </w:p>
        </w:tc>
        <w:tc>
          <w:tcPr>
            <w:tcW w:w="1207" w:type="pct"/>
            <w:vAlign w:val="center"/>
          </w:tcPr>
          <w:p>
            <w:pPr>
              <w:widowControl/>
              <w:jc w:val="center"/>
              <w:rPr>
                <w:rFonts w:ascii="宋体" w:hAnsi="宋体" w:cs="宋体"/>
                <w:kern w:val="0"/>
              </w:rPr>
            </w:pPr>
            <w:r>
              <w:rPr>
                <w:rFonts w:ascii="宋体" w:hAnsi="宋体" w:cs="宋体"/>
                <w:kern w:val="0"/>
              </w:rPr>
              <w:t>1,319.50</w:t>
            </w:r>
          </w:p>
        </w:tc>
        <w:tc>
          <w:tcPr>
            <w:tcW w:w="1031" w:type="pct"/>
            <w:vAlign w:val="center"/>
          </w:tcPr>
          <w:p>
            <w:pPr>
              <w:widowControl/>
              <w:jc w:val="center"/>
              <w:rPr>
                <w:rFonts w:ascii="宋体" w:hAnsi="宋体" w:cs="宋体"/>
                <w:kern w:val="0"/>
              </w:rPr>
            </w:pPr>
            <w:r>
              <w:rPr>
                <w:rFonts w:ascii="宋体" w:hAnsi="宋体" w:cs="宋体"/>
                <w:kern w:val="0"/>
              </w:rPr>
              <w:t>1,319.50</w:t>
            </w:r>
          </w:p>
        </w:tc>
        <w:tc>
          <w:tcPr>
            <w:tcW w:w="860" w:type="pct"/>
            <w:vAlign w:val="center"/>
          </w:tcPr>
          <w:p>
            <w:pPr>
              <w:widowControl/>
              <w:jc w:val="center"/>
              <w:rPr>
                <w:rFonts w:ascii="宋体" w:hAnsi="宋体" w:cs="宋体"/>
                <w:kern w:val="0"/>
              </w:rPr>
            </w:pPr>
            <w:r>
              <w:rPr>
                <w:rFonts w:ascii="宋体" w:hAnsi="宋体" w:cs="宋体"/>
                <w:kern w:val="0"/>
              </w:rPr>
              <w:t>1,511.28</w:t>
            </w:r>
          </w:p>
        </w:tc>
      </w:tr>
    </w:tbl>
    <w:p>
      <w:pPr>
        <w:spacing w:line="360" w:lineRule="auto"/>
        <w:ind w:left="420" w:leftChars="200" w:firstLine="480" w:firstLineChars="200"/>
        <w:rPr>
          <w:rFonts w:ascii="宋体" w:cs="宋体"/>
          <w:sz w:val="24"/>
          <w:szCs w:val="24"/>
        </w:rPr>
      </w:pPr>
      <w:r>
        <w:rPr>
          <w:rFonts w:hint="eastAsia" w:ascii="宋体" w:hAnsi="宋体" w:cs="宋体"/>
          <w:sz w:val="24"/>
          <w:szCs w:val="24"/>
        </w:rPr>
        <w:t>本次评估固定资产投资于建设期均匀投入，固定资产总投资为</w:t>
      </w:r>
      <w:r>
        <w:rPr>
          <w:rFonts w:ascii="宋体" w:hAnsi="宋体" w:cs="宋体"/>
          <w:sz w:val="24"/>
          <w:szCs w:val="24"/>
        </w:rPr>
        <w:t>1,511.28</w:t>
      </w:r>
      <w:r>
        <w:rPr>
          <w:rFonts w:hint="eastAsia" w:ascii="宋体" w:hAnsi="宋体" w:cs="宋体"/>
          <w:sz w:val="24"/>
          <w:szCs w:val="24"/>
        </w:rPr>
        <w:t>万元，其中：</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color w:val="000000"/>
          <w:sz w:val="24"/>
          <w:szCs w:val="24"/>
        </w:rPr>
        <w:t>～</w:t>
      </w:r>
      <w:r>
        <w:rPr>
          <w:rFonts w:ascii="宋体" w:hAnsi="宋体" w:cs="宋体"/>
          <w:sz w:val="24"/>
          <w:szCs w:val="24"/>
        </w:rPr>
        <w:t>12</w:t>
      </w:r>
      <w:r>
        <w:rPr>
          <w:rFonts w:hint="eastAsia" w:ascii="宋体" w:hAnsi="宋体" w:cs="宋体"/>
          <w:sz w:val="24"/>
          <w:szCs w:val="24"/>
        </w:rPr>
        <w:t>月固定资产投入</w:t>
      </w:r>
      <w:r>
        <w:rPr>
          <w:rFonts w:ascii="宋体" w:hAnsi="宋体" w:cs="宋体"/>
          <w:sz w:val="24"/>
          <w:szCs w:val="24"/>
        </w:rPr>
        <w:t>1,269.48</w:t>
      </w:r>
      <w:r>
        <w:rPr>
          <w:rFonts w:hint="eastAsia" w:ascii="宋体" w:hAnsi="宋体" w:cs="宋体"/>
          <w:sz w:val="24"/>
          <w:szCs w:val="24"/>
        </w:rPr>
        <w:t>万元，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月固定资产投入</w:t>
      </w:r>
      <w:r>
        <w:rPr>
          <w:rFonts w:ascii="宋体" w:hAnsi="宋体" w:cs="宋体"/>
          <w:sz w:val="24"/>
          <w:szCs w:val="24"/>
        </w:rPr>
        <w:t>241.80</w:t>
      </w:r>
      <w:r>
        <w:rPr>
          <w:rFonts w:hint="eastAsia" w:ascii="宋体" w:hAnsi="宋体" w:cs="宋体"/>
          <w:sz w:val="24"/>
          <w:szCs w:val="24"/>
        </w:rPr>
        <w:t>万元。</w:t>
      </w:r>
    </w:p>
    <w:p>
      <w:pPr>
        <w:spacing w:line="360" w:lineRule="auto"/>
        <w:ind w:left="420" w:leftChars="200"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、无形资产投资（含土地使用权）</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根据《开发利用方案》，未考虑矿山投资及相关租赁费用，故本次评估根据采矿许可证面积确定矿山建设用地面积为</w:t>
      </w:r>
      <w:r>
        <w:rPr>
          <w:rFonts w:ascii="宋体" w:hAnsi="宋体" w:cs="宋体"/>
          <w:color w:val="000000"/>
          <w:sz w:val="24"/>
          <w:szCs w:val="24"/>
        </w:rPr>
        <w:t>0.0825</w:t>
      </w:r>
      <w:r>
        <w:rPr>
          <w:rFonts w:hint="eastAsia" w:ascii="宋体" w:hAnsi="宋体" w:cs="宋体"/>
          <w:color w:val="000000"/>
          <w:sz w:val="24"/>
          <w:szCs w:val="24"/>
        </w:rPr>
        <w:t>平方公里，合</w:t>
      </w:r>
      <w:r>
        <w:rPr>
          <w:rFonts w:ascii="宋体" w:hAnsi="宋体" w:cs="宋体"/>
          <w:color w:val="000000"/>
          <w:sz w:val="24"/>
          <w:szCs w:val="24"/>
        </w:rPr>
        <w:t>82500</w:t>
      </w:r>
      <w:r>
        <w:rPr>
          <w:rFonts w:hint="eastAsia" w:ascii="宋体" w:hAnsi="宋体" w:cs="宋体"/>
          <w:color w:val="000000"/>
          <w:sz w:val="24"/>
          <w:szCs w:val="24"/>
        </w:rPr>
        <w:t>平方米。</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根据《关于发布实施</w:t>
      </w:r>
      <w:r>
        <w:rPr>
          <w:rFonts w:ascii="宋体" w:hAnsi="宋体" w:cs="宋体"/>
          <w:color w:val="000000"/>
          <w:sz w:val="24"/>
          <w:szCs w:val="24"/>
        </w:rPr>
        <w:t>&lt;</w:t>
      </w:r>
      <w:r>
        <w:rPr>
          <w:rFonts w:hint="eastAsia" w:ascii="宋体" w:hAnsi="宋体" w:cs="宋体"/>
          <w:color w:val="000000"/>
          <w:sz w:val="24"/>
          <w:szCs w:val="24"/>
        </w:rPr>
        <w:t>全国工业用地出让最低价标准</w:t>
      </w:r>
      <w:r>
        <w:rPr>
          <w:rFonts w:ascii="宋体" w:hAnsi="宋体" w:cs="宋体"/>
          <w:color w:val="000000"/>
          <w:sz w:val="24"/>
          <w:szCs w:val="24"/>
        </w:rPr>
        <w:t>&gt;</w:t>
      </w:r>
      <w:r>
        <w:rPr>
          <w:rFonts w:hint="eastAsia" w:ascii="宋体" w:hAnsi="宋体" w:cs="宋体"/>
          <w:color w:val="000000"/>
          <w:sz w:val="24"/>
          <w:szCs w:val="24"/>
        </w:rPr>
        <w:t>的通知》（国土资发</w:t>
      </w:r>
      <w:r>
        <w:rPr>
          <w:rFonts w:ascii="宋体" w:hAnsi="宋体" w:cs="宋体"/>
          <w:color w:val="000000"/>
          <w:sz w:val="24"/>
          <w:szCs w:val="24"/>
        </w:rPr>
        <w:t>[2006]307</w:t>
      </w:r>
      <w:r>
        <w:rPr>
          <w:rFonts w:hint="eastAsia" w:ascii="宋体" w:hAnsi="宋体" w:cs="宋体"/>
          <w:color w:val="000000"/>
          <w:sz w:val="24"/>
          <w:szCs w:val="24"/>
        </w:rPr>
        <w:t>号）和《关于调整部分地区土地等级的通知》（国土资发</w:t>
      </w:r>
      <w:r>
        <w:rPr>
          <w:rFonts w:ascii="宋体" w:hAnsi="宋体" w:cs="宋体"/>
          <w:color w:val="000000"/>
          <w:sz w:val="24"/>
          <w:szCs w:val="24"/>
        </w:rPr>
        <w:t>[2008]308</w:t>
      </w:r>
      <w:r>
        <w:rPr>
          <w:rFonts w:hint="eastAsia" w:ascii="宋体" w:hAnsi="宋体" w:cs="宋体"/>
          <w:color w:val="000000"/>
          <w:sz w:val="24"/>
          <w:szCs w:val="24"/>
        </w:rPr>
        <w:t>号），本项目所在地为广东省湛江市遂溪县等级为十一等，最低出让标准为</w:t>
      </w:r>
      <w:r>
        <w:rPr>
          <w:rFonts w:ascii="宋体" w:hAnsi="宋体" w:cs="宋体"/>
          <w:color w:val="000000"/>
          <w:sz w:val="24"/>
          <w:szCs w:val="24"/>
        </w:rPr>
        <w:t>144</w:t>
      </w:r>
      <w:r>
        <w:rPr>
          <w:rFonts w:hint="eastAsia" w:ascii="宋体" w:hAnsi="宋体" w:cs="宋体"/>
          <w:color w:val="000000"/>
          <w:sz w:val="24"/>
          <w:szCs w:val="24"/>
        </w:rPr>
        <w:t>元</w:t>
      </w:r>
      <w:r>
        <w:rPr>
          <w:rFonts w:ascii="宋体" w:hAnsi="宋体" w:cs="宋体"/>
          <w:color w:val="000000"/>
          <w:sz w:val="24"/>
          <w:szCs w:val="24"/>
        </w:rPr>
        <w:t>/</w:t>
      </w:r>
      <w:r>
        <w:rPr>
          <w:rFonts w:hint="eastAsia" w:ascii="宋体" w:hAnsi="宋体" w:cs="宋体"/>
          <w:color w:val="000000"/>
          <w:sz w:val="24"/>
          <w:szCs w:val="24"/>
        </w:rPr>
        <w:t>平方米，据此推算土地投资约为</w:t>
      </w:r>
      <w:r>
        <w:rPr>
          <w:rFonts w:ascii="宋体" w:hAnsi="宋体" w:cs="宋体"/>
          <w:color w:val="000000"/>
          <w:sz w:val="24"/>
          <w:szCs w:val="24"/>
        </w:rPr>
        <w:t>1,188.00</w:t>
      </w:r>
      <w:r>
        <w:rPr>
          <w:rFonts w:hint="eastAsia" w:ascii="宋体" w:hAnsi="宋体" w:cs="宋体"/>
          <w:color w:val="000000"/>
          <w:sz w:val="24"/>
          <w:szCs w:val="24"/>
        </w:rPr>
        <w:t>万元（</w:t>
      </w:r>
      <w:r>
        <w:rPr>
          <w:rFonts w:ascii="宋体" w:hAnsi="宋体" w:cs="宋体"/>
          <w:color w:val="000000"/>
          <w:sz w:val="24"/>
          <w:szCs w:val="24"/>
        </w:rPr>
        <w:t>291100</w:t>
      </w:r>
      <w:r>
        <w:rPr>
          <w:rFonts w:hint="eastAsia" w:ascii="宋体" w:hAnsi="宋体" w:cs="宋体"/>
          <w:color w:val="000000"/>
          <w:sz w:val="24"/>
          <w:szCs w:val="24"/>
        </w:rPr>
        <w:t>×</w:t>
      </w:r>
      <w:r>
        <w:rPr>
          <w:rFonts w:ascii="宋体" w:hAnsi="宋体" w:cs="宋体"/>
          <w:color w:val="000000"/>
          <w:sz w:val="24"/>
          <w:szCs w:val="24"/>
        </w:rPr>
        <w:t>84</w:t>
      </w:r>
      <w:r>
        <w:rPr>
          <w:rFonts w:hint="eastAsia" w:ascii="宋体" w:hAnsi="宋体" w:cs="宋体"/>
          <w:color w:val="000000"/>
          <w:sz w:val="24"/>
          <w:szCs w:val="24"/>
        </w:rPr>
        <w:t>÷</w:t>
      </w:r>
      <w:r>
        <w:rPr>
          <w:rFonts w:ascii="宋体" w:hAnsi="宋体" w:cs="宋体"/>
          <w:color w:val="000000"/>
          <w:sz w:val="24"/>
          <w:szCs w:val="24"/>
        </w:rPr>
        <w:t>10000</w:t>
      </w:r>
      <w:r>
        <w:rPr>
          <w:rFonts w:hint="eastAsia" w:ascii="宋体" w:hAnsi="宋体" w:cs="宋体"/>
          <w:color w:val="000000"/>
          <w:sz w:val="24"/>
          <w:szCs w:val="24"/>
        </w:rPr>
        <w:t>）。故本次评估无形资产投资</w:t>
      </w:r>
      <w:r>
        <w:rPr>
          <w:rFonts w:ascii="宋体" w:hAnsi="宋体" w:cs="宋体"/>
          <w:color w:val="000000"/>
          <w:sz w:val="24"/>
          <w:szCs w:val="24"/>
        </w:rPr>
        <w:t>1,188.00</w:t>
      </w:r>
      <w:r>
        <w:rPr>
          <w:rFonts w:hint="eastAsia" w:ascii="宋体" w:hAnsi="宋体" w:cs="宋体"/>
          <w:color w:val="000000"/>
          <w:sz w:val="24"/>
          <w:szCs w:val="24"/>
        </w:rPr>
        <w:t>万元，其中：</w:t>
      </w:r>
      <w:r>
        <w:rPr>
          <w:rFonts w:ascii="宋体" w:hAnsi="宋体" w:cs="宋体"/>
          <w:color w:val="000000"/>
          <w:sz w:val="24"/>
          <w:szCs w:val="24"/>
        </w:rPr>
        <w:t>2018</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12</w:t>
      </w:r>
      <w:r>
        <w:rPr>
          <w:rFonts w:hint="eastAsia" w:ascii="宋体" w:hAnsi="宋体" w:cs="宋体"/>
          <w:color w:val="000000"/>
          <w:sz w:val="24"/>
          <w:szCs w:val="24"/>
        </w:rPr>
        <w:t>月无形资产投入</w:t>
      </w:r>
      <w:r>
        <w:rPr>
          <w:rFonts w:ascii="宋体" w:hAnsi="宋体" w:cs="宋体"/>
          <w:color w:val="000000"/>
          <w:sz w:val="24"/>
          <w:szCs w:val="24"/>
        </w:rPr>
        <w:t>997.92</w:t>
      </w:r>
      <w:r>
        <w:rPr>
          <w:rFonts w:hint="eastAsia" w:ascii="宋体" w:hAnsi="宋体" w:cs="宋体"/>
          <w:color w:val="000000"/>
          <w:sz w:val="24"/>
          <w:szCs w:val="24"/>
        </w:rPr>
        <w:t>万元，</w:t>
      </w:r>
      <w:r>
        <w:rPr>
          <w:rFonts w:ascii="宋体" w:hAnsi="宋体" w:cs="宋体"/>
          <w:color w:val="000000"/>
          <w:sz w:val="24"/>
          <w:szCs w:val="24"/>
        </w:rPr>
        <w:t>2019</w:t>
      </w:r>
      <w:r>
        <w:rPr>
          <w:rFonts w:hint="eastAsia" w:ascii="宋体" w:hAnsi="宋体" w:cs="宋体"/>
          <w:color w:val="000000"/>
          <w:sz w:val="24"/>
          <w:szCs w:val="24"/>
        </w:rPr>
        <w:t>年</w:t>
      </w:r>
      <w:r>
        <w:rPr>
          <w:rFonts w:ascii="宋体" w:hAnsi="宋体" w:cs="宋体"/>
          <w:color w:val="000000"/>
          <w:sz w:val="24"/>
          <w:szCs w:val="24"/>
        </w:rPr>
        <w:t>1</w:t>
      </w:r>
      <w:r>
        <w:rPr>
          <w:rFonts w:hint="eastAsia" w:ascii="宋体" w:hAnsi="宋体" w:cs="宋体"/>
          <w:color w:val="000000"/>
          <w:sz w:val="24"/>
          <w:szCs w:val="24"/>
        </w:rPr>
        <w:t>月无形资产投入</w:t>
      </w:r>
      <w:r>
        <w:rPr>
          <w:rFonts w:ascii="宋体" w:hAnsi="宋体" w:cs="宋体"/>
          <w:color w:val="000000"/>
          <w:sz w:val="24"/>
          <w:szCs w:val="24"/>
        </w:rPr>
        <w:t>190.08</w:t>
      </w:r>
      <w:r>
        <w:rPr>
          <w:rFonts w:hint="eastAsia" w:ascii="宋体" w:hAnsi="宋体" w:cs="宋体"/>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4</w:t>
      </w:r>
      <w:r>
        <w:rPr>
          <w:rFonts w:hint="eastAsia" w:ascii="宋体" w:hAnsi="宋体" w:cs="宋体"/>
          <w:color w:val="000000"/>
          <w:sz w:val="24"/>
          <w:szCs w:val="24"/>
        </w:rPr>
        <w:t>、回收固定资产净残（余）值、更新改造资金及回收抵扣进项增值税</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）回收固定资产净残（余）值</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本次评估剥离工程按</w:t>
      </w:r>
      <w:r>
        <w:rPr>
          <w:rFonts w:ascii="宋体" w:hAnsi="宋体" w:cs="宋体"/>
          <w:color w:val="000000"/>
          <w:sz w:val="24"/>
          <w:szCs w:val="24"/>
        </w:rPr>
        <w:t>12</w:t>
      </w:r>
      <w:r>
        <w:rPr>
          <w:rFonts w:hint="eastAsia" w:ascii="宋体" w:hAnsi="宋体" w:cs="宋体"/>
          <w:color w:val="000000"/>
          <w:sz w:val="24"/>
          <w:szCs w:val="24"/>
        </w:rPr>
        <w:t>年折旧，不留残值；房屋建筑物按</w:t>
      </w:r>
      <w:r>
        <w:rPr>
          <w:rFonts w:ascii="宋体" w:hAnsi="宋体" w:cs="宋体"/>
          <w:color w:val="000000"/>
          <w:sz w:val="24"/>
          <w:szCs w:val="24"/>
        </w:rPr>
        <w:t>20</w:t>
      </w:r>
      <w:r>
        <w:rPr>
          <w:rFonts w:hint="eastAsia" w:ascii="宋体" w:hAnsi="宋体" w:cs="宋体"/>
          <w:color w:val="000000"/>
          <w:sz w:val="24"/>
          <w:szCs w:val="24"/>
        </w:rPr>
        <w:t>年折旧，残值按原值的</w:t>
      </w:r>
      <w:r>
        <w:rPr>
          <w:rFonts w:ascii="宋体" w:hAnsi="宋体" w:cs="宋体"/>
          <w:color w:val="000000"/>
          <w:sz w:val="24"/>
          <w:szCs w:val="24"/>
        </w:rPr>
        <w:t>5%</w:t>
      </w:r>
      <w:r>
        <w:rPr>
          <w:rFonts w:hint="eastAsia" w:ascii="宋体" w:hAnsi="宋体" w:cs="宋体"/>
          <w:color w:val="000000"/>
          <w:sz w:val="24"/>
          <w:szCs w:val="24"/>
        </w:rPr>
        <w:t>计算；本次评估机器设备按</w:t>
      </w:r>
      <w:r>
        <w:rPr>
          <w:rFonts w:ascii="宋体" w:hAnsi="宋体" w:cs="宋体"/>
          <w:color w:val="000000"/>
          <w:sz w:val="24"/>
          <w:szCs w:val="24"/>
        </w:rPr>
        <w:t>12</w:t>
      </w:r>
      <w:r>
        <w:rPr>
          <w:rFonts w:hint="eastAsia" w:ascii="宋体" w:hAnsi="宋体" w:cs="宋体"/>
          <w:color w:val="000000"/>
          <w:sz w:val="24"/>
          <w:szCs w:val="24"/>
        </w:rPr>
        <w:t>年折旧，残值按不含税原值的</w:t>
      </w:r>
      <w:r>
        <w:rPr>
          <w:rFonts w:ascii="宋体" w:hAnsi="宋体" w:cs="宋体"/>
          <w:color w:val="000000"/>
          <w:sz w:val="24"/>
          <w:szCs w:val="24"/>
        </w:rPr>
        <w:t>5%</w:t>
      </w:r>
      <w:r>
        <w:rPr>
          <w:rFonts w:hint="eastAsia" w:ascii="宋体" w:hAnsi="宋体" w:cs="宋体"/>
          <w:color w:val="000000"/>
          <w:sz w:val="24"/>
          <w:szCs w:val="24"/>
        </w:rPr>
        <w:t>计算。本次评估房屋建筑物未完成一轮折旧、机器设备完成一轮折旧剩余残值，则：</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房屋建筑物回收残余值</w:t>
      </w:r>
      <w:r>
        <w:rPr>
          <w:rFonts w:ascii="宋体" w:hAnsi="宋体" w:cs="宋体"/>
          <w:color w:val="000000"/>
          <w:sz w:val="24"/>
          <w:szCs w:val="24"/>
        </w:rPr>
        <w:t>113.40</w:t>
      </w:r>
      <w:r>
        <w:rPr>
          <w:rFonts w:hint="eastAsia" w:ascii="宋体" w:hAnsi="宋体" w:cs="宋体"/>
          <w:color w:val="000000"/>
          <w:sz w:val="24"/>
          <w:szCs w:val="24"/>
        </w:rPr>
        <w:t>万元，机器设备回收残余值</w:t>
      </w:r>
      <w:r>
        <w:rPr>
          <w:rFonts w:ascii="宋体" w:hAnsi="宋体" w:cs="宋体"/>
          <w:color w:val="000000"/>
          <w:sz w:val="24"/>
          <w:szCs w:val="24"/>
        </w:rPr>
        <w:t>49.87</w:t>
      </w:r>
      <w:r>
        <w:rPr>
          <w:rFonts w:hint="eastAsia" w:ascii="宋体" w:hAnsi="宋体" w:cs="宋体"/>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因此，评估计算期内回收固定资产残（余）值合计为</w:t>
      </w:r>
      <w:r>
        <w:rPr>
          <w:rFonts w:ascii="宋体" w:hAnsi="宋体" w:cs="宋体"/>
          <w:color w:val="000000"/>
          <w:sz w:val="24"/>
          <w:szCs w:val="24"/>
        </w:rPr>
        <w:t>163.27</w:t>
      </w:r>
      <w:r>
        <w:rPr>
          <w:rFonts w:hint="eastAsia" w:ascii="宋体" w:hAnsi="宋体" w:cs="宋体"/>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）更新改造资金</w:t>
      </w:r>
      <w:r>
        <w:rPr>
          <w:rFonts w:ascii="宋体" w:hAnsi="宋体" w:cs="宋体"/>
          <w:color w:val="000000"/>
          <w:sz w:val="24"/>
          <w:szCs w:val="24"/>
        </w:rPr>
        <w:t xml:space="preserve"> </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本次评估计算的矿山服务年限为</w:t>
      </w:r>
      <w:r>
        <w:rPr>
          <w:rFonts w:ascii="宋体" w:hAnsi="宋体" w:cs="宋体"/>
          <w:color w:val="000000"/>
          <w:sz w:val="24"/>
          <w:szCs w:val="24"/>
        </w:rPr>
        <w:t>12.18</w:t>
      </w:r>
      <w:r>
        <w:rPr>
          <w:rFonts w:hint="eastAsia" w:ascii="宋体" w:hAnsi="宋体" w:cs="宋体"/>
          <w:color w:val="000000"/>
          <w:sz w:val="24"/>
          <w:szCs w:val="24"/>
        </w:rPr>
        <w:t>年，剥离工程折旧年限</w:t>
      </w:r>
      <w:r>
        <w:rPr>
          <w:rFonts w:ascii="宋体" w:hAnsi="宋体" w:cs="宋体"/>
          <w:color w:val="000000"/>
          <w:sz w:val="24"/>
          <w:szCs w:val="24"/>
        </w:rPr>
        <w:t>12</w:t>
      </w:r>
      <w:r>
        <w:rPr>
          <w:rFonts w:hint="eastAsia" w:ascii="宋体" w:hAnsi="宋体" w:cs="宋体"/>
          <w:color w:val="000000"/>
          <w:sz w:val="24"/>
          <w:szCs w:val="24"/>
        </w:rPr>
        <w:t>年，房屋建筑物折旧年限</w:t>
      </w:r>
      <w:r>
        <w:rPr>
          <w:rFonts w:ascii="宋体" w:hAnsi="宋体" w:cs="宋体"/>
          <w:color w:val="000000"/>
          <w:sz w:val="24"/>
          <w:szCs w:val="24"/>
        </w:rPr>
        <w:t>20</w:t>
      </w:r>
      <w:r>
        <w:rPr>
          <w:rFonts w:hint="eastAsia" w:ascii="宋体" w:hAnsi="宋体" w:cs="宋体"/>
          <w:color w:val="000000"/>
          <w:sz w:val="24"/>
          <w:szCs w:val="24"/>
        </w:rPr>
        <w:t>年、机器设备综合折旧年限</w:t>
      </w:r>
      <w:r>
        <w:rPr>
          <w:rFonts w:ascii="宋体" w:hAnsi="宋体" w:cs="宋体"/>
          <w:color w:val="000000"/>
          <w:sz w:val="24"/>
          <w:szCs w:val="24"/>
        </w:rPr>
        <w:t>12</w:t>
      </w:r>
      <w:r>
        <w:rPr>
          <w:rFonts w:hint="eastAsia" w:ascii="宋体" w:hAnsi="宋体" w:cs="宋体"/>
          <w:color w:val="000000"/>
          <w:sz w:val="24"/>
          <w:szCs w:val="24"/>
        </w:rPr>
        <w:t>年，净残值率均按</w:t>
      </w:r>
      <w:r>
        <w:rPr>
          <w:rFonts w:ascii="宋体" w:hAnsi="宋体" w:cs="宋体"/>
          <w:color w:val="000000"/>
          <w:sz w:val="24"/>
          <w:szCs w:val="24"/>
        </w:rPr>
        <w:t>5%</w:t>
      </w:r>
      <w:r>
        <w:rPr>
          <w:rFonts w:hint="eastAsia" w:ascii="宋体" w:hAnsi="宋体" w:cs="宋体"/>
          <w:color w:val="000000"/>
          <w:sz w:val="24"/>
          <w:szCs w:val="24"/>
        </w:rPr>
        <w:t>，剥离工程完成一轮折旧不留残值，房屋建筑物未完成一轮折旧，机器设备完成一轮折旧剩余残值，均未进行更新投入。</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因此，本次评估计算期内矿山共投入更新改造资金为</w:t>
      </w:r>
      <w:r>
        <w:rPr>
          <w:rFonts w:ascii="宋体" w:cs="宋体"/>
          <w:color w:val="000000"/>
          <w:sz w:val="24"/>
          <w:szCs w:val="24"/>
        </w:rPr>
        <w:t>0</w:t>
      </w:r>
      <w:r>
        <w:rPr>
          <w:rFonts w:hint="eastAsia" w:ascii="宋体" w:hAnsi="宋体" w:cs="宋体"/>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）回收抵扣进项增值税</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根据国家实施增值税转型改革有关规定，自</w:t>
      </w:r>
      <w:r>
        <w:rPr>
          <w:rFonts w:ascii="宋体" w:hAnsi="宋体" w:cs="宋体"/>
          <w:color w:val="000000"/>
          <w:sz w:val="24"/>
          <w:szCs w:val="24"/>
        </w:rPr>
        <w:t>2009</w:t>
      </w:r>
      <w:r>
        <w:rPr>
          <w:rFonts w:hint="eastAsia" w:ascii="宋体" w:hAnsi="宋体" w:cs="宋体"/>
          <w:color w:val="000000"/>
          <w:sz w:val="24"/>
          <w:szCs w:val="24"/>
        </w:rPr>
        <w:t>年</w:t>
      </w:r>
      <w:r>
        <w:rPr>
          <w:rFonts w:ascii="宋体" w:hAnsi="宋体" w:cs="宋体"/>
          <w:color w:val="000000"/>
          <w:sz w:val="24"/>
          <w:szCs w:val="24"/>
        </w:rPr>
        <w:t>1</w:t>
      </w:r>
      <w:r>
        <w:rPr>
          <w:rFonts w:hint="eastAsia" w:ascii="宋体" w:hAnsi="宋体" w:cs="宋体"/>
          <w:color w:val="000000"/>
          <w:sz w:val="24"/>
          <w:szCs w:val="24"/>
        </w:rPr>
        <w:t>月</w:t>
      </w:r>
      <w:r>
        <w:rPr>
          <w:rFonts w:ascii="宋体" w:hAnsi="宋体" w:cs="宋体"/>
          <w:color w:val="000000"/>
          <w:sz w:val="24"/>
          <w:szCs w:val="24"/>
        </w:rPr>
        <w:t>1</w:t>
      </w:r>
      <w:r>
        <w:rPr>
          <w:rFonts w:hint="eastAsia" w:ascii="宋体" w:hAnsi="宋体" w:cs="宋体"/>
          <w:color w:val="000000"/>
          <w:sz w:val="24"/>
          <w:szCs w:val="24"/>
        </w:rPr>
        <w:t>日起，评估确定新增设备（包括建设期投入和更新资金投入）按</w:t>
      </w:r>
      <w:r>
        <w:rPr>
          <w:rFonts w:ascii="宋体" w:hAnsi="宋体" w:cs="宋体"/>
          <w:color w:val="000000"/>
          <w:sz w:val="24"/>
          <w:szCs w:val="24"/>
        </w:rPr>
        <w:t>17%</w:t>
      </w:r>
      <w:r>
        <w:rPr>
          <w:rFonts w:hint="eastAsia" w:ascii="宋体" w:hAnsi="宋体" w:cs="宋体"/>
          <w:color w:val="000000"/>
          <w:sz w:val="24"/>
          <w:szCs w:val="24"/>
        </w:rPr>
        <w:t>增值税税率估算可抵扣的进行增值税，新增设备原值按不含增值税价计算。</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根据</w:t>
      </w:r>
      <w:r>
        <w:rPr>
          <w:rFonts w:ascii="宋体" w:hAnsi="宋体" w:cs="宋体"/>
          <w:color w:val="000000"/>
          <w:sz w:val="24"/>
          <w:szCs w:val="24"/>
        </w:rPr>
        <w:t>2016</w:t>
      </w:r>
      <w:r>
        <w:rPr>
          <w:rFonts w:hint="eastAsia" w:ascii="宋体" w:hAnsi="宋体" w:cs="宋体"/>
          <w:color w:val="000000"/>
          <w:sz w:val="24"/>
          <w:szCs w:val="24"/>
        </w:rPr>
        <w:t>年财政部、国家税务总局下发《关于全面推开营业税改征增值税试点的通知》（财税</w:t>
      </w:r>
      <w:r>
        <w:rPr>
          <w:rFonts w:ascii="宋体" w:hAnsi="宋体" w:cs="宋体"/>
          <w:color w:val="000000"/>
          <w:sz w:val="24"/>
          <w:szCs w:val="24"/>
        </w:rPr>
        <w:t>[2016]36</w:t>
      </w:r>
      <w:r>
        <w:rPr>
          <w:rFonts w:hint="eastAsia" w:ascii="宋体" w:hAnsi="宋体" w:cs="宋体"/>
          <w:color w:val="000000"/>
          <w:sz w:val="24"/>
          <w:szCs w:val="24"/>
        </w:rPr>
        <w:t>号），提供交通运输、邮政、基础电信、建筑、不动产租赁服务，销售不动产，转让土地使用权，税率为</w:t>
      </w:r>
      <w:r>
        <w:rPr>
          <w:rFonts w:ascii="宋体" w:hAnsi="宋体" w:cs="宋体"/>
          <w:color w:val="000000"/>
          <w:sz w:val="24"/>
          <w:szCs w:val="24"/>
        </w:rPr>
        <w:t>11%</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2018</w:t>
      </w:r>
      <w:r>
        <w:rPr>
          <w:rFonts w:hint="eastAsia" w:ascii="宋体" w:hAnsi="宋体" w:cs="宋体"/>
          <w:color w:val="000000"/>
          <w:sz w:val="24"/>
          <w:szCs w:val="24"/>
        </w:rPr>
        <w:t>年财政部、税务总局下发的《关于调整增值税税率的通知》（财税</w:t>
      </w:r>
      <w:r>
        <w:rPr>
          <w:rFonts w:ascii="宋体" w:hAnsi="宋体" w:cs="宋体"/>
          <w:color w:val="000000"/>
          <w:sz w:val="24"/>
          <w:szCs w:val="24"/>
        </w:rPr>
        <w:t>[2018]32</w:t>
      </w:r>
      <w:r>
        <w:rPr>
          <w:rFonts w:hint="eastAsia" w:ascii="宋体" w:hAnsi="宋体" w:cs="宋体"/>
          <w:color w:val="000000"/>
          <w:sz w:val="24"/>
          <w:szCs w:val="24"/>
        </w:rPr>
        <w:t>号），纳税人发生增值税应税销售行为或者进口货物，原适用</w:t>
      </w:r>
      <w:r>
        <w:rPr>
          <w:rFonts w:ascii="宋体" w:hAnsi="宋体" w:cs="宋体"/>
          <w:color w:val="000000"/>
          <w:sz w:val="24"/>
          <w:szCs w:val="24"/>
        </w:rPr>
        <w:t>17%</w:t>
      </w:r>
      <w:r>
        <w:rPr>
          <w:rFonts w:hint="eastAsia" w:ascii="宋体" w:hAnsi="宋体" w:cs="宋体"/>
          <w:color w:val="000000"/>
          <w:sz w:val="24"/>
          <w:szCs w:val="24"/>
        </w:rPr>
        <w:t>和</w:t>
      </w:r>
      <w:r>
        <w:rPr>
          <w:rFonts w:ascii="宋体" w:hAnsi="宋体" w:cs="宋体"/>
          <w:color w:val="000000"/>
          <w:sz w:val="24"/>
          <w:szCs w:val="24"/>
        </w:rPr>
        <w:t>11%</w:t>
      </w:r>
      <w:r>
        <w:rPr>
          <w:rFonts w:hint="eastAsia" w:ascii="宋体" w:hAnsi="宋体" w:cs="宋体"/>
          <w:color w:val="000000"/>
          <w:sz w:val="24"/>
          <w:szCs w:val="24"/>
        </w:rPr>
        <w:t>税率的，税率分别调整为</w:t>
      </w:r>
      <w:r>
        <w:rPr>
          <w:rFonts w:ascii="宋体" w:hAnsi="宋体" w:cs="宋体"/>
          <w:color w:val="000000"/>
          <w:sz w:val="24"/>
          <w:szCs w:val="24"/>
        </w:rPr>
        <w:t>16%</w:t>
      </w:r>
      <w:r>
        <w:rPr>
          <w:rFonts w:hint="eastAsia" w:ascii="宋体" w:hAnsi="宋体" w:cs="宋体"/>
          <w:color w:val="000000"/>
          <w:sz w:val="24"/>
          <w:szCs w:val="24"/>
        </w:rPr>
        <w:t>、</w:t>
      </w:r>
      <w:r>
        <w:rPr>
          <w:rFonts w:ascii="宋体" w:hAnsi="宋体" w:cs="宋体"/>
          <w:color w:val="000000"/>
          <w:sz w:val="24"/>
          <w:szCs w:val="24"/>
        </w:rPr>
        <w:t>10%</w:t>
      </w:r>
      <w:r>
        <w:rPr>
          <w:rFonts w:hint="eastAsia" w:ascii="宋体" w:hAnsi="宋体" w:cs="宋体"/>
          <w:color w:val="000000"/>
          <w:sz w:val="24"/>
          <w:szCs w:val="24"/>
        </w:rPr>
        <w:t>，本通知自</w:t>
      </w:r>
      <w:r>
        <w:rPr>
          <w:rFonts w:ascii="宋体" w:hAnsi="宋体" w:cs="宋体"/>
          <w:color w:val="000000"/>
          <w:sz w:val="24"/>
          <w:szCs w:val="24"/>
        </w:rPr>
        <w:t>2018</w:t>
      </w:r>
      <w:r>
        <w:rPr>
          <w:rFonts w:hint="eastAsia" w:ascii="宋体" w:hAnsi="宋体" w:cs="宋体"/>
          <w:color w:val="000000"/>
          <w:sz w:val="24"/>
          <w:szCs w:val="24"/>
        </w:rPr>
        <w:t>年</w:t>
      </w:r>
      <w:r>
        <w:rPr>
          <w:rFonts w:ascii="宋体" w:hAnsi="宋体" w:cs="宋体"/>
          <w:color w:val="000000"/>
          <w:sz w:val="24"/>
          <w:szCs w:val="24"/>
        </w:rPr>
        <w:t>5</w:t>
      </w:r>
      <w:r>
        <w:rPr>
          <w:rFonts w:hint="eastAsia" w:ascii="宋体" w:hAnsi="宋体" w:cs="宋体"/>
          <w:color w:val="000000"/>
          <w:sz w:val="24"/>
          <w:szCs w:val="24"/>
        </w:rPr>
        <w:t>月</w:t>
      </w:r>
      <w:r>
        <w:rPr>
          <w:rFonts w:ascii="宋体" w:hAnsi="宋体" w:cs="宋体"/>
          <w:color w:val="000000"/>
          <w:sz w:val="24"/>
          <w:szCs w:val="24"/>
        </w:rPr>
        <w:t>1</w:t>
      </w:r>
      <w:r>
        <w:rPr>
          <w:rFonts w:hint="eastAsia" w:ascii="宋体" w:hAnsi="宋体" w:cs="宋体"/>
          <w:color w:val="000000"/>
          <w:sz w:val="24"/>
          <w:szCs w:val="24"/>
        </w:rPr>
        <w:t>日起执行。</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本次评估矿山抵扣不动产及设备进项税共计</w:t>
      </w:r>
      <w:r>
        <w:rPr>
          <w:rFonts w:ascii="宋体" w:hAnsi="宋体" w:cs="宋体"/>
          <w:color w:val="000000"/>
          <w:sz w:val="24"/>
          <w:szCs w:val="24"/>
        </w:rPr>
        <w:t>191.78</w:t>
      </w:r>
      <w:r>
        <w:rPr>
          <w:rFonts w:hint="eastAsia" w:ascii="宋体" w:hAnsi="宋体" w:cs="宋体"/>
          <w:color w:val="000000"/>
          <w:sz w:val="24"/>
          <w:szCs w:val="24"/>
        </w:rPr>
        <w:t>万元。</w:t>
      </w:r>
    </w:p>
    <w:p>
      <w:pPr>
        <w:spacing w:line="360" w:lineRule="auto"/>
        <w:ind w:left="420" w:leftChars="200" w:firstLine="480" w:firstLineChars="200"/>
        <w:rPr>
          <w:rFonts w:ascii="宋体" w:cs="Times New Roman"/>
          <w:color w:val="000000"/>
          <w:sz w:val="24"/>
          <w:szCs w:val="24"/>
        </w:rPr>
      </w:pPr>
      <w:r>
        <w:rPr>
          <w:rFonts w:ascii="宋体" w:hAnsi="宋体" w:cs="宋体"/>
          <w:color w:val="000000"/>
          <w:sz w:val="24"/>
          <w:szCs w:val="24"/>
        </w:rPr>
        <w:t>5</w:t>
      </w:r>
      <w:r>
        <w:rPr>
          <w:rFonts w:hint="eastAsia" w:ascii="宋体" w:hAnsi="宋体" w:cs="宋体"/>
          <w:color w:val="000000"/>
          <w:sz w:val="24"/>
          <w:szCs w:val="24"/>
        </w:rPr>
        <w:t>、流动资金</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流动资金是指为维持生产所占用的全部周转资金。根据《矿业权评估参数确定指导意见（</w:t>
      </w:r>
      <w:r>
        <w:rPr>
          <w:rFonts w:ascii="宋体" w:hAnsi="宋体" w:cs="宋体"/>
          <w:color w:val="000000"/>
          <w:sz w:val="24"/>
          <w:szCs w:val="24"/>
        </w:rPr>
        <w:t>CMVS 30800-2008</w:t>
      </w:r>
      <w:r>
        <w:rPr>
          <w:rFonts w:hint="eastAsia" w:ascii="宋体" w:hAnsi="宋体" w:cs="宋体"/>
          <w:color w:val="000000"/>
          <w:sz w:val="24"/>
          <w:szCs w:val="24"/>
        </w:rPr>
        <w:t>）》，非金属矿的流动资金可以按固定资产投资的</w:t>
      </w:r>
      <w:r>
        <w:rPr>
          <w:rFonts w:ascii="宋体" w:hAnsi="宋体" w:cs="宋体"/>
          <w:color w:val="000000"/>
          <w:sz w:val="24"/>
          <w:szCs w:val="24"/>
        </w:rPr>
        <w:t>5%</w:t>
      </w:r>
      <w:r>
        <w:rPr>
          <w:rFonts w:hint="eastAsia" w:ascii="宋体" w:hAnsi="宋体" w:cs="宋体"/>
          <w:color w:val="000000"/>
          <w:sz w:val="24"/>
          <w:szCs w:val="24"/>
        </w:rPr>
        <w:t>～</w:t>
      </w:r>
      <w:r>
        <w:rPr>
          <w:rFonts w:ascii="宋体" w:hAnsi="宋体" w:cs="宋体"/>
          <w:color w:val="000000"/>
          <w:sz w:val="24"/>
          <w:szCs w:val="24"/>
        </w:rPr>
        <w:t>15%</w:t>
      </w:r>
      <w:r>
        <w:rPr>
          <w:rFonts w:hint="eastAsia" w:ascii="宋体" w:hAnsi="宋体" w:cs="宋体"/>
          <w:color w:val="000000"/>
          <w:sz w:val="24"/>
          <w:szCs w:val="24"/>
        </w:rPr>
        <w:t>资金率估算流动资金。本着公平市场原则，参考类似企业平均水平，本次评估确定固定资产资金率取值</w:t>
      </w:r>
      <w:r>
        <w:rPr>
          <w:rFonts w:ascii="宋体" w:hAnsi="宋体" w:cs="宋体"/>
          <w:color w:val="000000"/>
          <w:sz w:val="24"/>
          <w:szCs w:val="24"/>
        </w:rPr>
        <w:t>8%</w:t>
      </w:r>
      <w:r>
        <w:rPr>
          <w:rFonts w:hint="eastAsia" w:ascii="宋体" w:hAnsi="宋体" w:cs="宋体"/>
          <w:color w:val="000000"/>
          <w:sz w:val="24"/>
          <w:szCs w:val="24"/>
        </w:rPr>
        <w:t>。</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本次评估固定资产投资为</w:t>
      </w:r>
      <w:r>
        <w:rPr>
          <w:rFonts w:ascii="宋体" w:hAnsi="宋体" w:cs="宋体"/>
          <w:color w:val="000000"/>
          <w:sz w:val="24"/>
          <w:szCs w:val="24"/>
        </w:rPr>
        <w:t>1,511.28</w:t>
      </w:r>
      <w:r>
        <w:rPr>
          <w:rFonts w:hint="eastAsia" w:ascii="宋体" w:hAnsi="宋体" w:cs="宋体"/>
          <w:color w:val="000000"/>
          <w:sz w:val="24"/>
          <w:szCs w:val="24"/>
        </w:rPr>
        <w:t>万元，则：</w:t>
      </w:r>
    </w:p>
    <w:p>
      <w:pPr>
        <w:spacing w:line="360" w:lineRule="auto"/>
        <w:ind w:left="420" w:leftChars="200" w:firstLine="480" w:firstLineChars="200"/>
        <w:rPr>
          <w:rFonts w:ascii="宋体" w:cs="宋体"/>
          <w:color w:val="000000"/>
          <w:sz w:val="24"/>
          <w:szCs w:val="24"/>
        </w:rPr>
      </w:pPr>
      <w:r>
        <w:rPr>
          <w:rFonts w:hint="eastAsia" w:ascii="宋体" w:hAnsi="宋体" w:cs="宋体"/>
          <w:color w:val="000000"/>
          <w:sz w:val="24"/>
          <w:szCs w:val="24"/>
        </w:rPr>
        <w:t>流动资金＝固定资产投资×固定资产资金率</w:t>
      </w:r>
    </w:p>
    <w:p>
      <w:pPr>
        <w:spacing w:line="360" w:lineRule="auto"/>
        <w:ind w:left="420" w:leftChars="200" w:firstLine="1440" w:firstLineChars="600"/>
        <w:rPr>
          <w:rFonts w:ascii="宋体" w:hAnsi="宋体" w:cs="宋体"/>
          <w:sz w:val="24"/>
          <w:szCs w:val="24"/>
        </w:rPr>
      </w:pPr>
      <w:r>
        <w:rPr>
          <w:rFonts w:hint="eastAsia" w:ascii="宋体" w:hAnsi="宋体" w:cs="宋体"/>
          <w:sz w:val="24"/>
          <w:szCs w:val="24"/>
        </w:rPr>
        <w:t>＝</w:t>
      </w:r>
      <w:r>
        <w:rPr>
          <w:rFonts w:ascii="宋体" w:hAnsi="宋体" w:cs="宋体"/>
          <w:sz w:val="24"/>
          <w:szCs w:val="24"/>
        </w:rPr>
        <w:t>1,511.28</w:t>
      </w:r>
      <w:r>
        <w:rPr>
          <w:rFonts w:hint="eastAsia" w:ascii="宋体" w:hAnsi="宋体" w:cs="宋体"/>
          <w:sz w:val="24"/>
          <w:szCs w:val="24"/>
        </w:rPr>
        <w:t>×</w:t>
      </w:r>
      <w:r>
        <w:rPr>
          <w:rFonts w:ascii="宋体" w:hAnsi="宋体" w:cs="宋体"/>
          <w:sz w:val="24"/>
          <w:szCs w:val="24"/>
        </w:rPr>
        <w:t>8%</w:t>
      </w:r>
    </w:p>
    <w:p>
      <w:pPr>
        <w:spacing w:line="360" w:lineRule="auto"/>
        <w:ind w:left="420" w:leftChars="200" w:firstLine="1440" w:firstLineChars="600"/>
        <w:rPr>
          <w:rFonts w:ascii="宋体" w:cs="宋体"/>
          <w:sz w:val="24"/>
          <w:szCs w:val="24"/>
        </w:rPr>
      </w:pPr>
      <w:r>
        <w:rPr>
          <w:rFonts w:hint="eastAsia" w:ascii="宋体" w:hAnsi="宋体" w:cs="宋体"/>
          <w:sz w:val="24"/>
          <w:szCs w:val="24"/>
        </w:rPr>
        <w:t>＝</w:t>
      </w:r>
      <w:r>
        <w:rPr>
          <w:rFonts w:ascii="宋体" w:hAnsi="宋体" w:cs="宋体"/>
          <w:sz w:val="24"/>
          <w:szCs w:val="24"/>
        </w:rPr>
        <w:t>120.90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hint="eastAsia" w:ascii="宋体" w:hAnsi="宋体" w:cs="宋体"/>
          <w:sz w:val="24"/>
          <w:szCs w:val="24"/>
        </w:rPr>
        <w:t>本次评估于</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月投入流动资金</w:t>
      </w:r>
      <w:r>
        <w:rPr>
          <w:rFonts w:ascii="宋体" w:hAnsi="宋体" w:cs="宋体"/>
          <w:sz w:val="24"/>
          <w:szCs w:val="24"/>
        </w:rPr>
        <w:t>120.90</w:t>
      </w:r>
      <w:r>
        <w:rPr>
          <w:rFonts w:hint="eastAsia" w:ascii="宋体" w:hAnsi="宋体" w:cs="宋体"/>
          <w:sz w:val="24"/>
          <w:szCs w:val="24"/>
        </w:rPr>
        <w:t>万元，期末一次性回收流动资金</w:t>
      </w:r>
      <w:r>
        <w:rPr>
          <w:rFonts w:ascii="宋体" w:hAnsi="宋体" w:cs="宋体"/>
          <w:sz w:val="24"/>
          <w:szCs w:val="24"/>
        </w:rPr>
        <w:t>120.90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、成本费用</w:t>
      </w:r>
    </w:p>
    <w:p>
      <w:pPr>
        <w:spacing w:line="360" w:lineRule="auto"/>
        <w:ind w:left="420" w:leftChars="200" w:firstLine="480" w:firstLineChars="200"/>
        <w:rPr>
          <w:rFonts w:ascii="宋体" w:cs="宋体"/>
          <w:sz w:val="24"/>
          <w:szCs w:val="24"/>
        </w:rPr>
      </w:pPr>
      <w:r>
        <w:rPr>
          <w:rFonts w:hint="eastAsia" w:ascii="宋体" w:hAnsi="宋体" w:cs="宋体"/>
          <w:sz w:val="24"/>
          <w:szCs w:val="24"/>
        </w:rPr>
        <w:t>本次评估成本费用采用“制造成本法”计算，矿山企业总成本费用包括制造成本、管理费用、财务费用和销售费用。</w:t>
      </w:r>
    </w:p>
    <w:p>
      <w:pPr>
        <w:tabs>
          <w:tab w:val="left" w:pos="4962"/>
        </w:tabs>
        <w:spacing w:line="360" w:lineRule="auto"/>
        <w:ind w:left="420" w:leftChars="200" w:firstLine="480" w:firstLineChars="200"/>
        <w:rPr>
          <w:rFonts w:ascii="宋体" w:cs="宋体"/>
          <w:sz w:val="24"/>
          <w:szCs w:val="24"/>
        </w:rPr>
      </w:pPr>
      <w:r>
        <w:rPr>
          <w:rFonts w:hint="eastAsia" w:ascii="宋体" w:hAnsi="宋体" w:cs="宋体"/>
          <w:sz w:val="24"/>
          <w:szCs w:val="24"/>
        </w:rPr>
        <w:t>根据《矿业权评估参数确定指导意见（</w:t>
      </w:r>
      <w:r>
        <w:rPr>
          <w:rFonts w:ascii="宋体" w:hAnsi="宋体" w:cs="宋体"/>
          <w:sz w:val="24"/>
          <w:szCs w:val="24"/>
        </w:rPr>
        <w:t>CMVS 30800-2008</w:t>
      </w:r>
      <w:r>
        <w:rPr>
          <w:rFonts w:hint="eastAsia" w:ascii="宋体" w:hAnsi="宋体" w:cs="宋体"/>
          <w:sz w:val="24"/>
          <w:szCs w:val="24"/>
        </w:rPr>
        <w:t>）》的有关规定，本次评估成本参考《开发利用方案》（设计成本为折算单位原矿成本），某些技术参数有国家、地方政府或部门行业相关规定的，遵从其规定。其中修理费、折旧费、安全费用及财务费用根据采矿权评估有关规定重新计算。</w:t>
      </w:r>
    </w:p>
    <w:p>
      <w:pPr>
        <w:autoSpaceDE w:val="0"/>
        <w:autoSpaceDN w:val="0"/>
        <w:spacing w:line="360" w:lineRule="auto"/>
        <w:ind w:left="420" w:leftChars="200" w:firstLine="480" w:firstLineChars="200"/>
        <w:jc w:val="left"/>
        <w:rPr>
          <w:rFonts w:ascii="宋体" w:cs="宋体"/>
          <w:sz w:val="24"/>
          <w:szCs w:val="24"/>
        </w:rPr>
      </w:pPr>
      <w:r>
        <w:rPr>
          <w:rFonts w:hint="eastAsia" w:ascii="宋体" w:hAnsi="宋体" w:cs="宋体"/>
          <w:sz w:val="24"/>
          <w:szCs w:val="24"/>
        </w:rPr>
        <w:t>根据《开发利用方案》总成本费用估算表，参照评估准则综合调整得出评估用单位成本表，详见表</w:t>
      </w:r>
      <w:r>
        <w:rPr>
          <w:rFonts w:ascii="宋体" w:hAnsi="宋体" w:cs="宋体"/>
          <w:sz w:val="24"/>
          <w:szCs w:val="24"/>
        </w:rPr>
        <w:t>11-2</w:t>
      </w:r>
      <w:r>
        <w:rPr>
          <w:rFonts w:hint="eastAsia" w:ascii="宋体" w:hAnsi="宋体" w:cs="宋体"/>
          <w:sz w:val="24"/>
          <w:szCs w:val="24"/>
        </w:rPr>
        <w:t>：</w:t>
      </w:r>
    </w:p>
    <w:p>
      <w:pPr>
        <w:autoSpaceDE w:val="0"/>
        <w:autoSpaceDN w:val="0"/>
        <w:spacing w:line="360" w:lineRule="auto"/>
        <w:jc w:val="right"/>
        <w:rPr>
          <w:rFonts w:ascii="宋体" w:cs="宋体"/>
          <w:sz w:val="24"/>
          <w:szCs w:val="24"/>
        </w:rPr>
      </w:pPr>
      <w:r>
        <w:rPr>
          <w:rFonts w:hint="eastAsia" w:ascii="宋体" w:hAnsi="宋体" w:cs="宋体"/>
        </w:rPr>
        <w:t>表</w:t>
      </w:r>
      <w:r>
        <w:rPr>
          <w:rFonts w:ascii="宋体" w:hAnsi="宋体" w:cs="宋体"/>
        </w:rPr>
        <w:t xml:space="preserve">11-2  </w:t>
      </w:r>
      <w:r>
        <w:rPr>
          <w:rFonts w:hint="eastAsia" w:ascii="宋体" w:hAnsi="宋体" w:cs="宋体"/>
        </w:rPr>
        <w:t>单位成本表</w:t>
      </w:r>
      <w:r>
        <w:rPr>
          <w:rFonts w:ascii="宋体" w:hAnsi="宋体" w:cs="宋体"/>
        </w:rPr>
        <w:t xml:space="preserve">               </w:t>
      </w:r>
      <w:r>
        <w:rPr>
          <w:rFonts w:hint="eastAsia" w:ascii="宋体" w:hAnsi="宋体" w:cs="宋体"/>
        </w:rPr>
        <w:t>单位：元</w:t>
      </w:r>
      <w:r>
        <w:rPr>
          <w:rFonts w:ascii="宋体" w:hAnsi="宋体" w:cs="宋体"/>
        </w:rPr>
        <w:t>/</w:t>
      </w:r>
      <w:r>
        <w:rPr>
          <w:rFonts w:hint="eastAsia" w:ascii="宋体" w:hAnsi="宋体" w:cs="宋体"/>
        </w:rPr>
        <w:t>立方米</w:t>
      </w:r>
    </w:p>
    <w:tbl>
      <w:tblPr>
        <w:tblStyle w:val="34"/>
        <w:tblW w:w="893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559"/>
        <w:gridCol w:w="99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widowControl/>
              <w:jc w:val="center"/>
              <w:rPr>
                <w:rFonts w:ascii="宋体" w:cs="宋体"/>
                <w:kern w:val="0"/>
                <w:sz w:val="18"/>
                <w:szCs w:val="18"/>
              </w:rPr>
            </w:pPr>
            <w:r>
              <w:rPr>
                <w:rFonts w:hint="eastAsia" w:ascii="宋体" w:hAnsi="宋体" w:cs="宋体"/>
                <w:kern w:val="0"/>
                <w:sz w:val="18"/>
                <w:szCs w:val="18"/>
              </w:rPr>
              <w:t>序号</w:t>
            </w:r>
          </w:p>
        </w:tc>
        <w:tc>
          <w:tcPr>
            <w:tcW w:w="2268" w:type="dxa"/>
            <w:vAlign w:val="center"/>
          </w:tcPr>
          <w:p>
            <w:pPr>
              <w:ind w:firstLine="270" w:firstLineChars="150"/>
              <w:jc w:val="left"/>
              <w:rPr>
                <w:rFonts w:ascii="宋体" w:cs="宋体"/>
                <w:kern w:val="0"/>
                <w:sz w:val="18"/>
                <w:szCs w:val="18"/>
              </w:rPr>
            </w:pPr>
            <w:r>
              <w:rPr>
                <w:rFonts w:hint="eastAsia" w:ascii="宋体" w:hAnsi="宋体" w:cs="宋体"/>
                <w:kern w:val="0"/>
                <w:sz w:val="18"/>
                <w:szCs w:val="18"/>
              </w:rPr>
              <w:t>项目名称</w:t>
            </w:r>
          </w:p>
        </w:tc>
        <w:tc>
          <w:tcPr>
            <w:tcW w:w="1559" w:type="dxa"/>
            <w:vAlign w:val="center"/>
          </w:tcPr>
          <w:p>
            <w:pPr>
              <w:widowControl/>
              <w:snapToGrid w:val="0"/>
              <w:jc w:val="center"/>
              <w:rPr>
                <w:rFonts w:ascii="宋体" w:cs="宋体"/>
                <w:kern w:val="0"/>
                <w:sz w:val="18"/>
                <w:szCs w:val="18"/>
              </w:rPr>
            </w:pPr>
            <w:r>
              <w:rPr>
                <w:rFonts w:hint="eastAsia" w:ascii="宋体" w:hAnsi="宋体" w:cs="宋体"/>
                <w:kern w:val="0"/>
                <w:sz w:val="18"/>
                <w:szCs w:val="18"/>
              </w:rPr>
              <w:t>根据《开发利用方案》</w:t>
            </w:r>
          </w:p>
        </w:tc>
        <w:tc>
          <w:tcPr>
            <w:tcW w:w="992" w:type="dxa"/>
            <w:vAlign w:val="center"/>
          </w:tcPr>
          <w:p>
            <w:pPr>
              <w:widowControl/>
              <w:snapToGrid w:val="0"/>
              <w:jc w:val="center"/>
              <w:rPr>
                <w:rFonts w:ascii="宋体" w:cs="宋体"/>
                <w:kern w:val="0"/>
                <w:sz w:val="18"/>
                <w:szCs w:val="18"/>
              </w:rPr>
            </w:pPr>
            <w:r>
              <w:rPr>
                <w:rFonts w:hint="eastAsia" w:ascii="宋体" w:hAnsi="宋体" w:cs="宋体"/>
                <w:kern w:val="0"/>
                <w:sz w:val="18"/>
                <w:szCs w:val="18"/>
              </w:rPr>
              <w:t>评估取值</w:t>
            </w:r>
          </w:p>
        </w:tc>
        <w:tc>
          <w:tcPr>
            <w:tcW w:w="3402" w:type="dxa"/>
            <w:vAlign w:val="center"/>
          </w:tcPr>
          <w:p>
            <w:pPr>
              <w:widowControl/>
              <w:jc w:val="center"/>
              <w:rPr>
                <w:rFonts w:ascii="宋体" w:cs="宋体"/>
                <w:kern w:val="0"/>
                <w:sz w:val="18"/>
                <w:szCs w:val="18"/>
              </w:rPr>
            </w:pPr>
            <w:r>
              <w:rPr>
                <w:rFonts w:hint="eastAsia" w:ascii="宋体" w:hAnsi="宋体" w:cs="宋体"/>
                <w:kern w:val="0"/>
                <w:sz w:val="18"/>
                <w:szCs w:val="18"/>
              </w:rPr>
              <w:t>备</w:t>
            </w:r>
            <w:r>
              <w:rPr>
                <w:rFonts w:ascii="宋体" w:hAnsi="宋体" w:cs="宋体"/>
                <w:kern w:val="0"/>
                <w:sz w:val="18"/>
                <w:szCs w:val="18"/>
              </w:rPr>
              <w:t xml:space="preserve">  </w:t>
            </w:r>
            <w:r>
              <w:rPr>
                <w:rFonts w:hint="eastAsia" w:ascii="宋体" w:hAnsi="宋体" w:cs="宋体"/>
                <w:kern w:val="0"/>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宋体"/>
                <w:kern w:val="0"/>
                <w:sz w:val="18"/>
                <w:szCs w:val="18"/>
              </w:rPr>
            </w:pPr>
            <w:r>
              <w:rPr>
                <w:rFonts w:hint="eastAsia" w:ascii="宋体" w:hAnsi="宋体" w:cs="宋体"/>
                <w:kern w:val="0"/>
                <w:sz w:val="18"/>
                <w:szCs w:val="18"/>
              </w:rPr>
              <w:t>一</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生产成本</w:t>
            </w:r>
          </w:p>
        </w:tc>
        <w:tc>
          <w:tcPr>
            <w:tcW w:w="1559"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 xml:space="preserve">41.20 </w:t>
            </w:r>
          </w:p>
        </w:tc>
        <w:tc>
          <w:tcPr>
            <w:tcW w:w="992" w:type="dxa"/>
            <w:shd w:val="clear" w:color="000000" w:fill="FFFFFF"/>
            <w:vAlign w:val="center"/>
          </w:tcPr>
          <w:p>
            <w:pPr>
              <w:widowControl/>
              <w:jc w:val="right"/>
              <w:rPr>
                <w:rFonts w:ascii="宋体" w:cs="宋体"/>
                <w:kern w:val="0"/>
                <w:sz w:val="18"/>
                <w:szCs w:val="18"/>
              </w:rPr>
            </w:pPr>
            <w:r>
              <w:rPr>
                <w:rFonts w:ascii="宋体" w:hAnsi="宋体" w:cs="宋体"/>
                <w:kern w:val="0"/>
                <w:sz w:val="18"/>
                <w:szCs w:val="18"/>
              </w:rPr>
              <w:t>56.41</w:t>
            </w:r>
          </w:p>
        </w:tc>
        <w:tc>
          <w:tcPr>
            <w:tcW w:w="3402" w:type="dxa"/>
            <w:shd w:val="clear" w:color="000000" w:fill="FFFFFF"/>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材料费</w:t>
            </w:r>
          </w:p>
        </w:tc>
        <w:tc>
          <w:tcPr>
            <w:tcW w:w="1559"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 xml:space="preserve">12.50 </w:t>
            </w:r>
          </w:p>
        </w:tc>
        <w:tc>
          <w:tcPr>
            <w:tcW w:w="992"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12.50</w:t>
            </w:r>
          </w:p>
        </w:tc>
        <w:tc>
          <w:tcPr>
            <w:tcW w:w="3402" w:type="dxa"/>
            <w:vAlign w:val="center"/>
          </w:tcPr>
          <w:p>
            <w:pPr>
              <w:widowControl/>
              <w:jc w:val="left"/>
              <w:rPr>
                <w:rFonts w:ascii="宋体" w:cs="宋体"/>
                <w:kern w:val="0"/>
                <w:sz w:val="18"/>
                <w:szCs w:val="18"/>
              </w:rPr>
            </w:pPr>
            <w:r>
              <w:rPr>
                <w:rFonts w:hint="eastAsia" w:ascii="宋体" w:hAnsi="宋体" w:cs="宋体"/>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燃料动力费</w:t>
            </w:r>
          </w:p>
        </w:tc>
        <w:tc>
          <w:tcPr>
            <w:tcW w:w="1559"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 xml:space="preserve">12.00 </w:t>
            </w:r>
          </w:p>
        </w:tc>
        <w:tc>
          <w:tcPr>
            <w:tcW w:w="992"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12.00</w:t>
            </w:r>
          </w:p>
        </w:tc>
        <w:tc>
          <w:tcPr>
            <w:tcW w:w="3402" w:type="dxa"/>
            <w:vAlign w:val="center"/>
          </w:tcPr>
          <w:p>
            <w:pPr>
              <w:widowControl/>
              <w:jc w:val="left"/>
              <w:rPr>
                <w:rFonts w:ascii="宋体" w:cs="宋体"/>
                <w:kern w:val="0"/>
                <w:sz w:val="18"/>
                <w:szCs w:val="18"/>
              </w:rPr>
            </w:pPr>
            <w:r>
              <w:rPr>
                <w:rFonts w:hint="eastAsia" w:ascii="宋体" w:hAnsi="宋体" w:cs="宋体"/>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职工薪酬</w:t>
            </w:r>
          </w:p>
        </w:tc>
        <w:tc>
          <w:tcPr>
            <w:tcW w:w="1559"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 xml:space="preserve">13.20 </w:t>
            </w:r>
          </w:p>
        </w:tc>
        <w:tc>
          <w:tcPr>
            <w:tcW w:w="992"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13.20</w:t>
            </w:r>
          </w:p>
        </w:tc>
        <w:tc>
          <w:tcPr>
            <w:tcW w:w="3402" w:type="dxa"/>
            <w:vAlign w:val="center"/>
          </w:tcPr>
          <w:p>
            <w:pPr>
              <w:widowControl/>
              <w:jc w:val="left"/>
              <w:rPr>
                <w:rFonts w:ascii="宋体" w:cs="宋体"/>
                <w:kern w:val="0"/>
                <w:sz w:val="18"/>
                <w:szCs w:val="18"/>
              </w:rPr>
            </w:pPr>
            <w:r>
              <w:rPr>
                <w:rFonts w:hint="eastAsia" w:ascii="宋体" w:hAnsi="宋体" w:cs="宋体"/>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修理费</w:t>
            </w:r>
          </w:p>
        </w:tc>
        <w:tc>
          <w:tcPr>
            <w:tcW w:w="1559"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 xml:space="preserve">1.50 </w:t>
            </w:r>
          </w:p>
        </w:tc>
        <w:tc>
          <w:tcPr>
            <w:tcW w:w="992"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2.49</w:t>
            </w:r>
          </w:p>
        </w:tc>
        <w:tc>
          <w:tcPr>
            <w:tcW w:w="3402" w:type="dxa"/>
            <w:vAlign w:val="center"/>
          </w:tcPr>
          <w:p>
            <w:pPr>
              <w:widowControl/>
              <w:jc w:val="left"/>
              <w:rPr>
                <w:rFonts w:ascii="宋体" w:cs="宋体"/>
                <w:kern w:val="0"/>
                <w:sz w:val="18"/>
                <w:szCs w:val="18"/>
              </w:rPr>
            </w:pPr>
            <w:r>
              <w:rPr>
                <w:rFonts w:hint="eastAsia" w:ascii="宋体" w:hAnsi="宋体" w:cs="宋体"/>
                <w:kern w:val="0"/>
                <w:sz w:val="18"/>
                <w:szCs w:val="18"/>
              </w:rPr>
              <w:t>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hAnsi="宋体" w:cs="宋体"/>
                <w:kern w:val="0"/>
                <w:sz w:val="18"/>
                <w:szCs w:val="18"/>
              </w:rPr>
            </w:pPr>
            <w:r>
              <w:rPr>
                <w:rFonts w:ascii="宋体" w:hAnsi="宋体" w:cs="宋体"/>
                <w:kern w:val="0"/>
                <w:sz w:val="18"/>
                <w:szCs w:val="18"/>
              </w:rPr>
              <w:t>5</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折旧费</w:t>
            </w:r>
          </w:p>
        </w:tc>
        <w:tc>
          <w:tcPr>
            <w:tcW w:w="1559"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1</w:t>
            </w:r>
          </w:p>
        </w:tc>
        <w:tc>
          <w:tcPr>
            <w:tcW w:w="992" w:type="dxa"/>
            <w:shd w:val="clear" w:color="000000" w:fill="FFFFFF"/>
            <w:vAlign w:val="center"/>
          </w:tcPr>
          <w:p>
            <w:pPr>
              <w:widowControl/>
              <w:jc w:val="right"/>
              <w:rPr>
                <w:rFonts w:ascii="宋体" w:cs="宋体"/>
                <w:kern w:val="0"/>
                <w:sz w:val="18"/>
                <w:szCs w:val="18"/>
              </w:rPr>
            </w:pPr>
            <w:r>
              <w:rPr>
                <w:rFonts w:ascii="宋体" w:hAnsi="宋体" w:cs="宋体"/>
                <w:kern w:val="0"/>
                <w:sz w:val="18"/>
                <w:szCs w:val="18"/>
              </w:rPr>
              <w:t>9.62</w:t>
            </w:r>
          </w:p>
        </w:tc>
        <w:tc>
          <w:tcPr>
            <w:tcW w:w="3402" w:type="dxa"/>
            <w:vAlign w:val="center"/>
          </w:tcPr>
          <w:p>
            <w:pPr>
              <w:widowControl/>
              <w:jc w:val="left"/>
              <w:rPr>
                <w:rFonts w:ascii="宋体" w:cs="宋体"/>
                <w:kern w:val="0"/>
                <w:sz w:val="18"/>
                <w:szCs w:val="18"/>
              </w:rPr>
            </w:pPr>
            <w:r>
              <w:rPr>
                <w:rFonts w:hint="eastAsia" w:ascii="宋体" w:hAnsi="宋体" w:cs="宋体"/>
                <w:kern w:val="0"/>
                <w:sz w:val="18"/>
                <w:szCs w:val="18"/>
              </w:rPr>
              <w:t>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安全费用（安全生产费用）</w:t>
            </w:r>
          </w:p>
        </w:tc>
        <w:tc>
          <w:tcPr>
            <w:tcW w:w="1559"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0</w:t>
            </w:r>
          </w:p>
        </w:tc>
        <w:tc>
          <w:tcPr>
            <w:tcW w:w="992"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5.60</w:t>
            </w:r>
          </w:p>
        </w:tc>
        <w:tc>
          <w:tcPr>
            <w:tcW w:w="3402" w:type="dxa"/>
            <w:vAlign w:val="center"/>
          </w:tcPr>
          <w:p>
            <w:pPr>
              <w:widowControl/>
              <w:snapToGrid w:val="0"/>
              <w:jc w:val="left"/>
              <w:rPr>
                <w:rFonts w:ascii="宋体" w:cs="宋体"/>
                <w:kern w:val="0"/>
                <w:sz w:val="18"/>
                <w:szCs w:val="18"/>
              </w:rPr>
            </w:pPr>
            <w:r>
              <w:rPr>
                <w:rFonts w:hint="eastAsia" w:ascii="宋体" w:hAnsi="宋体" w:cs="宋体"/>
                <w:kern w:val="0"/>
                <w:sz w:val="18"/>
                <w:szCs w:val="18"/>
              </w:rPr>
              <w:t>《关于印发</w:t>
            </w:r>
            <w:r>
              <w:rPr>
                <w:rFonts w:ascii="宋体" w:hAnsi="宋体" w:cs="宋体"/>
                <w:kern w:val="0"/>
                <w:sz w:val="18"/>
                <w:szCs w:val="18"/>
              </w:rPr>
              <w:t>&lt;</w:t>
            </w:r>
            <w:r>
              <w:rPr>
                <w:rFonts w:hint="eastAsia" w:ascii="宋体" w:hAnsi="宋体" w:cs="宋体"/>
                <w:kern w:val="0"/>
                <w:sz w:val="18"/>
                <w:szCs w:val="18"/>
              </w:rPr>
              <w:t>企业安全生产费用提取和使用管理办法</w:t>
            </w:r>
            <w:r>
              <w:rPr>
                <w:rFonts w:ascii="宋体" w:hAnsi="宋体" w:cs="宋体"/>
                <w:kern w:val="0"/>
                <w:sz w:val="18"/>
                <w:szCs w:val="18"/>
              </w:rPr>
              <w:t>&gt;</w:t>
            </w:r>
            <w:r>
              <w:rPr>
                <w:rFonts w:hint="eastAsia" w:ascii="宋体" w:hAnsi="宋体" w:cs="宋体"/>
                <w:kern w:val="0"/>
                <w:sz w:val="18"/>
                <w:szCs w:val="18"/>
              </w:rPr>
              <w:t>的通知》（财企</w:t>
            </w:r>
            <w:r>
              <w:rPr>
                <w:rFonts w:ascii="宋体" w:hAnsi="宋体" w:cs="宋体"/>
                <w:kern w:val="0"/>
                <w:sz w:val="18"/>
                <w:szCs w:val="18"/>
              </w:rPr>
              <w:t>[2012]16</w:t>
            </w:r>
            <w:r>
              <w:rPr>
                <w:rFonts w:hint="eastAsia" w:ascii="宋体" w:hAnsi="宋体" w:cs="宋体"/>
                <w:kern w:val="0"/>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其他支出</w:t>
            </w:r>
          </w:p>
        </w:tc>
        <w:tc>
          <w:tcPr>
            <w:tcW w:w="1559"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1.00</w:t>
            </w:r>
          </w:p>
        </w:tc>
        <w:tc>
          <w:tcPr>
            <w:tcW w:w="992"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1.00</w:t>
            </w:r>
          </w:p>
        </w:tc>
        <w:tc>
          <w:tcPr>
            <w:tcW w:w="3402" w:type="dxa"/>
            <w:vAlign w:val="center"/>
          </w:tcPr>
          <w:p>
            <w:pPr>
              <w:widowControl/>
              <w:snapToGrid w:val="0"/>
              <w:jc w:val="left"/>
              <w:rPr>
                <w:rFonts w:ascii="宋体" w:cs="宋体"/>
                <w:b/>
                <w:bCs/>
                <w:kern w:val="0"/>
                <w:sz w:val="18"/>
                <w:szCs w:val="18"/>
              </w:rPr>
            </w:pPr>
            <w:r>
              <w:rPr>
                <w:rFonts w:hint="eastAsia" w:ascii="宋体" w:hAnsi="宋体" w:cs="宋体"/>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宋体"/>
                <w:kern w:val="0"/>
                <w:sz w:val="18"/>
                <w:szCs w:val="18"/>
              </w:rPr>
            </w:pPr>
            <w:r>
              <w:rPr>
                <w:rFonts w:hint="eastAsia" w:ascii="宋体" w:hAnsi="宋体" w:cs="宋体"/>
                <w:kern w:val="0"/>
                <w:sz w:val="18"/>
                <w:szCs w:val="18"/>
              </w:rPr>
              <w:t>二</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管理费用</w:t>
            </w:r>
          </w:p>
        </w:tc>
        <w:tc>
          <w:tcPr>
            <w:tcW w:w="1559" w:type="dxa"/>
            <w:shd w:val="clear" w:color="000000" w:fill="FFFFFF"/>
            <w:vAlign w:val="bottom"/>
          </w:tcPr>
          <w:p>
            <w:pPr>
              <w:widowControl/>
              <w:jc w:val="right"/>
              <w:rPr>
                <w:rFonts w:ascii="宋体" w:hAnsi="宋体" w:cs="宋体"/>
                <w:kern w:val="0"/>
                <w:sz w:val="18"/>
                <w:szCs w:val="18"/>
              </w:rPr>
            </w:pPr>
            <w:r>
              <w:rPr>
                <w:rFonts w:ascii="宋体" w:hAnsi="宋体" w:cs="宋体"/>
                <w:kern w:val="0"/>
                <w:sz w:val="18"/>
                <w:szCs w:val="18"/>
              </w:rPr>
              <w:t>1.50</w:t>
            </w:r>
          </w:p>
        </w:tc>
        <w:tc>
          <w:tcPr>
            <w:tcW w:w="992" w:type="dxa"/>
            <w:shd w:val="clear" w:color="000000" w:fill="FFFFFF"/>
            <w:vAlign w:val="center"/>
          </w:tcPr>
          <w:p>
            <w:pPr>
              <w:widowControl/>
              <w:jc w:val="right"/>
              <w:rPr>
                <w:rFonts w:ascii="宋体" w:cs="宋体"/>
                <w:kern w:val="0"/>
                <w:sz w:val="18"/>
                <w:szCs w:val="18"/>
              </w:rPr>
            </w:pPr>
            <w:r>
              <w:rPr>
                <w:rFonts w:ascii="宋体" w:hAnsi="宋体" w:cs="宋体"/>
                <w:kern w:val="0"/>
                <w:sz w:val="18"/>
                <w:szCs w:val="18"/>
              </w:rPr>
              <w:t>11.25</w:t>
            </w:r>
          </w:p>
        </w:tc>
        <w:tc>
          <w:tcPr>
            <w:tcW w:w="3402" w:type="dxa"/>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折旧费</w:t>
            </w:r>
          </w:p>
        </w:tc>
        <w:tc>
          <w:tcPr>
            <w:tcW w:w="1559"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0</w:t>
            </w:r>
          </w:p>
        </w:tc>
        <w:tc>
          <w:tcPr>
            <w:tcW w:w="992"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0</w:t>
            </w:r>
          </w:p>
        </w:tc>
        <w:tc>
          <w:tcPr>
            <w:tcW w:w="3402" w:type="dxa"/>
            <w:vAlign w:val="center"/>
          </w:tcPr>
          <w:p>
            <w:pPr>
              <w:widowControl/>
              <w:jc w:val="left"/>
              <w:rPr>
                <w:rFonts w:ascii="宋体" w:cs="宋体"/>
                <w:kern w:val="0"/>
                <w:sz w:val="18"/>
                <w:szCs w:val="18"/>
              </w:rPr>
            </w:pPr>
            <w:r>
              <w:rPr>
                <w:rFonts w:hint="eastAsia" w:ascii="宋体" w:hAnsi="宋体" w:cs="宋体"/>
                <w:kern w:val="0"/>
                <w:sz w:val="18"/>
                <w:szCs w:val="18"/>
              </w:rPr>
              <w:t>不参与评估计算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宋体"/>
                <w:kern w:val="0"/>
                <w:sz w:val="18"/>
                <w:szCs w:val="18"/>
              </w:rPr>
            </w:pPr>
            <w:r>
              <w:rPr>
                <w:rFonts w:ascii="宋体" w:hAnsi="宋体" w:cs="宋体"/>
                <w:kern w:val="0"/>
                <w:sz w:val="18"/>
                <w:szCs w:val="18"/>
              </w:rPr>
              <w:t>2</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摊销费</w:t>
            </w:r>
          </w:p>
        </w:tc>
        <w:tc>
          <w:tcPr>
            <w:tcW w:w="1559" w:type="dxa"/>
            <w:shd w:val="clear" w:color="000000" w:fill="FFFFFF"/>
            <w:vAlign w:val="center"/>
          </w:tcPr>
          <w:p>
            <w:pPr>
              <w:widowControl/>
              <w:jc w:val="right"/>
              <w:rPr>
                <w:rFonts w:ascii="宋体" w:cs="宋体"/>
                <w:kern w:val="0"/>
                <w:sz w:val="18"/>
                <w:szCs w:val="18"/>
              </w:rPr>
            </w:pPr>
            <w:r>
              <w:rPr>
                <w:rFonts w:ascii="宋体" w:hAnsi="宋体" w:cs="宋体"/>
                <w:kern w:val="0"/>
                <w:sz w:val="18"/>
                <w:szCs w:val="18"/>
              </w:rPr>
              <w:t>0</w:t>
            </w:r>
          </w:p>
        </w:tc>
        <w:tc>
          <w:tcPr>
            <w:tcW w:w="992" w:type="dxa"/>
            <w:shd w:val="clear" w:color="000000" w:fill="FFFFFF"/>
            <w:vAlign w:val="center"/>
          </w:tcPr>
          <w:p>
            <w:pPr>
              <w:widowControl/>
              <w:jc w:val="right"/>
              <w:rPr>
                <w:rFonts w:ascii="宋体" w:cs="宋体"/>
                <w:kern w:val="0"/>
                <w:sz w:val="18"/>
                <w:szCs w:val="18"/>
              </w:rPr>
            </w:pPr>
            <w:r>
              <w:rPr>
                <w:rFonts w:ascii="宋体" w:hAnsi="宋体" w:cs="宋体"/>
                <w:kern w:val="0"/>
                <w:sz w:val="18"/>
                <w:szCs w:val="18"/>
              </w:rPr>
              <w:t>9.75</w:t>
            </w:r>
          </w:p>
        </w:tc>
        <w:tc>
          <w:tcPr>
            <w:tcW w:w="3402" w:type="dxa"/>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宋体"/>
                <w:kern w:val="0"/>
                <w:sz w:val="18"/>
                <w:szCs w:val="18"/>
              </w:rPr>
            </w:pPr>
            <w:r>
              <w:rPr>
                <w:rFonts w:ascii="宋体" w:hAnsi="宋体" w:cs="宋体"/>
                <w:kern w:val="0"/>
                <w:sz w:val="18"/>
                <w:szCs w:val="18"/>
              </w:rPr>
              <w:t>3</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其他管理费用</w:t>
            </w:r>
          </w:p>
        </w:tc>
        <w:tc>
          <w:tcPr>
            <w:tcW w:w="1559" w:type="dxa"/>
            <w:shd w:val="clear" w:color="000000" w:fill="FFFFFF"/>
            <w:vAlign w:val="center"/>
          </w:tcPr>
          <w:p>
            <w:pPr>
              <w:widowControl/>
              <w:jc w:val="right"/>
              <w:rPr>
                <w:rFonts w:ascii="宋体" w:cs="宋体"/>
                <w:kern w:val="0"/>
                <w:sz w:val="18"/>
                <w:szCs w:val="18"/>
              </w:rPr>
            </w:pPr>
            <w:r>
              <w:rPr>
                <w:rFonts w:ascii="宋体" w:hAnsi="宋体" w:cs="宋体"/>
                <w:kern w:val="0"/>
                <w:sz w:val="18"/>
                <w:szCs w:val="18"/>
              </w:rPr>
              <w:t>1.50</w:t>
            </w:r>
            <w:r>
              <w:rPr>
                <w:rFonts w:hint="eastAsia" w:ascii="宋体" w:hAnsi="宋体" w:cs="宋体"/>
                <w:kern w:val="0"/>
                <w:sz w:val="18"/>
                <w:szCs w:val="18"/>
              </w:rPr>
              <w:t>　</w:t>
            </w:r>
          </w:p>
        </w:tc>
        <w:tc>
          <w:tcPr>
            <w:tcW w:w="992"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1.50</w:t>
            </w:r>
          </w:p>
        </w:tc>
        <w:tc>
          <w:tcPr>
            <w:tcW w:w="3402" w:type="dxa"/>
            <w:vAlign w:val="center"/>
          </w:tcPr>
          <w:p>
            <w:pPr>
              <w:widowControl/>
              <w:jc w:val="left"/>
              <w:rPr>
                <w:rFonts w:ascii="宋体" w:cs="宋体"/>
                <w:kern w:val="0"/>
                <w:sz w:val="18"/>
                <w:szCs w:val="18"/>
              </w:rPr>
            </w:pPr>
            <w:r>
              <w:rPr>
                <w:rFonts w:hint="eastAsia" w:ascii="宋体" w:hAnsi="宋体" w:cs="宋体"/>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宋体"/>
                <w:kern w:val="0"/>
                <w:sz w:val="18"/>
                <w:szCs w:val="18"/>
              </w:rPr>
            </w:pPr>
            <w:r>
              <w:rPr>
                <w:rFonts w:hint="eastAsia" w:ascii="宋体" w:hAnsi="宋体" w:cs="宋体"/>
                <w:kern w:val="0"/>
                <w:sz w:val="18"/>
                <w:szCs w:val="18"/>
              </w:rPr>
              <w:t>三</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销售费用</w:t>
            </w:r>
          </w:p>
        </w:tc>
        <w:tc>
          <w:tcPr>
            <w:tcW w:w="1559" w:type="dxa"/>
            <w:shd w:val="clear" w:color="000000" w:fill="FFFFFF"/>
            <w:vAlign w:val="center"/>
          </w:tcPr>
          <w:p>
            <w:pPr>
              <w:widowControl/>
              <w:jc w:val="right"/>
              <w:rPr>
                <w:rFonts w:ascii="宋体" w:cs="宋体"/>
                <w:kern w:val="0"/>
                <w:sz w:val="18"/>
                <w:szCs w:val="18"/>
              </w:rPr>
            </w:pPr>
            <w:r>
              <w:rPr>
                <w:rFonts w:ascii="宋体" w:hAnsi="宋体" w:cs="宋体"/>
                <w:kern w:val="0"/>
                <w:sz w:val="18"/>
                <w:szCs w:val="18"/>
              </w:rPr>
              <w:t>1.50</w:t>
            </w:r>
            <w:r>
              <w:rPr>
                <w:rFonts w:hint="eastAsia" w:ascii="宋体" w:hAnsi="宋体" w:cs="宋体"/>
                <w:kern w:val="0"/>
                <w:sz w:val="18"/>
                <w:szCs w:val="18"/>
              </w:rPr>
              <w:t>　</w:t>
            </w:r>
          </w:p>
        </w:tc>
        <w:tc>
          <w:tcPr>
            <w:tcW w:w="992" w:type="dxa"/>
            <w:shd w:val="clear" w:color="000000" w:fill="FFFFFF"/>
            <w:vAlign w:val="center"/>
          </w:tcPr>
          <w:p>
            <w:pPr>
              <w:widowControl/>
              <w:jc w:val="right"/>
              <w:rPr>
                <w:rFonts w:ascii="宋体" w:hAnsi="宋体" w:cs="宋体"/>
                <w:kern w:val="0"/>
                <w:sz w:val="18"/>
                <w:szCs w:val="18"/>
              </w:rPr>
            </w:pPr>
            <w:r>
              <w:rPr>
                <w:rFonts w:ascii="宋体" w:hAnsi="宋体" w:cs="宋体"/>
                <w:kern w:val="0"/>
                <w:sz w:val="18"/>
                <w:szCs w:val="18"/>
              </w:rPr>
              <w:t>1.50</w:t>
            </w:r>
          </w:p>
        </w:tc>
        <w:tc>
          <w:tcPr>
            <w:tcW w:w="3402" w:type="dxa"/>
            <w:vAlign w:val="center"/>
          </w:tcPr>
          <w:p>
            <w:pPr>
              <w:widowControl/>
              <w:jc w:val="left"/>
              <w:rPr>
                <w:rFonts w:ascii="宋体" w:cs="宋体"/>
                <w:kern w:val="0"/>
                <w:sz w:val="18"/>
                <w:szCs w:val="18"/>
              </w:rPr>
            </w:pPr>
            <w:r>
              <w:rPr>
                <w:rFonts w:hint="eastAsia" w:ascii="宋体" w:hAnsi="宋体" w:cs="宋体"/>
                <w:kern w:val="0"/>
                <w:sz w:val="18"/>
                <w:szCs w:val="18"/>
              </w:rPr>
              <w:t>根据《开发利用方案》取值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宋体"/>
                <w:kern w:val="0"/>
                <w:sz w:val="18"/>
                <w:szCs w:val="18"/>
              </w:rPr>
            </w:pPr>
            <w:r>
              <w:rPr>
                <w:rFonts w:hint="eastAsia" w:ascii="宋体" w:hAnsi="宋体" w:cs="宋体"/>
                <w:kern w:val="0"/>
                <w:sz w:val="18"/>
                <w:szCs w:val="18"/>
              </w:rPr>
              <w:t>四</w:t>
            </w:r>
          </w:p>
        </w:tc>
        <w:tc>
          <w:tcPr>
            <w:tcW w:w="2268" w:type="dxa"/>
            <w:vAlign w:val="center"/>
          </w:tcPr>
          <w:p>
            <w:pPr>
              <w:widowControl/>
              <w:jc w:val="left"/>
              <w:rPr>
                <w:rFonts w:ascii="宋体" w:cs="宋体"/>
                <w:kern w:val="0"/>
                <w:sz w:val="18"/>
                <w:szCs w:val="18"/>
              </w:rPr>
            </w:pPr>
            <w:r>
              <w:rPr>
                <w:rFonts w:hint="eastAsia" w:ascii="宋体" w:hAnsi="宋体" w:cs="宋体"/>
                <w:kern w:val="0"/>
                <w:sz w:val="18"/>
                <w:szCs w:val="18"/>
              </w:rPr>
              <w:t>财务费用</w:t>
            </w:r>
          </w:p>
        </w:tc>
        <w:tc>
          <w:tcPr>
            <w:tcW w:w="1559" w:type="dxa"/>
            <w:shd w:val="clear" w:color="000000" w:fill="FFFFFF"/>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992" w:type="dxa"/>
            <w:shd w:val="clear" w:color="000000" w:fill="FFFFFF"/>
            <w:vAlign w:val="center"/>
          </w:tcPr>
          <w:p>
            <w:pPr>
              <w:widowControl/>
              <w:jc w:val="right"/>
              <w:rPr>
                <w:rFonts w:ascii="宋体" w:cs="宋体"/>
                <w:kern w:val="0"/>
                <w:sz w:val="18"/>
                <w:szCs w:val="18"/>
              </w:rPr>
            </w:pPr>
            <w:r>
              <w:rPr>
                <w:rFonts w:ascii="宋体" w:hAnsi="宋体" w:cs="宋体"/>
                <w:kern w:val="0"/>
                <w:sz w:val="18"/>
                <w:szCs w:val="18"/>
              </w:rPr>
              <w:t>0.37</w:t>
            </w:r>
          </w:p>
        </w:tc>
        <w:tc>
          <w:tcPr>
            <w:tcW w:w="3402" w:type="dxa"/>
            <w:vAlign w:val="center"/>
          </w:tcPr>
          <w:p>
            <w:pPr>
              <w:widowControl/>
              <w:jc w:val="left"/>
              <w:rPr>
                <w:rFonts w:ascii="宋体" w:cs="宋体"/>
                <w:kern w:val="0"/>
                <w:sz w:val="18"/>
                <w:szCs w:val="18"/>
              </w:rPr>
            </w:pPr>
            <w:r>
              <w:rPr>
                <w:rFonts w:hint="eastAsia" w:ascii="宋体" w:hAnsi="宋体" w:cs="宋体"/>
                <w:kern w:val="0"/>
                <w:sz w:val="18"/>
                <w:szCs w:val="18"/>
              </w:rPr>
              <w:t>流动资金</w:t>
            </w:r>
            <w:r>
              <w:rPr>
                <w:rFonts w:ascii="宋体" w:hAnsi="宋体" w:cs="宋体"/>
                <w:kern w:val="0"/>
                <w:sz w:val="18"/>
                <w:szCs w:val="18"/>
              </w:rPr>
              <w:t>70%</w:t>
            </w:r>
            <w:r>
              <w:rPr>
                <w:rFonts w:hint="eastAsia" w:ascii="宋体" w:hAnsi="宋体" w:cs="宋体"/>
                <w:kern w:val="0"/>
                <w:sz w:val="18"/>
                <w:szCs w:val="18"/>
              </w:rPr>
              <w:t>借款利息，重新计算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宋体"/>
                <w:kern w:val="0"/>
                <w:sz w:val="18"/>
                <w:szCs w:val="18"/>
              </w:rPr>
            </w:pPr>
            <w:r>
              <w:rPr>
                <w:rFonts w:hint="eastAsia" w:ascii="宋体" w:hAnsi="宋体" w:cs="宋体"/>
                <w:kern w:val="0"/>
                <w:sz w:val="18"/>
                <w:szCs w:val="18"/>
              </w:rPr>
              <w:t>五</w:t>
            </w:r>
          </w:p>
        </w:tc>
        <w:tc>
          <w:tcPr>
            <w:tcW w:w="2268" w:type="dxa"/>
            <w:vAlign w:val="center"/>
          </w:tcPr>
          <w:p>
            <w:pPr>
              <w:widowControl/>
              <w:jc w:val="left"/>
              <w:rPr>
                <w:rFonts w:ascii="宋体" w:cs="宋体"/>
                <w:b/>
                <w:bCs/>
                <w:kern w:val="0"/>
                <w:sz w:val="18"/>
                <w:szCs w:val="18"/>
              </w:rPr>
            </w:pPr>
            <w:r>
              <w:rPr>
                <w:rFonts w:hint="eastAsia" w:ascii="宋体" w:hAnsi="宋体" w:cs="宋体"/>
                <w:b/>
                <w:bCs/>
                <w:kern w:val="0"/>
                <w:sz w:val="18"/>
                <w:szCs w:val="18"/>
              </w:rPr>
              <w:t>总成本费用</w:t>
            </w:r>
          </w:p>
        </w:tc>
        <w:tc>
          <w:tcPr>
            <w:tcW w:w="1559" w:type="dxa"/>
            <w:shd w:val="clear" w:color="000000" w:fill="FFFFFF"/>
            <w:vAlign w:val="center"/>
          </w:tcPr>
          <w:p>
            <w:pPr>
              <w:widowControl/>
              <w:jc w:val="right"/>
              <w:rPr>
                <w:rFonts w:ascii="宋体" w:hAnsi="宋体" w:cs="宋体"/>
                <w:b/>
                <w:bCs/>
                <w:kern w:val="0"/>
                <w:sz w:val="18"/>
                <w:szCs w:val="18"/>
              </w:rPr>
            </w:pPr>
            <w:r>
              <w:rPr>
                <w:rFonts w:ascii="宋体" w:hAnsi="宋体" w:cs="宋体"/>
                <w:b/>
                <w:bCs/>
                <w:kern w:val="0"/>
                <w:sz w:val="18"/>
                <w:szCs w:val="18"/>
              </w:rPr>
              <w:t>44.20</w:t>
            </w:r>
          </w:p>
        </w:tc>
        <w:tc>
          <w:tcPr>
            <w:tcW w:w="992" w:type="dxa"/>
            <w:shd w:val="clear" w:color="000000" w:fill="FFFFFF"/>
            <w:vAlign w:val="center"/>
          </w:tcPr>
          <w:p>
            <w:pPr>
              <w:widowControl/>
              <w:jc w:val="right"/>
              <w:rPr>
                <w:rFonts w:ascii="宋体" w:cs="宋体"/>
                <w:b/>
                <w:bCs/>
                <w:kern w:val="0"/>
                <w:sz w:val="18"/>
                <w:szCs w:val="18"/>
              </w:rPr>
            </w:pPr>
            <w:r>
              <w:rPr>
                <w:rFonts w:ascii="宋体" w:hAnsi="宋体" w:cs="宋体"/>
                <w:b/>
                <w:bCs/>
                <w:kern w:val="0"/>
                <w:sz w:val="18"/>
                <w:szCs w:val="18"/>
              </w:rPr>
              <w:t>69.53</w:t>
            </w:r>
          </w:p>
        </w:tc>
        <w:tc>
          <w:tcPr>
            <w:tcW w:w="3402" w:type="dxa"/>
            <w:vAlign w:val="center"/>
          </w:tcPr>
          <w:p>
            <w:pPr>
              <w:widowControl/>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9" w:type="dxa"/>
            <w:vAlign w:val="center"/>
          </w:tcPr>
          <w:p>
            <w:pPr>
              <w:widowControl/>
              <w:jc w:val="center"/>
              <w:rPr>
                <w:rFonts w:ascii="宋体" w:cs="宋体"/>
                <w:kern w:val="0"/>
                <w:sz w:val="18"/>
                <w:szCs w:val="18"/>
              </w:rPr>
            </w:pPr>
            <w:r>
              <w:rPr>
                <w:rFonts w:hint="eastAsia" w:ascii="宋体" w:hAnsi="宋体" w:cs="宋体"/>
                <w:kern w:val="0"/>
                <w:sz w:val="18"/>
                <w:szCs w:val="18"/>
              </w:rPr>
              <w:t>六</w:t>
            </w:r>
          </w:p>
        </w:tc>
        <w:tc>
          <w:tcPr>
            <w:tcW w:w="2268" w:type="dxa"/>
            <w:vAlign w:val="center"/>
          </w:tcPr>
          <w:p>
            <w:pPr>
              <w:widowControl/>
              <w:jc w:val="left"/>
              <w:rPr>
                <w:rFonts w:ascii="宋体" w:cs="宋体"/>
                <w:b/>
                <w:bCs/>
                <w:kern w:val="0"/>
                <w:sz w:val="18"/>
                <w:szCs w:val="18"/>
              </w:rPr>
            </w:pPr>
            <w:r>
              <w:rPr>
                <w:rFonts w:hint="eastAsia" w:ascii="宋体" w:hAnsi="宋体" w:cs="宋体"/>
                <w:b/>
                <w:bCs/>
                <w:kern w:val="0"/>
                <w:sz w:val="18"/>
                <w:szCs w:val="18"/>
              </w:rPr>
              <w:t>经营成本</w:t>
            </w:r>
          </w:p>
        </w:tc>
        <w:tc>
          <w:tcPr>
            <w:tcW w:w="1559" w:type="dxa"/>
            <w:vAlign w:val="center"/>
          </w:tcPr>
          <w:p>
            <w:pPr>
              <w:widowControl/>
              <w:jc w:val="right"/>
              <w:rPr>
                <w:rFonts w:ascii="宋体" w:cs="宋体"/>
                <w:b/>
                <w:bCs/>
                <w:kern w:val="0"/>
                <w:sz w:val="18"/>
                <w:szCs w:val="18"/>
              </w:rPr>
            </w:pPr>
            <w:r>
              <w:rPr>
                <w:rFonts w:hint="eastAsia" w:ascii="宋体" w:hAnsi="宋体" w:cs="宋体"/>
                <w:b/>
                <w:bCs/>
                <w:kern w:val="0"/>
                <w:sz w:val="18"/>
                <w:szCs w:val="18"/>
              </w:rPr>
              <w:t>　</w:t>
            </w:r>
          </w:p>
        </w:tc>
        <w:tc>
          <w:tcPr>
            <w:tcW w:w="992" w:type="dxa"/>
            <w:vAlign w:val="center"/>
          </w:tcPr>
          <w:p>
            <w:pPr>
              <w:widowControl/>
              <w:jc w:val="right"/>
              <w:rPr>
                <w:rFonts w:ascii="宋体" w:hAnsi="宋体" w:cs="宋体"/>
                <w:b/>
                <w:bCs/>
                <w:kern w:val="0"/>
                <w:sz w:val="18"/>
                <w:szCs w:val="18"/>
              </w:rPr>
            </w:pPr>
            <w:r>
              <w:rPr>
                <w:rFonts w:ascii="宋体" w:hAnsi="宋体" w:cs="宋体"/>
                <w:b/>
                <w:bCs/>
                <w:kern w:val="0"/>
                <w:sz w:val="18"/>
                <w:szCs w:val="18"/>
              </w:rPr>
              <w:t>49.79</w:t>
            </w:r>
          </w:p>
        </w:tc>
        <w:tc>
          <w:tcPr>
            <w:tcW w:w="3402" w:type="dxa"/>
            <w:vAlign w:val="center"/>
          </w:tcPr>
          <w:p>
            <w:pPr>
              <w:widowControl/>
              <w:jc w:val="left"/>
              <w:rPr>
                <w:rFonts w:ascii="宋体" w:cs="宋体"/>
                <w:kern w:val="0"/>
                <w:sz w:val="18"/>
                <w:szCs w:val="18"/>
              </w:rPr>
            </w:pPr>
          </w:p>
        </w:tc>
      </w:tr>
    </w:tbl>
    <w:p>
      <w:pPr>
        <w:snapToGrid w:val="0"/>
        <w:spacing w:beforeLines="50" w:line="360" w:lineRule="auto"/>
        <w:ind w:left="420" w:leftChars="200"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）生产成本</w:t>
      </w:r>
    </w:p>
    <w:p>
      <w:pPr>
        <w:spacing w:line="360" w:lineRule="auto"/>
        <w:ind w:left="420" w:leftChars="200"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）材料费</w:t>
      </w:r>
    </w:p>
    <w:p>
      <w:pPr>
        <w:spacing w:line="360" w:lineRule="auto"/>
        <w:ind w:left="420" w:leftChars="200" w:firstLine="480" w:firstLineChars="200"/>
        <w:rPr>
          <w:rFonts w:ascii="宋体" w:cs="宋体"/>
          <w:sz w:val="24"/>
          <w:szCs w:val="24"/>
        </w:rPr>
      </w:pPr>
      <w:r>
        <w:rPr>
          <w:rFonts w:hint="eastAsia" w:ascii="宋体" w:hAnsi="宋体" w:cs="宋体"/>
          <w:sz w:val="24"/>
          <w:szCs w:val="24"/>
        </w:rPr>
        <w:t>根据《开发利用方案》，材料费不含税单位成本</w:t>
      </w:r>
      <w:r>
        <w:rPr>
          <w:rFonts w:ascii="宋体" w:hAnsi="宋体" w:cs="宋体"/>
          <w:sz w:val="24"/>
          <w:szCs w:val="24"/>
        </w:rPr>
        <w:t>12.50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立方米。本次评估据此确定不含税单位材料费为</w:t>
      </w:r>
      <w:r>
        <w:rPr>
          <w:rFonts w:ascii="宋体" w:hAnsi="宋体" w:cs="宋体"/>
          <w:sz w:val="24"/>
          <w:szCs w:val="24"/>
        </w:rPr>
        <w:t>12.50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hAnsi="宋体" w:cs="宋体"/>
          <w:sz w:val="24"/>
          <w:szCs w:val="24"/>
        </w:rPr>
      </w:pPr>
      <w:r>
        <w:rPr>
          <w:rFonts w:hint="eastAsia" w:ascii="宋体" w:hAnsi="宋体" w:cs="宋体"/>
          <w:sz w:val="24"/>
          <w:szCs w:val="24"/>
        </w:rPr>
        <w:t>正常生产年份材料费＝年原矿产量×单位材料费</w:t>
      </w:r>
      <w:r>
        <w:rPr>
          <w:rFonts w:ascii="宋体" w:hAnsi="宋体" w:cs="宋体"/>
          <w:sz w:val="24"/>
          <w:szCs w:val="24"/>
        </w:rPr>
        <w:t xml:space="preserve"> </w:t>
      </w:r>
    </w:p>
    <w:p>
      <w:pPr>
        <w:spacing w:line="360" w:lineRule="auto"/>
        <w:ind w:left="420" w:leftChars="200" w:firstLine="480" w:firstLineChars="20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12.50</w:t>
      </w:r>
    </w:p>
    <w:p>
      <w:pPr>
        <w:spacing w:line="360" w:lineRule="auto"/>
        <w:ind w:left="420" w:leftChars="200" w:firstLine="2640" w:firstLineChars="1100"/>
        <w:rPr>
          <w:rFonts w:ascii="宋体" w:cs="宋体"/>
          <w:sz w:val="24"/>
          <w:szCs w:val="24"/>
        </w:rPr>
      </w:pPr>
      <w:r>
        <w:rPr>
          <w:rFonts w:hint="eastAsia" w:ascii="宋体" w:hAnsi="宋体" w:cs="宋体"/>
          <w:sz w:val="24"/>
          <w:szCs w:val="24"/>
        </w:rPr>
        <w:t>＝</w:t>
      </w:r>
      <w:r>
        <w:rPr>
          <w:rFonts w:ascii="宋体" w:hAnsi="宋体" w:cs="宋体"/>
          <w:sz w:val="24"/>
          <w:szCs w:val="24"/>
        </w:rPr>
        <w:t>125.00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）燃料动力费</w:t>
      </w:r>
    </w:p>
    <w:p>
      <w:pPr>
        <w:spacing w:line="360" w:lineRule="auto"/>
        <w:ind w:left="420" w:leftChars="200" w:firstLine="480" w:firstLineChars="200"/>
        <w:rPr>
          <w:rFonts w:ascii="宋体" w:cs="宋体"/>
          <w:sz w:val="24"/>
          <w:szCs w:val="24"/>
        </w:rPr>
      </w:pPr>
      <w:r>
        <w:rPr>
          <w:rFonts w:hint="eastAsia" w:ascii="宋体" w:hAnsi="宋体" w:cs="宋体"/>
          <w:sz w:val="24"/>
          <w:szCs w:val="24"/>
        </w:rPr>
        <w:t>根据《开发利用方案》，燃料动力费不含税单位成本</w:t>
      </w:r>
      <w:r>
        <w:rPr>
          <w:rFonts w:ascii="宋体" w:hAnsi="宋体" w:cs="宋体"/>
          <w:sz w:val="24"/>
          <w:szCs w:val="24"/>
        </w:rPr>
        <w:t>12.00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立方米。本次评估据此确定不含税单位燃料动力费为</w:t>
      </w:r>
      <w:r>
        <w:rPr>
          <w:rFonts w:ascii="宋体" w:hAnsi="宋体" w:cs="宋体"/>
          <w:sz w:val="24"/>
          <w:szCs w:val="24"/>
        </w:rPr>
        <w:t>12.00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cs="宋体"/>
          <w:sz w:val="24"/>
          <w:szCs w:val="24"/>
        </w:rPr>
      </w:pPr>
      <w:r>
        <w:rPr>
          <w:rFonts w:hint="eastAsia" w:ascii="宋体" w:hAnsi="宋体" w:cs="宋体"/>
          <w:sz w:val="24"/>
          <w:szCs w:val="24"/>
        </w:rPr>
        <w:t>正常生产年份燃料动力费＝年原矿产量×单位燃料动力费</w:t>
      </w:r>
    </w:p>
    <w:p>
      <w:pPr>
        <w:spacing w:line="360" w:lineRule="auto"/>
        <w:ind w:left="420" w:leftChars="200" w:firstLine="480" w:firstLineChars="20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12.00</w:t>
      </w:r>
    </w:p>
    <w:p>
      <w:pPr>
        <w:spacing w:line="360" w:lineRule="auto"/>
        <w:ind w:left="420" w:leftChars="200" w:firstLine="3120" w:firstLineChars="1300"/>
        <w:rPr>
          <w:rFonts w:ascii="宋体" w:cs="宋体"/>
          <w:sz w:val="24"/>
          <w:szCs w:val="24"/>
        </w:rPr>
      </w:pPr>
      <w:r>
        <w:rPr>
          <w:rFonts w:hint="eastAsia" w:ascii="宋体" w:hAnsi="宋体" w:cs="宋体"/>
          <w:sz w:val="24"/>
          <w:szCs w:val="24"/>
        </w:rPr>
        <w:t>＝</w:t>
      </w:r>
      <w:r>
        <w:rPr>
          <w:rFonts w:ascii="宋体" w:hAnsi="宋体" w:cs="宋体"/>
          <w:sz w:val="24"/>
          <w:szCs w:val="24"/>
        </w:rPr>
        <w:t>120.00</w:t>
      </w:r>
      <w:r>
        <w:rPr>
          <w:rFonts w:hint="eastAsia" w:ascii="宋体" w:hAnsi="宋体" w:cs="宋体"/>
          <w:sz w:val="24"/>
          <w:szCs w:val="24"/>
        </w:rPr>
        <w:t>万元</w:t>
      </w:r>
    </w:p>
    <w:p>
      <w:pPr>
        <w:spacing w:line="360" w:lineRule="auto"/>
        <w:ind w:left="420" w:leftChars="200"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）职工薪酬</w:t>
      </w:r>
      <w:r>
        <w:rPr>
          <w:rFonts w:ascii="宋体" w:hAnsi="宋体" w:cs="宋体"/>
          <w:sz w:val="24"/>
          <w:szCs w:val="24"/>
        </w:rPr>
        <w:t xml:space="preserve"> </w:t>
      </w:r>
    </w:p>
    <w:p>
      <w:pPr>
        <w:spacing w:line="360" w:lineRule="auto"/>
        <w:ind w:left="420" w:leftChars="200" w:firstLine="480" w:firstLineChars="200"/>
        <w:rPr>
          <w:rFonts w:ascii="宋体" w:hAnsi="宋体" w:cs="宋体"/>
          <w:sz w:val="24"/>
          <w:szCs w:val="24"/>
        </w:rPr>
      </w:pPr>
      <w:r>
        <w:rPr>
          <w:rFonts w:hint="eastAsia" w:ascii="宋体" w:hAnsi="宋体" w:cs="宋体"/>
          <w:sz w:val="24"/>
          <w:szCs w:val="24"/>
        </w:rPr>
        <w:t>根据《开发利用方案》，职工薪酬单位成本</w:t>
      </w:r>
      <w:r>
        <w:rPr>
          <w:rFonts w:ascii="宋体" w:hAnsi="宋体" w:cs="宋体"/>
          <w:sz w:val="24"/>
          <w:szCs w:val="24"/>
        </w:rPr>
        <w:t>13.20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立方米。本次评估据此确定单位职工薪酬为</w:t>
      </w:r>
      <w:r>
        <w:rPr>
          <w:rFonts w:ascii="宋体" w:hAnsi="宋体" w:cs="宋体"/>
          <w:sz w:val="24"/>
          <w:szCs w:val="24"/>
        </w:rPr>
        <w:t>13.20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r>
        <w:rPr>
          <w:rFonts w:ascii="宋体" w:hAnsi="宋体" w:cs="宋体"/>
          <w:sz w:val="24"/>
          <w:szCs w:val="24"/>
        </w:rPr>
        <w:t xml:space="preserve"> </w:t>
      </w:r>
    </w:p>
    <w:p>
      <w:pPr>
        <w:spacing w:line="360" w:lineRule="auto"/>
        <w:ind w:left="420" w:leftChars="200" w:firstLine="480" w:firstLineChars="200"/>
        <w:rPr>
          <w:rFonts w:ascii="宋体" w:hAnsi="宋体" w:cs="宋体"/>
          <w:sz w:val="24"/>
          <w:szCs w:val="24"/>
        </w:rPr>
      </w:pPr>
      <w:r>
        <w:rPr>
          <w:rFonts w:hint="eastAsia" w:ascii="宋体" w:hAnsi="宋体" w:cs="宋体"/>
          <w:sz w:val="24"/>
          <w:szCs w:val="24"/>
        </w:rPr>
        <w:t>正常生产年份职工薪酬＝年原矿产量×单位职工薪酬</w:t>
      </w:r>
      <w:r>
        <w:rPr>
          <w:rFonts w:ascii="宋体" w:hAnsi="宋体" w:cs="宋体"/>
          <w:sz w:val="24"/>
          <w:szCs w:val="24"/>
        </w:rPr>
        <w:t xml:space="preserve"> </w:t>
      </w:r>
    </w:p>
    <w:p>
      <w:pPr>
        <w:spacing w:line="360" w:lineRule="auto"/>
        <w:ind w:left="420" w:leftChars="200" w:firstLine="480" w:firstLineChars="20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13.20</w:t>
      </w:r>
    </w:p>
    <w:p>
      <w:pPr>
        <w:spacing w:line="360" w:lineRule="auto"/>
        <w:ind w:left="420" w:leftChars="200" w:firstLine="480" w:firstLineChars="200"/>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132.00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）折旧费</w:t>
      </w:r>
    </w:p>
    <w:p>
      <w:pPr>
        <w:spacing w:line="360" w:lineRule="auto"/>
        <w:ind w:left="420" w:leftChars="200" w:firstLine="480" w:firstLineChars="200"/>
        <w:rPr>
          <w:rFonts w:ascii="宋体" w:cs="宋体"/>
          <w:sz w:val="24"/>
          <w:szCs w:val="24"/>
        </w:rPr>
      </w:pPr>
      <w:r>
        <w:rPr>
          <w:rFonts w:hint="eastAsia" w:ascii="宋体" w:hAnsi="宋体" w:cs="宋体"/>
          <w:sz w:val="24"/>
          <w:szCs w:val="24"/>
        </w:rPr>
        <w:t>本次评估剥离工程折旧年限按</w:t>
      </w:r>
      <w:r>
        <w:rPr>
          <w:rFonts w:ascii="宋体" w:hAnsi="宋体" w:cs="宋体"/>
          <w:sz w:val="24"/>
          <w:szCs w:val="24"/>
        </w:rPr>
        <w:t>12</w:t>
      </w:r>
      <w:r>
        <w:rPr>
          <w:rFonts w:hint="eastAsia" w:ascii="宋体" w:hAnsi="宋体" w:cs="宋体"/>
          <w:sz w:val="24"/>
          <w:szCs w:val="24"/>
        </w:rPr>
        <w:t>年，不留残值；房屋建筑物折旧年限按</w:t>
      </w:r>
      <w:r>
        <w:rPr>
          <w:rFonts w:ascii="宋体" w:hAnsi="宋体" w:cs="宋体"/>
          <w:sz w:val="24"/>
          <w:szCs w:val="24"/>
        </w:rPr>
        <w:t>20</w:t>
      </w:r>
      <w:r>
        <w:rPr>
          <w:rFonts w:hint="eastAsia" w:ascii="宋体" w:hAnsi="宋体" w:cs="宋体"/>
          <w:sz w:val="24"/>
          <w:szCs w:val="24"/>
        </w:rPr>
        <w:t>年，机器设备及安装折旧年限按</w:t>
      </w:r>
      <w:r>
        <w:rPr>
          <w:rFonts w:ascii="宋体" w:hAnsi="宋体" w:cs="宋体"/>
          <w:sz w:val="24"/>
          <w:szCs w:val="24"/>
        </w:rPr>
        <w:t>12</w:t>
      </w:r>
      <w:r>
        <w:rPr>
          <w:rFonts w:hint="eastAsia" w:ascii="宋体" w:hAnsi="宋体" w:cs="宋体"/>
          <w:sz w:val="24"/>
          <w:szCs w:val="24"/>
        </w:rPr>
        <w:t>年，净残值率均按</w:t>
      </w:r>
      <w:r>
        <w:rPr>
          <w:rFonts w:ascii="宋体" w:hAnsi="宋体" w:cs="宋体"/>
          <w:sz w:val="24"/>
          <w:szCs w:val="24"/>
        </w:rPr>
        <w:t>5%</w:t>
      </w:r>
      <w:r>
        <w:rPr>
          <w:rFonts w:hint="eastAsia" w:ascii="宋体" w:hAnsi="宋体" w:cs="宋体"/>
          <w:sz w:val="24"/>
          <w:szCs w:val="24"/>
        </w:rPr>
        <w:t>。</w:t>
      </w:r>
    </w:p>
    <w:p>
      <w:pPr>
        <w:spacing w:line="360" w:lineRule="auto"/>
        <w:ind w:left="420" w:leftChars="200" w:firstLine="480" w:firstLineChars="200"/>
        <w:rPr>
          <w:rFonts w:ascii="宋体" w:cs="宋体"/>
          <w:sz w:val="24"/>
          <w:szCs w:val="24"/>
        </w:rPr>
      </w:pPr>
      <w:r>
        <w:rPr>
          <w:rFonts w:hint="eastAsia" w:ascii="宋体" w:hAnsi="宋体" w:cs="宋体"/>
          <w:sz w:val="24"/>
          <w:szCs w:val="24"/>
        </w:rPr>
        <w:t>故本次评估单位折旧费：</w:t>
      </w:r>
    </w:p>
    <w:p>
      <w:pPr>
        <w:spacing w:line="360" w:lineRule="auto"/>
        <w:ind w:left="4259" w:leftChars="428" w:hanging="3360" w:hangingChars="1400"/>
        <w:rPr>
          <w:rFonts w:ascii="宋体" w:cs="宋体"/>
          <w:sz w:val="24"/>
          <w:szCs w:val="24"/>
        </w:rPr>
      </w:pPr>
      <w:r>
        <w:rPr>
          <w:rFonts w:hint="eastAsia" w:ascii="宋体" w:hAnsi="宋体" w:cs="宋体"/>
          <w:sz w:val="24"/>
          <w:szCs w:val="24"/>
        </w:rPr>
        <w:t>正常生产年份剥离工程折旧费＝原值（不含增值税）×（</w:t>
      </w:r>
      <w:r>
        <w:rPr>
          <w:rFonts w:ascii="宋体" w:hAnsi="宋体" w:cs="宋体"/>
          <w:sz w:val="24"/>
          <w:szCs w:val="24"/>
        </w:rPr>
        <w:t>1</w:t>
      </w:r>
      <w:r>
        <w:rPr>
          <w:rFonts w:hint="eastAsia" w:ascii="宋体" w:hAnsi="宋体" w:cs="宋体"/>
          <w:sz w:val="24"/>
          <w:szCs w:val="24"/>
        </w:rPr>
        <w:t>－净残值率）÷折旧年限</w:t>
      </w:r>
    </w:p>
    <w:p>
      <w:pPr>
        <w:spacing w:line="360" w:lineRule="auto"/>
        <w:ind w:left="420" w:leftChars="200" w:firstLine="480" w:firstLineChars="200"/>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4.44</w:t>
      </w:r>
      <w:r>
        <w:rPr>
          <w:rFonts w:hint="eastAsia" w:ascii="宋体" w:hAnsi="宋体" w:cs="宋体"/>
          <w:sz w:val="24"/>
          <w:szCs w:val="24"/>
        </w:rPr>
        <w:t>万元</w:t>
      </w:r>
    </w:p>
    <w:p>
      <w:pPr>
        <w:spacing w:line="360" w:lineRule="auto"/>
        <w:ind w:left="4499" w:leftChars="428" w:hanging="3600" w:hangingChars="1500"/>
        <w:rPr>
          <w:rFonts w:ascii="宋体" w:cs="宋体"/>
          <w:sz w:val="24"/>
          <w:szCs w:val="24"/>
        </w:rPr>
      </w:pPr>
      <w:r>
        <w:rPr>
          <w:rFonts w:hint="eastAsia" w:ascii="宋体" w:hAnsi="宋体" w:cs="宋体"/>
          <w:sz w:val="24"/>
          <w:szCs w:val="24"/>
        </w:rPr>
        <w:t>正常生产年份房屋建筑物折旧费＝原值（不含增值税）×（</w:t>
      </w:r>
      <w:r>
        <w:rPr>
          <w:rFonts w:ascii="宋体" w:hAnsi="宋体" w:cs="宋体"/>
          <w:sz w:val="24"/>
          <w:szCs w:val="24"/>
        </w:rPr>
        <w:t>1</w:t>
      </w:r>
      <w:r>
        <w:rPr>
          <w:rFonts w:hint="eastAsia" w:ascii="宋体" w:hAnsi="宋体" w:cs="宋体"/>
          <w:sz w:val="24"/>
          <w:szCs w:val="24"/>
        </w:rPr>
        <w:t>－净残值率）÷折旧年限</w:t>
      </w:r>
    </w:p>
    <w:p>
      <w:pPr>
        <w:spacing w:line="360" w:lineRule="auto"/>
        <w:ind w:left="420" w:leftChars="200" w:firstLine="480" w:firstLineChars="200"/>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12.77</w:t>
      </w:r>
      <w:r>
        <w:rPr>
          <w:rFonts w:hint="eastAsia" w:ascii="宋体" w:hAnsi="宋体" w:cs="宋体"/>
          <w:sz w:val="24"/>
          <w:szCs w:val="24"/>
        </w:rPr>
        <w:t>万元</w:t>
      </w:r>
    </w:p>
    <w:p>
      <w:pPr>
        <w:spacing w:line="360" w:lineRule="auto"/>
        <w:ind w:left="4379" w:leftChars="428" w:hanging="3480" w:hangingChars="1450"/>
        <w:rPr>
          <w:rFonts w:ascii="宋体" w:cs="宋体"/>
          <w:sz w:val="24"/>
          <w:szCs w:val="24"/>
        </w:rPr>
      </w:pPr>
      <w:r>
        <w:rPr>
          <w:rFonts w:hint="eastAsia" w:ascii="宋体" w:hAnsi="宋体" w:cs="宋体"/>
          <w:sz w:val="24"/>
          <w:szCs w:val="24"/>
        </w:rPr>
        <w:t>正常生产年份机器设备折旧费＝原值（不含增值税）×（</w:t>
      </w:r>
      <w:r>
        <w:rPr>
          <w:rFonts w:ascii="宋体" w:hAnsi="宋体" w:cs="宋体"/>
          <w:sz w:val="24"/>
          <w:szCs w:val="24"/>
        </w:rPr>
        <w:t>1</w:t>
      </w:r>
      <w:r>
        <w:rPr>
          <w:rFonts w:hint="eastAsia" w:ascii="宋体" w:hAnsi="宋体" w:cs="宋体"/>
          <w:sz w:val="24"/>
          <w:szCs w:val="24"/>
        </w:rPr>
        <w:t>－净残值率）÷折旧年限</w:t>
      </w:r>
    </w:p>
    <w:p>
      <w:pPr>
        <w:spacing w:line="360" w:lineRule="auto"/>
        <w:ind w:left="420" w:leftChars="200" w:firstLine="3600" w:firstLineChars="1500"/>
        <w:rPr>
          <w:rFonts w:ascii="宋体" w:cs="宋体"/>
          <w:sz w:val="24"/>
          <w:szCs w:val="24"/>
        </w:rPr>
      </w:pPr>
      <w:r>
        <w:rPr>
          <w:rFonts w:hint="eastAsia" w:ascii="宋体" w:hAnsi="宋体" w:cs="宋体"/>
          <w:sz w:val="24"/>
          <w:szCs w:val="24"/>
        </w:rPr>
        <w:t>＝</w:t>
      </w:r>
      <w:r>
        <w:rPr>
          <w:rFonts w:ascii="宋体" w:hAnsi="宋体" w:cs="宋体"/>
          <w:sz w:val="24"/>
          <w:szCs w:val="24"/>
        </w:rPr>
        <w:t>78.96</w:t>
      </w:r>
      <w:r>
        <w:rPr>
          <w:rFonts w:hint="eastAsia" w:ascii="宋体" w:hAnsi="宋体" w:cs="宋体"/>
          <w:sz w:val="24"/>
          <w:szCs w:val="24"/>
        </w:rPr>
        <w:t>万元</w:t>
      </w:r>
    </w:p>
    <w:p>
      <w:pPr>
        <w:spacing w:line="360" w:lineRule="auto"/>
        <w:ind w:left="3419" w:leftChars="428" w:hanging="2520" w:hangingChars="1050"/>
        <w:rPr>
          <w:rFonts w:ascii="宋体" w:cs="宋体"/>
          <w:sz w:val="24"/>
          <w:szCs w:val="24"/>
        </w:rPr>
      </w:pPr>
      <w:r>
        <w:rPr>
          <w:rFonts w:hint="eastAsia" w:ascii="宋体" w:hAnsi="宋体" w:cs="宋体"/>
          <w:sz w:val="24"/>
          <w:szCs w:val="24"/>
        </w:rPr>
        <w:t>正常生产年份折旧费＝正常生产年份房屋建筑物折旧费＋正常生产年份机器设备折旧费</w:t>
      </w:r>
    </w:p>
    <w:p>
      <w:pPr>
        <w:spacing w:line="360" w:lineRule="auto"/>
        <w:ind w:firstLine="3000" w:firstLineChars="1250"/>
        <w:rPr>
          <w:rFonts w:ascii="宋体" w:cs="宋体"/>
          <w:sz w:val="24"/>
          <w:szCs w:val="24"/>
        </w:rPr>
      </w:pPr>
      <w:r>
        <w:rPr>
          <w:rFonts w:hint="eastAsia" w:ascii="宋体" w:hAnsi="宋体" w:cs="宋体"/>
          <w:sz w:val="24"/>
          <w:szCs w:val="24"/>
        </w:rPr>
        <w:t>＝</w:t>
      </w:r>
      <w:r>
        <w:rPr>
          <w:rFonts w:ascii="宋体" w:hAnsi="宋体" w:cs="宋体"/>
          <w:sz w:val="24"/>
          <w:szCs w:val="24"/>
        </w:rPr>
        <w:t>96.17</w:t>
      </w:r>
      <w:r>
        <w:rPr>
          <w:rFonts w:hint="eastAsia" w:ascii="宋体" w:hAnsi="宋体" w:cs="宋体"/>
          <w:sz w:val="24"/>
          <w:szCs w:val="24"/>
        </w:rPr>
        <w:t>万元</w:t>
      </w:r>
    </w:p>
    <w:p>
      <w:pPr>
        <w:spacing w:line="360" w:lineRule="auto"/>
        <w:ind w:left="189" w:leftChars="90" w:firstLine="480" w:firstLineChars="200"/>
        <w:rPr>
          <w:rFonts w:ascii="宋体" w:cs="宋体"/>
          <w:sz w:val="24"/>
          <w:szCs w:val="24"/>
        </w:rPr>
      </w:pPr>
      <w:r>
        <w:rPr>
          <w:rFonts w:hint="eastAsia" w:ascii="宋体" w:hAnsi="宋体" w:cs="宋体"/>
          <w:sz w:val="24"/>
          <w:szCs w:val="24"/>
        </w:rPr>
        <w:t>正常生产年份单位原矿折旧费＝正常生产年份折旧费合计÷年原矿产量</w:t>
      </w:r>
    </w:p>
    <w:p>
      <w:pPr>
        <w:spacing w:line="360" w:lineRule="auto"/>
        <w:ind w:firstLine="3840" w:firstLineChars="1600"/>
        <w:rPr>
          <w:rFonts w:ascii="宋体" w:cs="宋体"/>
          <w:sz w:val="24"/>
          <w:szCs w:val="24"/>
        </w:rPr>
      </w:pPr>
      <w:r>
        <w:rPr>
          <w:rFonts w:hint="eastAsia" w:ascii="宋体" w:hAnsi="宋体" w:cs="宋体"/>
          <w:sz w:val="24"/>
          <w:szCs w:val="24"/>
        </w:rPr>
        <w:t>＝</w:t>
      </w:r>
      <w:r>
        <w:rPr>
          <w:rFonts w:ascii="宋体" w:hAnsi="宋体" w:cs="宋体"/>
          <w:sz w:val="24"/>
          <w:szCs w:val="24"/>
        </w:rPr>
        <w:t>9.62</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）修理费</w:t>
      </w:r>
    </w:p>
    <w:p>
      <w:pPr>
        <w:spacing w:line="360" w:lineRule="auto"/>
        <w:ind w:left="420" w:leftChars="200" w:firstLine="480" w:firstLineChars="200"/>
        <w:rPr>
          <w:rFonts w:ascii="宋体" w:cs="宋体"/>
          <w:sz w:val="24"/>
          <w:szCs w:val="24"/>
        </w:rPr>
      </w:pPr>
      <w:r>
        <w:rPr>
          <w:rFonts w:hint="eastAsia" w:ascii="宋体" w:hAnsi="宋体" w:cs="宋体"/>
          <w:sz w:val="24"/>
          <w:szCs w:val="24"/>
        </w:rPr>
        <w:t>修理费通常按固定资产中机器设备的</w:t>
      </w:r>
      <w:r>
        <w:rPr>
          <w:rFonts w:ascii="宋体" w:hAnsi="宋体" w:cs="宋体"/>
          <w:sz w:val="24"/>
          <w:szCs w:val="24"/>
        </w:rPr>
        <w:t>2.50%</w:t>
      </w:r>
      <w:r>
        <w:rPr>
          <w:rFonts w:hint="eastAsia" w:ascii="宋体" w:hAnsi="宋体" w:cs="宋体"/>
          <w:sz w:val="24"/>
          <w:szCs w:val="24"/>
        </w:rPr>
        <w:t>计提，本次评估机器设备</w:t>
      </w:r>
      <w:r>
        <w:rPr>
          <w:rFonts w:ascii="宋体" w:hAnsi="宋体" w:cs="宋体"/>
          <w:sz w:val="24"/>
          <w:szCs w:val="24"/>
        </w:rPr>
        <w:t>1,156.90</w:t>
      </w:r>
      <w:r>
        <w:rPr>
          <w:rFonts w:hint="eastAsia" w:ascii="宋体" w:hAnsi="宋体" w:cs="宋体"/>
          <w:sz w:val="24"/>
          <w:szCs w:val="24"/>
        </w:rPr>
        <w:t>万元，则</w:t>
      </w:r>
    </w:p>
    <w:p>
      <w:pPr>
        <w:spacing w:line="360" w:lineRule="auto"/>
        <w:ind w:left="3779" w:leftChars="428" w:hanging="2880" w:hangingChars="1200"/>
        <w:rPr>
          <w:rFonts w:ascii="宋体" w:cs="宋体"/>
          <w:sz w:val="24"/>
          <w:szCs w:val="24"/>
        </w:rPr>
      </w:pPr>
      <w:r>
        <w:rPr>
          <w:rFonts w:hint="eastAsia" w:ascii="宋体" w:hAnsi="宋体" w:cs="宋体"/>
          <w:sz w:val="24"/>
          <w:szCs w:val="24"/>
        </w:rPr>
        <w:t>正常生产年份单位修理费＝固定资产中机器设备投资额（不含税）×</w:t>
      </w:r>
      <w:r>
        <w:rPr>
          <w:rFonts w:ascii="宋体" w:hAnsi="宋体" w:cs="宋体"/>
          <w:sz w:val="24"/>
          <w:szCs w:val="24"/>
        </w:rPr>
        <w:t>2.50%</w:t>
      </w:r>
      <w:r>
        <w:rPr>
          <w:rFonts w:hint="eastAsia" w:ascii="宋体" w:hAnsi="宋体" w:cs="宋体"/>
          <w:sz w:val="24"/>
          <w:szCs w:val="24"/>
        </w:rPr>
        <w:t>÷年原矿产量</w:t>
      </w:r>
    </w:p>
    <w:p>
      <w:pPr>
        <w:spacing w:line="360" w:lineRule="auto"/>
        <w:ind w:left="420" w:leftChars="200" w:firstLine="3120" w:firstLineChars="1300"/>
        <w:rPr>
          <w:rFonts w:ascii="宋体" w:hAnsi="宋体" w:cs="宋体"/>
          <w:sz w:val="24"/>
          <w:szCs w:val="24"/>
        </w:rPr>
      </w:pPr>
      <w:r>
        <w:rPr>
          <w:rFonts w:hint="eastAsia" w:ascii="宋体" w:hAnsi="宋体" w:cs="宋体"/>
          <w:sz w:val="24"/>
          <w:szCs w:val="24"/>
        </w:rPr>
        <w:t>＝</w:t>
      </w:r>
      <w:r>
        <w:rPr>
          <w:rFonts w:ascii="宋体" w:hAnsi="宋体" w:cs="宋体"/>
          <w:sz w:val="24"/>
          <w:szCs w:val="24"/>
        </w:rPr>
        <w:t>1,156.90</w:t>
      </w:r>
      <w:r>
        <w:rPr>
          <w:rFonts w:hint="eastAsia" w:ascii="宋体" w:hAnsi="宋体" w:cs="宋体"/>
          <w:sz w:val="24"/>
          <w:szCs w:val="24"/>
        </w:rPr>
        <w:t>÷</w:t>
      </w:r>
      <w:r>
        <w:rPr>
          <w:rFonts w:ascii="宋体" w:hAnsi="宋体" w:cs="宋体"/>
          <w:sz w:val="24"/>
          <w:szCs w:val="24"/>
        </w:rPr>
        <w:t>1.16</w:t>
      </w:r>
      <w:r>
        <w:rPr>
          <w:rFonts w:hint="eastAsia" w:ascii="宋体" w:hAnsi="宋体" w:cs="宋体"/>
          <w:sz w:val="24"/>
          <w:szCs w:val="24"/>
        </w:rPr>
        <w:t>×</w:t>
      </w:r>
      <w:r>
        <w:rPr>
          <w:rFonts w:ascii="宋体" w:hAnsi="宋体" w:cs="宋体"/>
          <w:sz w:val="24"/>
          <w:szCs w:val="24"/>
        </w:rPr>
        <w:t>2.50%</w:t>
      </w:r>
      <w:r>
        <w:rPr>
          <w:rFonts w:hint="eastAsia" w:ascii="宋体" w:hAnsi="宋体" w:cs="宋体"/>
          <w:sz w:val="24"/>
          <w:szCs w:val="24"/>
        </w:rPr>
        <w:t>÷</w:t>
      </w:r>
      <w:r>
        <w:rPr>
          <w:rFonts w:ascii="宋体" w:hAnsi="宋体" w:cs="宋体"/>
          <w:sz w:val="24"/>
          <w:szCs w:val="24"/>
        </w:rPr>
        <w:t>10</w:t>
      </w:r>
    </w:p>
    <w:p>
      <w:pPr>
        <w:spacing w:line="360" w:lineRule="auto"/>
        <w:ind w:left="420" w:leftChars="200" w:firstLine="3120" w:firstLineChars="1300"/>
        <w:rPr>
          <w:rFonts w:ascii="宋体" w:cs="宋体"/>
          <w:sz w:val="24"/>
          <w:szCs w:val="24"/>
        </w:rPr>
      </w:pPr>
      <w:r>
        <w:rPr>
          <w:rFonts w:hint="eastAsia" w:ascii="宋体" w:hAnsi="宋体" w:cs="宋体"/>
          <w:sz w:val="24"/>
          <w:szCs w:val="24"/>
        </w:rPr>
        <w:t>＝</w:t>
      </w:r>
      <w:r>
        <w:rPr>
          <w:rFonts w:ascii="宋体" w:hAnsi="宋体" w:cs="宋体"/>
          <w:sz w:val="24"/>
          <w:szCs w:val="24"/>
        </w:rPr>
        <w:t>2.49</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hAnsi="宋体" w:cs="宋体"/>
          <w:sz w:val="24"/>
          <w:szCs w:val="24"/>
        </w:rPr>
      </w:pPr>
      <w:r>
        <w:rPr>
          <w:rFonts w:hint="eastAsia" w:ascii="宋体" w:hAnsi="宋体" w:cs="宋体"/>
          <w:sz w:val="24"/>
          <w:szCs w:val="24"/>
        </w:rPr>
        <w:t>故本次评估正常生产年份单位修理费用为</w:t>
      </w:r>
      <w:r>
        <w:rPr>
          <w:rFonts w:ascii="宋体" w:hAnsi="宋体" w:cs="宋体"/>
          <w:sz w:val="24"/>
          <w:szCs w:val="24"/>
        </w:rPr>
        <w:t>2.49</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r>
        <w:rPr>
          <w:rFonts w:ascii="宋体" w:hAnsi="宋体" w:cs="宋体"/>
          <w:sz w:val="24"/>
          <w:szCs w:val="24"/>
        </w:rPr>
        <w:t xml:space="preserve"> </w:t>
      </w:r>
    </w:p>
    <w:p>
      <w:pPr>
        <w:autoSpaceDE w:val="0"/>
        <w:autoSpaceDN w:val="0"/>
        <w:spacing w:line="360" w:lineRule="auto"/>
        <w:ind w:left="420" w:leftChars="200" w:firstLine="480" w:firstLineChars="200"/>
        <w:jc w:val="left"/>
        <w:rPr>
          <w:rFonts w:ascii="宋体" w:cs="宋体"/>
          <w:sz w:val="24"/>
          <w:szCs w:val="24"/>
        </w:rPr>
      </w:pPr>
      <w:r>
        <w:rPr>
          <w:rFonts w:hint="eastAsia" w:ascii="宋体" w:hAnsi="宋体" w:cs="宋体"/>
          <w:sz w:val="24"/>
          <w:szCs w:val="24"/>
        </w:rPr>
        <w:t>正常生产年份修理费＝年原矿产量×单位修理费</w:t>
      </w:r>
    </w:p>
    <w:p>
      <w:pPr>
        <w:spacing w:line="360" w:lineRule="auto"/>
        <w:ind w:left="420" w:leftChars="200" w:firstLine="480" w:firstLineChars="20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2.49</w:t>
      </w:r>
    </w:p>
    <w:p>
      <w:pPr>
        <w:spacing w:line="360" w:lineRule="auto"/>
        <w:ind w:left="420" w:leftChars="200" w:firstLine="2640" w:firstLineChars="1100"/>
        <w:rPr>
          <w:rFonts w:ascii="宋体" w:cs="宋体"/>
          <w:sz w:val="24"/>
          <w:szCs w:val="24"/>
        </w:rPr>
      </w:pPr>
      <w:r>
        <w:rPr>
          <w:rFonts w:hint="eastAsia" w:ascii="宋体" w:hAnsi="宋体" w:cs="宋体"/>
          <w:sz w:val="24"/>
          <w:szCs w:val="24"/>
        </w:rPr>
        <w:t>＝</w:t>
      </w:r>
      <w:r>
        <w:rPr>
          <w:rFonts w:ascii="宋体" w:hAnsi="宋体" w:cs="宋体"/>
          <w:sz w:val="24"/>
          <w:szCs w:val="24"/>
        </w:rPr>
        <w:t>24.90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）安全生产费用</w:t>
      </w:r>
    </w:p>
    <w:p>
      <w:pPr>
        <w:spacing w:line="360" w:lineRule="auto"/>
        <w:ind w:left="420" w:leftChars="200" w:firstLine="480" w:firstLineChars="200"/>
        <w:rPr>
          <w:rFonts w:ascii="宋体" w:cs="宋体"/>
          <w:sz w:val="24"/>
          <w:szCs w:val="24"/>
        </w:rPr>
      </w:pPr>
      <w:r>
        <w:rPr>
          <w:rFonts w:hint="eastAsia" w:ascii="宋体" w:hAnsi="宋体" w:cs="宋体"/>
          <w:sz w:val="24"/>
          <w:szCs w:val="24"/>
        </w:rPr>
        <w:t>根据《关于印发</w:t>
      </w:r>
      <w:r>
        <w:rPr>
          <w:rFonts w:ascii="宋体" w:hAnsi="宋体" w:cs="宋体"/>
          <w:sz w:val="24"/>
          <w:szCs w:val="24"/>
        </w:rPr>
        <w:t>&lt;</w:t>
      </w:r>
      <w:r>
        <w:rPr>
          <w:rFonts w:hint="eastAsia" w:ascii="宋体" w:hAnsi="宋体" w:cs="宋体"/>
          <w:sz w:val="24"/>
          <w:szCs w:val="24"/>
        </w:rPr>
        <w:t>企业安全生产费用提取和使用管理办法</w:t>
      </w:r>
      <w:r>
        <w:rPr>
          <w:rFonts w:ascii="宋体" w:hAnsi="宋体" w:cs="宋体"/>
          <w:sz w:val="24"/>
          <w:szCs w:val="24"/>
        </w:rPr>
        <w:t>&gt;</w:t>
      </w:r>
      <w:r>
        <w:rPr>
          <w:rFonts w:hint="eastAsia" w:ascii="宋体" w:hAnsi="宋体" w:cs="宋体"/>
          <w:sz w:val="24"/>
          <w:szCs w:val="24"/>
        </w:rPr>
        <w:t>的通知》（财企</w:t>
      </w:r>
      <w:r>
        <w:rPr>
          <w:rFonts w:ascii="宋体" w:hAnsi="宋体" w:cs="宋体"/>
          <w:sz w:val="24"/>
          <w:szCs w:val="24"/>
        </w:rPr>
        <w:t>[2012]16</w:t>
      </w:r>
      <w:r>
        <w:rPr>
          <w:rFonts w:hint="eastAsia" w:ascii="宋体" w:hAnsi="宋体" w:cs="宋体"/>
          <w:sz w:val="24"/>
          <w:szCs w:val="24"/>
        </w:rPr>
        <w:t>号），露天开采的非金属矿山安全费用的提取标准为原矿</w:t>
      </w:r>
      <w:r>
        <w:rPr>
          <w:rFonts w:ascii="宋体" w:hAnsi="宋体" w:cs="宋体"/>
          <w:sz w:val="24"/>
          <w:szCs w:val="24"/>
        </w:rPr>
        <w:t>2.00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吨，井下开采的非金属矿山安全费用的提取标准为原矿</w:t>
      </w:r>
      <w:r>
        <w:rPr>
          <w:rFonts w:ascii="宋体" w:hAnsi="宋体" w:cs="宋体"/>
          <w:sz w:val="24"/>
          <w:szCs w:val="24"/>
        </w:rPr>
        <w:t>4.00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吨。</w:t>
      </w:r>
    </w:p>
    <w:p>
      <w:pPr>
        <w:spacing w:line="360" w:lineRule="auto"/>
        <w:ind w:left="420" w:leftChars="200" w:firstLine="480" w:firstLineChars="200"/>
        <w:rPr>
          <w:rFonts w:ascii="宋体" w:cs="宋体"/>
          <w:sz w:val="24"/>
          <w:szCs w:val="24"/>
        </w:rPr>
      </w:pPr>
      <w:r>
        <w:rPr>
          <w:rFonts w:hint="eastAsia" w:ascii="宋体" w:hAnsi="宋体" w:cs="宋体"/>
          <w:sz w:val="24"/>
          <w:szCs w:val="24"/>
        </w:rPr>
        <w:t>矿山为露天开采，因此本次评估确定单位安全生产费用为</w:t>
      </w:r>
      <w:r>
        <w:rPr>
          <w:rFonts w:ascii="宋体" w:hAnsi="宋体" w:cs="宋体"/>
          <w:sz w:val="24"/>
          <w:szCs w:val="24"/>
        </w:rPr>
        <w:t>2.00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吨。</w:t>
      </w:r>
    </w:p>
    <w:p>
      <w:pPr>
        <w:spacing w:line="360" w:lineRule="auto"/>
        <w:ind w:left="420" w:leftChars="200" w:firstLine="480" w:firstLineChars="200"/>
        <w:rPr>
          <w:rFonts w:ascii="宋体" w:cs="宋体"/>
          <w:sz w:val="24"/>
          <w:szCs w:val="24"/>
        </w:rPr>
      </w:pPr>
      <w:r>
        <w:rPr>
          <w:rFonts w:hint="eastAsia" w:ascii="宋体" w:hAnsi="宋体" w:cs="宋体"/>
          <w:sz w:val="24"/>
          <w:szCs w:val="24"/>
        </w:rPr>
        <w:t>根据《开发利用方案》，实体石料的体重为</w:t>
      </w:r>
      <w:r>
        <w:rPr>
          <w:rFonts w:ascii="宋体" w:hAnsi="宋体" w:cs="宋体"/>
          <w:sz w:val="24"/>
          <w:szCs w:val="24"/>
        </w:rPr>
        <w:t>2.8</w:t>
      </w:r>
      <w:r>
        <w:rPr>
          <w:rFonts w:hint="eastAsia" w:ascii="宋体" w:hAnsi="宋体" w:cs="宋体"/>
          <w:sz w:val="24"/>
          <w:szCs w:val="24"/>
        </w:rPr>
        <w:t>吨</w:t>
      </w:r>
      <w:r>
        <w:rPr>
          <w:rFonts w:ascii="宋体" w:hAnsi="宋体" w:cs="宋体"/>
          <w:sz w:val="24"/>
          <w:szCs w:val="24"/>
        </w:rPr>
        <w:t>/</w:t>
      </w:r>
      <w:r>
        <w:rPr>
          <w:rFonts w:hint="eastAsia" w:ascii="宋体" w:hAnsi="宋体" w:cs="宋体"/>
          <w:sz w:val="24"/>
          <w:szCs w:val="24"/>
        </w:rPr>
        <w:t>立方米，故本次评估单位安全生产费用为</w:t>
      </w:r>
      <w:r>
        <w:rPr>
          <w:rFonts w:ascii="宋体" w:hAnsi="宋体" w:cs="宋体"/>
          <w:sz w:val="24"/>
          <w:szCs w:val="24"/>
        </w:rPr>
        <w:t>5.60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cs="宋体"/>
          <w:sz w:val="24"/>
          <w:szCs w:val="24"/>
        </w:rPr>
      </w:pPr>
      <w:r>
        <w:rPr>
          <w:rFonts w:hint="eastAsia" w:ascii="宋体" w:hAnsi="宋体" w:cs="宋体"/>
          <w:sz w:val="24"/>
          <w:szCs w:val="24"/>
        </w:rPr>
        <w:t>正常生产年份安全生产费用＝单位安全生产费用×年原矿产量</w:t>
      </w:r>
    </w:p>
    <w:p>
      <w:pPr>
        <w:spacing w:line="360" w:lineRule="auto"/>
        <w:ind w:left="420" w:leftChars="200" w:firstLine="3360" w:firstLineChars="1400"/>
        <w:rPr>
          <w:rFonts w:ascii="宋体" w:hAnsi="宋体" w:cs="宋体"/>
          <w:sz w:val="24"/>
          <w:szCs w:val="24"/>
        </w:rPr>
      </w:pPr>
      <w:r>
        <w:rPr>
          <w:rFonts w:hint="eastAsia" w:ascii="宋体" w:hAnsi="宋体" w:cs="宋体"/>
          <w:sz w:val="24"/>
          <w:szCs w:val="24"/>
        </w:rPr>
        <w:t>＝</w:t>
      </w:r>
      <w:r>
        <w:rPr>
          <w:rFonts w:ascii="宋体" w:hAnsi="宋体" w:cs="宋体"/>
          <w:sz w:val="24"/>
          <w:szCs w:val="24"/>
        </w:rPr>
        <w:t>5.60</w:t>
      </w:r>
      <w:r>
        <w:rPr>
          <w:rFonts w:hint="eastAsia" w:ascii="宋体" w:hAnsi="宋体" w:cs="宋体"/>
          <w:sz w:val="24"/>
          <w:szCs w:val="24"/>
        </w:rPr>
        <w:t>×</w:t>
      </w:r>
      <w:r>
        <w:rPr>
          <w:rFonts w:ascii="宋体" w:hAnsi="宋体" w:cs="宋体"/>
          <w:sz w:val="24"/>
          <w:szCs w:val="24"/>
        </w:rPr>
        <w:t>10</w:t>
      </w:r>
    </w:p>
    <w:p>
      <w:pPr>
        <w:spacing w:line="360" w:lineRule="auto"/>
        <w:ind w:left="420" w:leftChars="200" w:firstLine="3360" w:firstLineChars="1400"/>
        <w:rPr>
          <w:rFonts w:ascii="宋体" w:cs="宋体"/>
          <w:sz w:val="24"/>
          <w:szCs w:val="24"/>
        </w:rPr>
      </w:pPr>
      <w:r>
        <w:rPr>
          <w:rFonts w:hint="eastAsia" w:ascii="宋体" w:hAnsi="宋体" w:cs="宋体"/>
          <w:sz w:val="24"/>
          <w:szCs w:val="24"/>
        </w:rPr>
        <w:t>＝</w:t>
      </w:r>
      <w:r>
        <w:rPr>
          <w:rFonts w:ascii="宋体" w:hAnsi="宋体" w:cs="宋体"/>
          <w:sz w:val="24"/>
          <w:szCs w:val="24"/>
        </w:rPr>
        <w:t>56.00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）其他支出</w:t>
      </w:r>
    </w:p>
    <w:p>
      <w:pPr>
        <w:spacing w:line="360" w:lineRule="auto"/>
        <w:ind w:left="420" w:leftChars="200" w:firstLine="480" w:firstLineChars="200"/>
        <w:rPr>
          <w:rFonts w:ascii="宋体" w:cs="宋体"/>
          <w:sz w:val="24"/>
          <w:szCs w:val="24"/>
        </w:rPr>
      </w:pPr>
      <w:r>
        <w:rPr>
          <w:rFonts w:hint="eastAsia" w:ascii="宋体" w:hAnsi="宋体" w:cs="宋体"/>
          <w:sz w:val="24"/>
          <w:szCs w:val="24"/>
        </w:rPr>
        <w:t>根据《开发利用方案》，其他支出单位成本</w:t>
      </w:r>
      <w:r>
        <w:rPr>
          <w:rFonts w:ascii="宋体" w:hAnsi="宋体" w:cs="宋体"/>
          <w:sz w:val="24"/>
          <w:szCs w:val="24"/>
        </w:rPr>
        <w:t>1.00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立方米。本次评估据此确定不含税单其他费用为</w:t>
      </w:r>
      <w:r>
        <w:rPr>
          <w:rFonts w:ascii="宋体" w:hAnsi="宋体" w:cs="宋体"/>
          <w:sz w:val="24"/>
          <w:szCs w:val="24"/>
        </w:rPr>
        <w:t>1.00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cs="宋体"/>
          <w:sz w:val="24"/>
          <w:szCs w:val="24"/>
        </w:rPr>
      </w:pPr>
      <w:r>
        <w:rPr>
          <w:rFonts w:hint="eastAsia" w:ascii="宋体" w:hAnsi="宋体" w:cs="宋体"/>
          <w:sz w:val="24"/>
          <w:szCs w:val="24"/>
        </w:rPr>
        <w:t>正常生产年份其他支出＝年原矿产量×单位其他支出</w:t>
      </w:r>
    </w:p>
    <w:p>
      <w:pPr>
        <w:spacing w:line="360" w:lineRule="auto"/>
        <w:ind w:left="420" w:leftChars="200" w:firstLine="2880" w:firstLineChars="1200"/>
        <w:rPr>
          <w:rFonts w:ascii="宋体" w:hAnsi="宋体" w:cs="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1.00</w:t>
      </w:r>
    </w:p>
    <w:p>
      <w:pPr>
        <w:spacing w:line="360" w:lineRule="auto"/>
        <w:ind w:left="420" w:leftChars="200" w:firstLine="2880" w:firstLineChars="1200"/>
        <w:rPr>
          <w:rFonts w:ascii="宋体" w:cs="宋体"/>
          <w:sz w:val="24"/>
          <w:szCs w:val="24"/>
        </w:rPr>
      </w:pPr>
      <w:r>
        <w:rPr>
          <w:rFonts w:hint="eastAsia" w:ascii="宋体" w:hAnsi="宋体" w:cs="宋体"/>
          <w:sz w:val="24"/>
          <w:szCs w:val="24"/>
        </w:rPr>
        <w:t>＝</w:t>
      </w:r>
      <w:r>
        <w:rPr>
          <w:rFonts w:ascii="宋体" w:hAnsi="宋体" w:cs="宋体"/>
          <w:sz w:val="24"/>
          <w:szCs w:val="24"/>
        </w:rPr>
        <w:t>10.00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）生产成本</w:t>
      </w:r>
    </w:p>
    <w:p>
      <w:pPr>
        <w:spacing w:line="360" w:lineRule="auto"/>
        <w:ind w:left="3539" w:leftChars="428" w:hanging="2640" w:hangingChars="1100"/>
        <w:rPr>
          <w:rFonts w:ascii="宋体" w:cs="宋体"/>
          <w:sz w:val="24"/>
          <w:szCs w:val="24"/>
        </w:rPr>
      </w:pPr>
      <w:r>
        <w:rPr>
          <w:rFonts w:hint="eastAsia" w:ascii="宋体" w:hAnsi="宋体" w:cs="宋体"/>
          <w:sz w:val="24"/>
          <w:szCs w:val="24"/>
        </w:rPr>
        <w:t>正常生产年份生产成本＝材料费＋燃料动力费＋职工薪酬＋修理费＋折旧费＋安全生产费用＋其他支出</w:t>
      </w:r>
    </w:p>
    <w:p>
      <w:pPr>
        <w:spacing w:line="360" w:lineRule="auto"/>
        <w:ind w:left="3773" w:leftChars="1568" w:hanging="480" w:hangingChars="200"/>
        <w:rPr>
          <w:rFonts w:ascii="宋体" w:hAnsi="宋体" w:cs="宋体"/>
          <w:sz w:val="24"/>
          <w:szCs w:val="24"/>
        </w:rPr>
      </w:pPr>
      <w:r>
        <w:rPr>
          <w:rFonts w:hint="eastAsia" w:ascii="宋体" w:hAnsi="宋体" w:cs="宋体"/>
          <w:sz w:val="24"/>
          <w:szCs w:val="24"/>
        </w:rPr>
        <w:t>＝</w:t>
      </w:r>
      <w:r>
        <w:rPr>
          <w:rFonts w:ascii="宋体" w:hAnsi="宋体" w:cs="宋体"/>
          <w:sz w:val="24"/>
          <w:szCs w:val="24"/>
        </w:rPr>
        <w:t>125.00</w:t>
      </w:r>
      <w:r>
        <w:rPr>
          <w:rFonts w:hint="eastAsia" w:ascii="宋体" w:hAnsi="宋体" w:cs="宋体"/>
          <w:sz w:val="24"/>
          <w:szCs w:val="24"/>
        </w:rPr>
        <w:t>＋</w:t>
      </w:r>
      <w:r>
        <w:rPr>
          <w:rFonts w:ascii="宋体" w:hAnsi="宋体" w:cs="宋体"/>
          <w:sz w:val="24"/>
          <w:szCs w:val="24"/>
        </w:rPr>
        <w:t>120.00</w:t>
      </w:r>
      <w:r>
        <w:rPr>
          <w:rFonts w:hint="eastAsia" w:ascii="宋体" w:hAnsi="宋体" w:cs="宋体"/>
          <w:sz w:val="24"/>
          <w:szCs w:val="24"/>
        </w:rPr>
        <w:t>＋</w:t>
      </w:r>
      <w:r>
        <w:rPr>
          <w:rFonts w:ascii="宋体" w:hAnsi="宋体" w:cs="宋体"/>
          <w:sz w:val="24"/>
          <w:szCs w:val="24"/>
        </w:rPr>
        <w:t>132.00</w:t>
      </w:r>
      <w:r>
        <w:rPr>
          <w:rFonts w:hint="eastAsia" w:ascii="宋体" w:hAnsi="宋体" w:cs="宋体"/>
          <w:sz w:val="24"/>
          <w:szCs w:val="24"/>
        </w:rPr>
        <w:t>＋</w:t>
      </w:r>
      <w:r>
        <w:rPr>
          <w:rFonts w:ascii="宋体" w:hAnsi="宋体" w:cs="宋体"/>
          <w:sz w:val="24"/>
          <w:szCs w:val="24"/>
        </w:rPr>
        <w:t>24.90</w:t>
      </w:r>
      <w:r>
        <w:rPr>
          <w:rFonts w:hint="eastAsia" w:ascii="宋体" w:hAnsi="宋体" w:cs="宋体"/>
          <w:sz w:val="24"/>
          <w:szCs w:val="24"/>
        </w:rPr>
        <w:t>＋</w:t>
      </w:r>
      <w:r>
        <w:rPr>
          <w:rFonts w:ascii="宋体" w:hAnsi="宋体" w:cs="宋体"/>
          <w:sz w:val="24"/>
          <w:szCs w:val="24"/>
        </w:rPr>
        <w:t>96.17</w:t>
      </w:r>
    </w:p>
    <w:p>
      <w:pPr>
        <w:spacing w:line="360" w:lineRule="auto"/>
        <w:ind w:left="3772" w:leftChars="1682" w:hanging="240" w:hangingChars="100"/>
        <w:rPr>
          <w:rFonts w:ascii="宋体" w:hAnsi="宋体" w:cs="宋体"/>
          <w:sz w:val="24"/>
          <w:szCs w:val="24"/>
        </w:rPr>
      </w:pPr>
      <w:r>
        <w:rPr>
          <w:rFonts w:hint="eastAsia" w:ascii="宋体" w:hAnsi="宋体" w:cs="宋体"/>
          <w:sz w:val="24"/>
          <w:szCs w:val="24"/>
        </w:rPr>
        <w:t>＋</w:t>
      </w:r>
      <w:r>
        <w:rPr>
          <w:rFonts w:ascii="宋体" w:hAnsi="宋体" w:cs="宋体"/>
          <w:sz w:val="24"/>
          <w:szCs w:val="24"/>
        </w:rPr>
        <w:t>56.00</w:t>
      </w:r>
      <w:r>
        <w:rPr>
          <w:rFonts w:hint="eastAsia" w:ascii="宋体" w:hAnsi="宋体" w:cs="宋体"/>
          <w:sz w:val="24"/>
          <w:szCs w:val="24"/>
        </w:rPr>
        <w:t>＋</w:t>
      </w:r>
      <w:r>
        <w:rPr>
          <w:rFonts w:ascii="宋体" w:hAnsi="宋体" w:cs="宋体"/>
          <w:sz w:val="24"/>
          <w:szCs w:val="24"/>
        </w:rPr>
        <w:t>10.00</w:t>
      </w:r>
    </w:p>
    <w:p>
      <w:pPr>
        <w:spacing w:line="360" w:lineRule="auto"/>
        <w:ind w:left="420" w:leftChars="200" w:firstLine="2880" w:firstLineChars="1200"/>
        <w:rPr>
          <w:rFonts w:ascii="宋体" w:cs="宋体"/>
          <w:sz w:val="24"/>
          <w:szCs w:val="24"/>
        </w:rPr>
      </w:pPr>
      <w:r>
        <w:rPr>
          <w:rFonts w:hint="eastAsia" w:ascii="宋体" w:hAnsi="宋体" w:cs="宋体"/>
          <w:sz w:val="24"/>
          <w:szCs w:val="24"/>
        </w:rPr>
        <w:t>＝</w:t>
      </w:r>
      <w:r>
        <w:rPr>
          <w:rFonts w:ascii="宋体" w:hAnsi="宋体" w:cs="宋体"/>
          <w:sz w:val="24"/>
          <w:szCs w:val="24"/>
        </w:rPr>
        <w:t>564.07</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hint="eastAsia" w:ascii="宋体" w:hAnsi="宋体" w:cs="宋体"/>
          <w:sz w:val="24"/>
          <w:szCs w:val="24"/>
        </w:rPr>
        <w:t>折合单位原矿生产成本为</w:t>
      </w:r>
      <w:r>
        <w:rPr>
          <w:rFonts w:ascii="宋体" w:hAnsi="宋体" w:cs="宋体"/>
          <w:sz w:val="24"/>
          <w:szCs w:val="24"/>
        </w:rPr>
        <w:t>56.41</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）管理费用</w:t>
      </w:r>
    </w:p>
    <w:p>
      <w:pPr>
        <w:spacing w:line="360" w:lineRule="auto"/>
        <w:ind w:left="420" w:leftChars="200" w:firstLine="480" w:firstLineChars="200"/>
        <w:rPr>
          <w:rFonts w:ascii="宋体" w:cs="宋体"/>
          <w:sz w:val="24"/>
          <w:szCs w:val="24"/>
        </w:rPr>
      </w:pPr>
      <w:r>
        <w:rPr>
          <w:rFonts w:hint="eastAsia" w:ascii="宋体" w:hAnsi="宋体" w:cs="宋体"/>
          <w:sz w:val="24"/>
          <w:szCs w:val="24"/>
        </w:rPr>
        <w:t>管理费用主要包括折旧费、上级管理费、矿产资源补偿费、职工薪酬（含社会保险费、住房公积金、工会经费、职工教育经费等）、办公费、差旅费、会议费、研究与开发费、劳动保护费用、书籍资料费、水费、运输费、费用性税金等费用。</w:t>
      </w:r>
    </w:p>
    <w:p>
      <w:pPr>
        <w:spacing w:line="360" w:lineRule="auto"/>
        <w:ind w:left="420" w:leftChars="200"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）折旧费</w:t>
      </w:r>
    </w:p>
    <w:p>
      <w:pPr>
        <w:spacing w:line="360" w:lineRule="auto"/>
        <w:ind w:left="420" w:leftChars="200" w:firstLine="480" w:firstLineChars="200"/>
        <w:rPr>
          <w:rFonts w:ascii="宋体" w:cs="宋体"/>
          <w:sz w:val="24"/>
          <w:szCs w:val="24"/>
        </w:rPr>
      </w:pPr>
      <w:r>
        <w:rPr>
          <w:rFonts w:hint="eastAsia" w:ascii="宋体" w:hAnsi="宋体" w:cs="宋体"/>
          <w:sz w:val="24"/>
          <w:szCs w:val="24"/>
        </w:rPr>
        <w:t>由于折旧费已统一在生产成本中列项合并计算，故评估管理费用中不再单独计算折旧费。</w:t>
      </w:r>
    </w:p>
    <w:p>
      <w:pPr>
        <w:spacing w:line="360" w:lineRule="auto"/>
        <w:ind w:left="420" w:leftChars="200"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）摊销费</w:t>
      </w:r>
    </w:p>
    <w:p>
      <w:pPr>
        <w:spacing w:line="360" w:lineRule="auto"/>
        <w:ind w:left="420" w:leftChars="200" w:firstLine="480" w:firstLineChars="200"/>
        <w:rPr>
          <w:rFonts w:ascii="宋体" w:cs="宋体"/>
          <w:sz w:val="24"/>
          <w:szCs w:val="24"/>
        </w:rPr>
      </w:pPr>
      <w:r>
        <w:rPr>
          <w:rFonts w:hint="eastAsia" w:ascii="宋体" w:hAnsi="宋体" w:cs="宋体"/>
          <w:sz w:val="24"/>
          <w:szCs w:val="24"/>
        </w:rPr>
        <w:t>土地使用费用在实际生产过程应进行摊销。故本次单位成本摊销费为</w:t>
      </w:r>
      <w:r>
        <w:rPr>
          <w:rFonts w:ascii="宋体" w:hAnsi="宋体" w:cs="宋体"/>
          <w:sz w:val="24"/>
          <w:szCs w:val="24"/>
        </w:rPr>
        <w:t>9.75</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吨，正常生产年份摊销费</w:t>
      </w:r>
      <w:r>
        <w:rPr>
          <w:rFonts w:ascii="宋体" w:hAnsi="宋体" w:cs="宋体"/>
          <w:sz w:val="24"/>
          <w:szCs w:val="24"/>
        </w:rPr>
        <w:t>97.50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）其他管理费用</w:t>
      </w:r>
    </w:p>
    <w:p>
      <w:pPr>
        <w:spacing w:line="360" w:lineRule="auto"/>
        <w:ind w:left="420" w:leftChars="200" w:firstLine="480" w:firstLineChars="200"/>
        <w:rPr>
          <w:rFonts w:ascii="宋体" w:hAnsi="宋体" w:cs="宋体"/>
          <w:sz w:val="24"/>
          <w:szCs w:val="24"/>
        </w:rPr>
      </w:pPr>
      <w:r>
        <w:rPr>
          <w:rFonts w:hint="eastAsia" w:ascii="宋体" w:hAnsi="宋体" w:cs="宋体"/>
          <w:sz w:val="24"/>
          <w:szCs w:val="24"/>
        </w:rPr>
        <w:t>根据《开发利用方案》，其他管理费用单位成本</w:t>
      </w:r>
      <w:r>
        <w:rPr>
          <w:rFonts w:ascii="宋体" w:hAnsi="宋体" w:cs="宋体"/>
          <w:sz w:val="24"/>
          <w:szCs w:val="24"/>
        </w:rPr>
        <w:t>1.50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立方米。本次评估据此确定单位其他管理费用为</w:t>
      </w:r>
      <w:r>
        <w:rPr>
          <w:rFonts w:ascii="宋体" w:hAnsi="宋体" w:cs="宋体"/>
          <w:sz w:val="24"/>
          <w:szCs w:val="24"/>
        </w:rPr>
        <w:t>1.50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r>
        <w:rPr>
          <w:rFonts w:ascii="宋体" w:hAnsi="宋体" w:cs="宋体"/>
          <w:sz w:val="24"/>
          <w:szCs w:val="24"/>
        </w:rPr>
        <w:t xml:space="preserve"> </w:t>
      </w:r>
    </w:p>
    <w:p>
      <w:pPr>
        <w:spacing w:line="360" w:lineRule="auto"/>
        <w:ind w:left="420" w:leftChars="200" w:firstLine="480" w:firstLineChars="200"/>
        <w:rPr>
          <w:rFonts w:ascii="宋体" w:cs="宋体"/>
          <w:sz w:val="24"/>
          <w:szCs w:val="24"/>
        </w:rPr>
      </w:pPr>
      <w:r>
        <w:rPr>
          <w:rFonts w:hint="eastAsia" w:ascii="宋体" w:hAnsi="宋体" w:cs="宋体"/>
          <w:sz w:val="24"/>
          <w:szCs w:val="24"/>
        </w:rPr>
        <w:t>正常生产年份其他管理费用＝年原矿产量×单位其他管理费用</w:t>
      </w:r>
    </w:p>
    <w:p>
      <w:pPr>
        <w:spacing w:line="360" w:lineRule="auto"/>
        <w:ind w:left="420" w:leftChars="200" w:firstLine="480" w:firstLineChars="20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1.50</w:t>
      </w:r>
    </w:p>
    <w:p>
      <w:pPr>
        <w:spacing w:line="360" w:lineRule="auto"/>
        <w:ind w:left="420" w:leftChars="200" w:firstLine="480" w:firstLineChars="200"/>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15.00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）管理费用</w:t>
      </w:r>
    </w:p>
    <w:p>
      <w:pPr>
        <w:spacing w:line="360" w:lineRule="auto"/>
        <w:ind w:left="3539" w:leftChars="428" w:hanging="2640" w:hangingChars="1100"/>
        <w:rPr>
          <w:rFonts w:ascii="宋体" w:cs="宋体"/>
          <w:sz w:val="24"/>
          <w:szCs w:val="24"/>
        </w:rPr>
      </w:pPr>
      <w:r>
        <w:rPr>
          <w:rFonts w:hint="eastAsia" w:ascii="宋体" w:hAnsi="宋体" w:cs="宋体"/>
          <w:sz w:val="24"/>
          <w:szCs w:val="24"/>
        </w:rPr>
        <w:t>正常生产年份管理费用＝折旧费＋摊销费＋其他管理费用</w:t>
      </w:r>
    </w:p>
    <w:p>
      <w:pPr>
        <w:spacing w:line="360" w:lineRule="auto"/>
        <w:ind w:left="420" w:leftChars="200" w:firstLine="2880" w:firstLineChars="1200"/>
        <w:rPr>
          <w:rFonts w:ascii="宋体" w:hAnsi="宋体" w:cs="宋体"/>
          <w:sz w:val="24"/>
          <w:szCs w:val="24"/>
        </w:rPr>
      </w:pPr>
      <w:r>
        <w:rPr>
          <w:rFonts w:hint="eastAsia" w:ascii="宋体" w:hAnsi="宋体" w:cs="宋体"/>
          <w:sz w:val="24"/>
          <w:szCs w:val="24"/>
        </w:rPr>
        <w:t>＝</w:t>
      </w:r>
      <w:r>
        <w:rPr>
          <w:rFonts w:ascii="宋体" w:hAnsi="宋体" w:cs="宋体"/>
          <w:sz w:val="24"/>
          <w:szCs w:val="24"/>
        </w:rPr>
        <w:t>0</w:t>
      </w:r>
      <w:r>
        <w:rPr>
          <w:rFonts w:hint="eastAsia" w:ascii="宋体" w:hAnsi="宋体" w:cs="宋体"/>
          <w:sz w:val="24"/>
          <w:szCs w:val="24"/>
        </w:rPr>
        <w:t>＋</w:t>
      </w:r>
      <w:r>
        <w:rPr>
          <w:rFonts w:ascii="宋体" w:hAnsi="宋体" w:cs="宋体"/>
          <w:sz w:val="24"/>
          <w:szCs w:val="24"/>
        </w:rPr>
        <w:t>97.50</w:t>
      </w:r>
      <w:r>
        <w:rPr>
          <w:rFonts w:hint="eastAsia" w:ascii="宋体" w:hAnsi="宋体" w:cs="宋体"/>
          <w:sz w:val="24"/>
          <w:szCs w:val="24"/>
        </w:rPr>
        <w:t>＋</w:t>
      </w:r>
      <w:r>
        <w:rPr>
          <w:rFonts w:ascii="宋体" w:hAnsi="宋体" w:cs="宋体"/>
          <w:sz w:val="24"/>
          <w:szCs w:val="24"/>
        </w:rPr>
        <w:t xml:space="preserve">15.00 </w:t>
      </w:r>
    </w:p>
    <w:p>
      <w:pPr>
        <w:spacing w:line="360" w:lineRule="auto"/>
        <w:ind w:left="420" w:leftChars="200" w:firstLine="2880" w:firstLineChars="1200"/>
        <w:rPr>
          <w:rFonts w:ascii="宋体" w:cs="宋体"/>
          <w:sz w:val="24"/>
          <w:szCs w:val="24"/>
        </w:rPr>
      </w:pPr>
      <w:r>
        <w:rPr>
          <w:rFonts w:hint="eastAsia" w:ascii="宋体" w:hAnsi="宋体" w:cs="宋体"/>
          <w:sz w:val="24"/>
          <w:szCs w:val="24"/>
        </w:rPr>
        <w:t>＝</w:t>
      </w:r>
      <w:r>
        <w:rPr>
          <w:rFonts w:ascii="宋体" w:hAnsi="宋体" w:cs="宋体"/>
          <w:sz w:val="24"/>
          <w:szCs w:val="24"/>
        </w:rPr>
        <w:t>112.50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hint="eastAsia" w:ascii="宋体" w:hAnsi="宋体" w:cs="宋体"/>
          <w:sz w:val="24"/>
          <w:szCs w:val="24"/>
        </w:rPr>
        <w:t>折合单位管理费用为</w:t>
      </w:r>
      <w:r>
        <w:rPr>
          <w:rFonts w:ascii="宋体" w:hAnsi="宋体" w:cs="宋体"/>
          <w:sz w:val="24"/>
          <w:szCs w:val="24"/>
        </w:rPr>
        <w:t>11.25</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）销售费用</w:t>
      </w:r>
    </w:p>
    <w:p>
      <w:pPr>
        <w:spacing w:line="360" w:lineRule="auto"/>
        <w:ind w:left="420" w:leftChars="200" w:firstLine="480" w:firstLineChars="200"/>
        <w:rPr>
          <w:rFonts w:ascii="宋体" w:hAnsi="宋体" w:cs="宋体"/>
          <w:sz w:val="24"/>
          <w:szCs w:val="24"/>
        </w:rPr>
      </w:pPr>
      <w:r>
        <w:rPr>
          <w:rFonts w:hint="eastAsia" w:ascii="宋体" w:hAnsi="宋体" w:cs="宋体"/>
          <w:sz w:val="24"/>
          <w:szCs w:val="24"/>
        </w:rPr>
        <w:t>根据《开发利用方案》，销售费用单位成本</w:t>
      </w:r>
      <w:r>
        <w:rPr>
          <w:rFonts w:ascii="宋体" w:hAnsi="宋体" w:cs="宋体"/>
          <w:sz w:val="24"/>
          <w:szCs w:val="24"/>
        </w:rPr>
        <w:t>1.50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立方米。本次评估据此确定单位销售费用为</w:t>
      </w:r>
      <w:r>
        <w:rPr>
          <w:rFonts w:ascii="宋体" w:hAnsi="宋体" w:cs="宋体"/>
          <w:sz w:val="24"/>
          <w:szCs w:val="24"/>
        </w:rPr>
        <w:t>1.50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r>
        <w:rPr>
          <w:rFonts w:ascii="宋体" w:hAnsi="宋体" w:cs="宋体"/>
          <w:sz w:val="24"/>
          <w:szCs w:val="24"/>
        </w:rPr>
        <w:t xml:space="preserve"> </w:t>
      </w:r>
    </w:p>
    <w:p>
      <w:pPr>
        <w:spacing w:line="360" w:lineRule="auto"/>
        <w:ind w:left="420" w:leftChars="200" w:firstLine="480" w:firstLineChars="200"/>
        <w:rPr>
          <w:rFonts w:ascii="宋体" w:cs="宋体"/>
          <w:sz w:val="24"/>
          <w:szCs w:val="24"/>
        </w:rPr>
      </w:pPr>
      <w:r>
        <w:rPr>
          <w:rFonts w:hint="eastAsia" w:ascii="宋体" w:hAnsi="宋体" w:cs="宋体"/>
          <w:sz w:val="24"/>
          <w:szCs w:val="24"/>
        </w:rPr>
        <w:t>正常生产年份销售费用＝年原矿产量×单位销售费用</w:t>
      </w:r>
    </w:p>
    <w:p>
      <w:pPr>
        <w:spacing w:line="360" w:lineRule="auto"/>
        <w:ind w:left="420" w:leftChars="200" w:firstLine="480" w:firstLineChars="20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1.50</w:t>
      </w:r>
    </w:p>
    <w:p>
      <w:pPr>
        <w:spacing w:line="360" w:lineRule="auto"/>
        <w:ind w:left="420" w:leftChars="200" w:firstLine="480" w:firstLineChars="200"/>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15.00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）财务费用</w:t>
      </w:r>
    </w:p>
    <w:p>
      <w:pPr>
        <w:spacing w:line="360" w:lineRule="auto"/>
        <w:ind w:left="420" w:leftChars="200" w:firstLine="480" w:firstLineChars="200"/>
        <w:rPr>
          <w:rFonts w:ascii="宋体" w:cs="宋体"/>
          <w:sz w:val="24"/>
          <w:szCs w:val="24"/>
        </w:rPr>
      </w:pPr>
      <w:r>
        <w:rPr>
          <w:rFonts w:hint="eastAsia" w:ascii="宋体" w:hAnsi="宋体" w:cs="宋体"/>
          <w:sz w:val="24"/>
          <w:szCs w:val="24"/>
        </w:rPr>
        <w:t>参照中国矿业权评估准则：“设定</w:t>
      </w:r>
      <w:r>
        <w:rPr>
          <w:rFonts w:ascii="宋体" w:hAnsi="宋体" w:cs="宋体"/>
          <w:sz w:val="24"/>
          <w:szCs w:val="24"/>
        </w:rPr>
        <w:t>70%</w:t>
      </w:r>
      <w:r>
        <w:rPr>
          <w:rFonts w:hint="eastAsia" w:ascii="宋体" w:hAnsi="宋体" w:cs="宋体"/>
          <w:sz w:val="24"/>
          <w:szCs w:val="24"/>
        </w:rPr>
        <w:t>的流动资金为银行贷款（</w:t>
      </w:r>
      <w:r>
        <w:rPr>
          <w:rFonts w:ascii="宋体" w:hAnsi="宋体" w:cs="宋体"/>
          <w:sz w:val="24"/>
          <w:szCs w:val="24"/>
        </w:rPr>
        <w:t>6</w:t>
      </w:r>
      <w:r>
        <w:rPr>
          <w:rFonts w:hint="eastAsia" w:ascii="宋体" w:hAnsi="宋体" w:cs="宋体"/>
          <w:sz w:val="24"/>
          <w:szCs w:val="24"/>
        </w:rPr>
        <w:t>个月至</w:t>
      </w:r>
      <w:r>
        <w:rPr>
          <w:rFonts w:ascii="宋体" w:hAnsi="宋体" w:cs="宋体"/>
          <w:sz w:val="24"/>
          <w:szCs w:val="24"/>
        </w:rPr>
        <w:t>1</w:t>
      </w:r>
      <w:r>
        <w:rPr>
          <w:rFonts w:hint="eastAsia" w:ascii="宋体" w:hAnsi="宋体" w:cs="宋体"/>
          <w:sz w:val="24"/>
          <w:szCs w:val="24"/>
        </w:rPr>
        <w:t>年期短期贷款）、</w:t>
      </w:r>
      <w:r>
        <w:rPr>
          <w:rFonts w:ascii="宋体" w:hAnsi="宋体" w:cs="宋体"/>
          <w:sz w:val="24"/>
          <w:szCs w:val="24"/>
        </w:rPr>
        <w:t>30%</w:t>
      </w:r>
      <w:r>
        <w:rPr>
          <w:rFonts w:hint="eastAsia" w:ascii="宋体" w:hAnsi="宋体" w:cs="宋体"/>
          <w:sz w:val="24"/>
          <w:szCs w:val="24"/>
        </w:rPr>
        <w:t>为自有资金，并据设定计算财务费用。”</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日中国人民银行公布自</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24</w:t>
      </w:r>
      <w:r>
        <w:rPr>
          <w:rFonts w:hint="eastAsia" w:ascii="宋体" w:hAnsi="宋体" w:cs="宋体"/>
          <w:sz w:val="24"/>
          <w:szCs w:val="24"/>
        </w:rPr>
        <w:t>日起金融机构一年期贷款基准利率下调至</w:t>
      </w:r>
      <w:r>
        <w:rPr>
          <w:rFonts w:ascii="宋体" w:hAnsi="宋体" w:cs="宋体"/>
          <w:sz w:val="24"/>
          <w:szCs w:val="24"/>
        </w:rPr>
        <w:t>4.35%</w:t>
      </w:r>
      <w:r>
        <w:rPr>
          <w:rFonts w:hint="eastAsia" w:ascii="宋体" w:hAnsi="宋体" w:cs="宋体"/>
          <w:sz w:val="24"/>
          <w:szCs w:val="24"/>
        </w:rPr>
        <w:t>，财务费用利率按此计算。则</w:t>
      </w:r>
    </w:p>
    <w:p>
      <w:pPr>
        <w:spacing w:line="360" w:lineRule="auto"/>
        <w:ind w:left="4019" w:leftChars="428" w:hanging="3120" w:hangingChars="1300"/>
        <w:rPr>
          <w:rFonts w:ascii="宋体" w:cs="宋体"/>
          <w:sz w:val="24"/>
          <w:szCs w:val="24"/>
        </w:rPr>
      </w:pPr>
      <w:r>
        <w:rPr>
          <w:rFonts w:hint="eastAsia" w:ascii="宋体" w:hAnsi="宋体" w:cs="宋体"/>
          <w:sz w:val="24"/>
          <w:szCs w:val="24"/>
        </w:rPr>
        <w:t>正常生产年份单位财务费用＝流动资金×贷款比例×</w:t>
      </w:r>
      <w:r>
        <w:rPr>
          <w:rFonts w:ascii="宋体" w:hAnsi="宋体" w:cs="宋体"/>
          <w:sz w:val="24"/>
          <w:szCs w:val="24"/>
        </w:rPr>
        <w:t>1</w:t>
      </w:r>
      <w:r>
        <w:rPr>
          <w:rFonts w:hint="eastAsia" w:ascii="宋体" w:hAnsi="宋体" w:cs="宋体"/>
          <w:sz w:val="24"/>
          <w:szCs w:val="24"/>
        </w:rPr>
        <w:t>年期贷款利率÷年原矿产量</w:t>
      </w:r>
    </w:p>
    <w:p>
      <w:pPr>
        <w:spacing w:line="360" w:lineRule="auto"/>
        <w:ind w:left="420" w:leftChars="200" w:firstLine="480" w:firstLineChars="20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120.90</w:t>
      </w:r>
      <w:r>
        <w:rPr>
          <w:rFonts w:hint="eastAsia" w:ascii="宋体" w:hAnsi="宋体" w:cs="宋体"/>
          <w:sz w:val="24"/>
          <w:szCs w:val="24"/>
        </w:rPr>
        <w:t>×</w:t>
      </w:r>
      <w:r>
        <w:rPr>
          <w:rFonts w:ascii="宋体" w:hAnsi="宋体" w:cs="宋体"/>
          <w:sz w:val="24"/>
          <w:szCs w:val="24"/>
        </w:rPr>
        <w:t>70%</w:t>
      </w:r>
      <w:r>
        <w:rPr>
          <w:rFonts w:hint="eastAsia" w:ascii="宋体" w:hAnsi="宋体" w:cs="宋体"/>
          <w:sz w:val="24"/>
          <w:szCs w:val="24"/>
        </w:rPr>
        <w:t>×</w:t>
      </w:r>
      <w:r>
        <w:rPr>
          <w:rFonts w:ascii="宋体" w:hAnsi="宋体" w:cs="宋体"/>
          <w:sz w:val="24"/>
          <w:szCs w:val="24"/>
        </w:rPr>
        <w:t>4.35%</w:t>
      </w:r>
      <w:r>
        <w:rPr>
          <w:rFonts w:hint="eastAsia" w:ascii="宋体" w:hAnsi="宋体" w:cs="宋体"/>
          <w:sz w:val="24"/>
          <w:szCs w:val="24"/>
        </w:rPr>
        <w:t>÷</w:t>
      </w:r>
      <w:r>
        <w:rPr>
          <w:rFonts w:ascii="宋体" w:hAnsi="宋体" w:cs="宋体"/>
          <w:sz w:val="24"/>
          <w:szCs w:val="24"/>
        </w:rPr>
        <w:t>10</w:t>
      </w:r>
    </w:p>
    <w:p>
      <w:pPr>
        <w:spacing w:line="360" w:lineRule="auto"/>
        <w:ind w:left="420" w:leftChars="200" w:firstLine="480" w:firstLineChars="200"/>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0.37</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cs="宋体"/>
          <w:sz w:val="24"/>
          <w:szCs w:val="24"/>
        </w:rPr>
      </w:pPr>
      <w:r>
        <w:rPr>
          <w:rFonts w:hint="eastAsia" w:ascii="宋体" w:hAnsi="宋体" w:cs="宋体"/>
          <w:sz w:val="24"/>
          <w:szCs w:val="24"/>
        </w:rPr>
        <w:t>正常生产年份财务费用＝年原矿产量×单位财务费用</w:t>
      </w:r>
    </w:p>
    <w:p>
      <w:pPr>
        <w:spacing w:line="360" w:lineRule="auto"/>
        <w:ind w:left="420" w:leftChars="200" w:firstLine="2880" w:firstLineChars="1200"/>
        <w:rPr>
          <w:rFonts w:ascii="宋体" w:cs="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0.37</w:t>
      </w:r>
    </w:p>
    <w:p>
      <w:pPr>
        <w:spacing w:line="360" w:lineRule="auto"/>
        <w:ind w:left="420" w:leftChars="200" w:firstLine="2880" w:firstLineChars="1200"/>
        <w:rPr>
          <w:rFonts w:ascii="宋体" w:cs="宋体"/>
          <w:sz w:val="24"/>
          <w:szCs w:val="24"/>
        </w:rPr>
      </w:pPr>
      <w:r>
        <w:rPr>
          <w:rFonts w:hint="eastAsia" w:ascii="宋体" w:hAnsi="宋体" w:cs="宋体"/>
          <w:sz w:val="24"/>
          <w:szCs w:val="24"/>
        </w:rPr>
        <w:t>＝</w:t>
      </w:r>
      <w:r>
        <w:rPr>
          <w:rFonts w:ascii="宋体" w:hAnsi="宋体" w:cs="宋体"/>
          <w:sz w:val="24"/>
          <w:szCs w:val="24"/>
        </w:rPr>
        <w:t>3.70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）经营成本</w:t>
      </w:r>
    </w:p>
    <w:p>
      <w:pPr>
        <w:spacing w:line="360" w:lineRule="auto"/>
        <w:ind w:left="420" w:leftChars="200" w:firstLine="240" w:firstLineChars="100"/>
        <w:rPr>
          <w:rFonts w:ascii="宋体" w:cs="宋体"/>
          <w:sz w:val="24"/>
          <w:szCs w:val="24"/>
        </w:rPr>
      </w:pPr>
      <w:r>
        <w:rPr>
          <w:rFonts w:hint="eastAsia" w:ascii="宋体" w:hAnsi="宋体" w:cs="宋体"/>
          <w:sz w:val="24"/>
          <w:szCs w:val="24"/>
        </w:rPr>
        <w:t>正常生产年份总成本费用＝生产成本＋管理费用＋销售费用＋财务费用</w:t>
      </w:r>
    </w:p>
    <w:p>
      <w:pPr>
        <w:spacing w:line="360" w:lineRule="auto"/>
        <w:ind w:firstLine="3360" w:firstLineChars="1400"/>
        <w:rPr>
          <w:rFonts w:ascii="宋体" w:cs="宋体"/>
          <w:sz w:val="24"/>
          <w:szCs w:val="24"/>
        </w:rPr>
      </w:pPr>
      <w:r>
        <w:rPr>
          <w:rFonts w:hint="eastAsia" w:ascii="宋体" w:hAnsi="宋体" w:cs="宋体"/>
          <w:sz w:val="24"/>
          <w:szCs w:val="24"/>
        </w:rPr>
        <w:t>＝</w:t>
      </w:r>
      <w:r>
        <w:rPr>
          <w:rFonts w:ascii="宋体" w:hAnsi="宋体" w:cs="宋体"/>
          <w:sz w:val="24"/>
          <w:szCs w:val="24"/>
        </w:rPr>
        <w:t>564.07</w:t>
      </w:r>
      <w:r>
        <w:rPr>
          <w:rFonts w:hint="eastAsia" w:ascii="宋体" w:hAnsi="宋体" w:cs="宋体"/>
          <w:sz w:val="24"/>
          <w:szCs w:val="24"/>
        </w:rPr>
        <w:t>＋</w:t>
      </w:r>
      <w:r>
        <w:rPr>
          <w:rFonts w:ascii="宋体" w:hAnsi="宋体" w:cs="宋体"/>
          <w:sz w:val="24"/>
          <w:szCs w:val="24"/>
        </w:rPr>
        <w:t>112.50</w:t>
      </w:r>
      <w:r>
        <w:rPr>
          <w:rFonts w:hint="eastAsia" w:ascii="宋体" w:hAnsi="宋体" w:cs="宋体"/>
          <w:sz w:val="24"/>
          <w:szCs w:val="24"/>
        </w:rPr>
        <w:t>＋</w:t>
      </w:r>
      <w:r>
        <w:rPr>
          <w:rFonts w:ascii="宋体" w:hAnsi="宋体" w:cs="宋体"/>
          <w:sz w:val="24"/>
          <w:szCs w:val="24"/>
        </w:rPr>
        <w:t>15.00</w:t>
      </w:r>
      <w:r>
        <w:rPr>
          <w:rFonts w:hint="eastAsia" w:ascii="宋体" w:hAnsi="宋体" w:cs="宋体"/>
          <w:sz w:val="24"/>
          <w:szCs w:val="24"/>
        </w:rPr>
        <w:t>＋</w:t>
      </w:r>
      <w:r>
        <w:rPr>
          <w:rFonts w:ascii="宋体" w:hAnsi="宋体" w:cs="宋体"/>
          <w:sz w:val="24"/>
          <w:szCs w:val="24"/>
        </w:rPr>
        <w:t>3.70</w:t>
      </w:r>
    </w:p>
    <w:p>
      <w:pPr>
        <w:spacing w:line="360" w:lineRule="auto"/>
        <w:ind w:firstLine="3360" w:firstLineChars="1400"/>
        <w:rPr>
          <w:rFonts w:ascii="宋体" w:cs="宋体"/>
          <w:sz w:val="24"/>
          <w:szCs w:val="24"/>
        </w:rPr>
      </w:pPr>
      <w:r>
        <w:rPr>
          <w:rFonts w:hint="eastAsia" w:ascii="宋体" w:hAnsi="宋体" w:cs="宋体"/>
          <w:sz w:val="24"/>
          <w:szCs w:val="24"/>
        </w:rPr>
        <w:t>＝</w:t>
      </w:r>
      <w:r>
        <w:rPr>
          <w:rFonts w:ascii="宋体" w:hAnsi="宋体" w:cs="宋体"/>
          <w:sz w:val="24"/>
          <w:szCs w:val="24"/>
        </w:rPr>
        <w:t>695.27</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hint="eastAsia" w:ascii="宋体" w:hAnsi="宋体" w:cs="宋体"/>
          <w:sz w:val="24"/>
          <w:szCs w:val="24"/>
        </w:rPr>
        <w:t>折合单位原矿总成本费用为</w:t>
      </w:r>
      <w:r>
        <w:rPr>
          <w:rFonts w:ascii="宋体" w:hAnsi="宋体" w:cs="宋体"/>
          <w:sz w:val="24"/>
          <w:szCs w:val="24"/>
        </w:rPr>
        <w:t>69.53</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3539" w:leftChars="428" w:hanging="2640" w:hangingChars="1100"/>
        <w:rPr>
          <w:rFonts w:ascii="宋体" w:cs="宋体"/>
          <w:sz w:val="24"/>
          <w:szCs w:val="24"/>
        </w:rPr>
      </w:pPr>
      <w:r>
        <w:rPr>
          <w:rFonts w:hint="eastAsia" w:ascii="宋体" w:hAnsi="宋体" w:cs="宋体"/>
          <w:sz w:val="24"/>
          <w:szCs w:val="24"/>
        </w:rPr>
        <w:t>正常生产年份经营成本＝总成本费用－折旧费－摊销费－财务费用</w:t>
      </w:r>
    </w:p>
    <w:p>
      <w:pPr>
        <w:spacing w:line="360" w:lineRule="auto"/>
        <w:ind w:left="3533" w:leftChars="1568" w:hanging="240" w:hangingChars="100"/>
        <w:rPr>
          <w:rFonts w:ascii="宋体" w:hAnsi="宋体" w:cs="宋体"/>
          <w:sz w:val="24"/>
          <w:szCs w:val="24"/>
        </w:rPr>
      </w:pPr>
      <w:r>
        <w:rPr>
          <w:rFonts w:hint="eastAsia" w:ascii="宋体" w:hAnsi="宋体" w:cs="宋体"/>
          <w:sz w:val="24"/>
          <w:szCs w:val="24"/>
        </w:rPr>
        <w:t>＝</w:t>
      </w:r>
      <w:r>
        <w:rPr>
          <w:rFonts w:ascii="宋体" w:hAnsi="宋体" w:cs="宋体"/>
          <w:sz w:val="24"/>
          <w:szCs w:val="24"/>
        </w:rPr>
        <w:t>695.27</w:t>
      </w:r>
      <w:r>
        <w:rPr>
          <w:rFonts w:hint="eastAsia" w:ascii="宋体" w:hAnsi="宋体" w:cs="宋体"/>
          <w:sz w:val="24"/>
          <w:szCs w:val="24"/>
        </w:rPr>
        <w:t>－</w:t>
      </w:r>
      <w:r>
        <w:rPr>
          <w:rFonts w:ascii="宋体" w:hAnsi="宋体" w:cs="宋体"/>
          <w:sz w:val="24"/>
          <w:szCs w:val="24"/>
        </w:rPr>
        <w:t>96.17</w:t>
      </w:r>
      <w:r>
        <w:rPr>
          <w:rFonts w:hint="eastAsia" w:ascii="宋体" w:hAnsi="宋体" w:cs="宋体"/>
          <w:sz w:val="24"/>
          <w:szCs w:val="24"/>
        </w:rPr>
        <w:t>―</w:t>
      </w:r>
      <w:r>
        <w:rPr>
          <w:rFonts w:ascii="宋体" w:hAnsi="宋体" w:cs="宋体"/>
          <w:sz w:val="24"/>
          <w:szCs w:val="24"/>
        </w:rPr>
        <w:t>97.50</w:t>
      </w:r>
      <w:r>
        <w:rPr>
          <w:rFonts w:hint="eastAsia" w:ascii="宋体" w:hAnsi="宋体" w:cs="宋体"/>
          <w:sz w:val="24"/>
          <w:szCs w:val="24"/>
        </w:rPr>
        <w:t>―</w:t>
      </w:r>
      <w:r>
        <w:rPr>
          <w:rFonts w:ascii="宋体" w:hAnsi="宋体" w:cs="宋体"/>
          <w:sz w:val="24"/>
          <w:szCs w:val="24"/>
        </w:rPr>
        <w:t>4.10</w:t>
      </w:r>
    </w:p>
    <w:p>
      <w:pPr>
        <w:tabs>
          <w:tab w:val="center" w:pos="6214"/>
        </w:tabs>
        <w:spacing w:line="360" w:lineRule="auto"/>
        <w:ind w:left="420" w:leftChars="200" w:firstLine="2880" w:firstLineChars="1200"/>
        <w:rPr>
          <w:rFonts w:ascii="宋体" w:cs="宋体"/>
          <w:sz w:val="24"/>
          <w:szCs w:val="24"/>
        </w:rPr>
      </w:pPr>
      <w:r>
        <w:rPr>
          <w:rFonts w:hint="eastAsia" w:ascii="宋体" w:hAnsi="宋体" w:cs="宋体"/>
          <w:sz w:val="24"/>
          <w:szCs w:val="24"/>
        </w:rPr>
        <w:t>＝</w:t>
      </w:r>
      <w:r>
        <w:rPr>
          <w:rFonts w:ascii="宋体" w:hAnsi="宋体" w:cs="宋体"/>
          <w:sz w:val="24"/>
          <w:szCs w:val="24"/>
        </w:rPr>
        <w:t>497.90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hint="eastAsia" w:ascii="宋体" w:hAnsi="宋体" w:cs="宋体"/>
          <w:sz w:val="24"/>
          <w:szCs w:val="24"/>
        </w:rPr>
        <w:t>折合单位原矿经营成本为</w:t>
      </w:r>
      <w:r>
        <w:rPr>
          <w:rFonts w:ascii="宋体" w:hAnsi="宋体" w:cs="宋体"/>
          <w:sz w:val="24"/>
          <w:szCs w:val="24"/>
        </w:rPr>
        <w:t>49.79</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、税金及附加</w:t>
      </w:r>
    </w:p>
    <w:p>
      <w:pPr>
        <w:spacing w:line="360" w:lineRule="auto"/>
        <w:ind w:left="420" w:leftChars="200" w:firstLine="480" w:firstLineChars="200"/>
        <w:rPr>
          <w:rFonts w:ascii="宋体" w:cs="宋体"/>
          <w:sz w:val="24"/>
          <w:szCs w:val="24"/>
        </w:rPr>
      </w:pPr>
      <w:r>
        <w:rPr>
          <w:rFonts w:hint="eastAsia" w:ascii="宋体" w:hAnsi="宋体" w:cs="宋体"/>
          <w:sz w:val="24"/>
          <w:szCs w:val="24"/>
        </w:rPr>
        <w:t>本次评估涉及的税种主要包括增值税、城建税、教育费附加、地方教育费附加、资源税、所得税等。</w:t>
      </w:r>
    </w:p>
    <w:p>
      <w:pPr>
        <w:spacing w:line="360" w:lineRule="auto"/>
        <w:ind w:left="725"/>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）增值税税率为</w:t>
      </w:r>
      <w:r>
        <w:rPr>
          <w:rFonts w:ascii="宋体" w:hAnsi="宋体" w:cs="宋体"/>
          <w:sz w:val="24"/>
          <w:szCs w:val="24"/>
        </w:rPr>
        <w:t>16%</w:t>
      </w:r>
      <w:r>
        <w:rPr>
          <w:rFonts w:hint="eastAsia" w:ascii="宋体" w:hAnsi="宋体" w:cs="宋体"/>
          <w:sz w:val="24"/>
          <w:szCs w:val="24"/>
        </w:rPr>
        <w:t>；</w:t>
      </w:r>
    </w:p>
    <w:p>
      <w:pPr>
        <w:spacing w:line="360" w:lineRule="auto"/>
        <w:ind w:left="725"/>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）城建税税率为</w:t>
      </w:r>
      <w:r>
        <w:rPr>
          <w:rFonts w:ascii="宋体" w:hAnsi="宋体" w:cs="宋体"/>
          <w:sz w:val="24"/>
          <w:szCs w:val="24"/>
        </w:rPr>
        <w:t>5%</w:t>
      </w:r>
      <w:r>
        <w:rPr>
          <w:rFonts w:hint="eastAsia" w:ascii="宋体" w:hAnsi="宋体" w:cs="宋体"/>
          <w:sz w:val="24"/>
          <w:szCs w:val="24"/>
        </w:rPr>
        <w:t>；</w:t>
      </w:r>
    </w:p>
    <w:p>
      <w:pPr>
        <w:spacing w:line="360" w:lineRule="auto"/>
        <w:ind w:left="725"/>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）教育费附加税率为</w:t>
      </w:r>
      <w:r>
        <w:rPr>
          <w:rFonts w:ascii="宋体" w:hAnsi="宋体" w:cs="宋体"/>
          <w:sz w:val="24"/>
          <w:szCs w:val="24"/>
        </w:rPr>
        <w:t>3%</w:t>
      </w:r>
      <w:r>
        <w:rPr>
          <w:rFonts w:hint="eastAsia" w:ascii="宋体" w:hAnsi="宋体" w:cs="宋体"/>
          <w:sz w:val="24"/>
          <w:szCs w:val="24"/>
        </w:rPr>
        <w:t>；</w:t>
      </w:r>
    </w:p>
    <w:p>
      <w:pPr>
        <w:spacing w:line="360" w:lineRule="auto"/>
        <w:ind w:left="725"/>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）地方教育费附加税率为</w:t>
      </w:r>
      <w:r>
        <w:rPr>
          <w:rFonts w:ascii="宋体" w:hAnsi="宋体" w:cs="宋体"/>
          <w:sz w:val="24"/>
          <w:szCs w:val="24"/>
        </w:rPr>
        <w:t>2%</w:t>
      </w:r>
      <w:r>
        <w:rPr>
          <w:rFonts w:hint="eastAsia" w:ascii="宋体" w:hAnsi="宋体" w:cs="宋体"/>
          <w:sz w:val="24"/>
          <w:szCs w:val="24"/>
        </w:rPr>
        <w:t>；</w:t>
      </w:r>
    </w:p>
    <w:p>
      <w:pPr>
        <w:spacing w:line="360" w:lineRule="auto"/>
        <w:ind w:left="725"/>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）资源税</w:t>
      </w:r>
      <w:r>
        <w:rPr>
          <w:rFonts w:ascii="宋体" w:hAnsi="宋体" w:cs="宋体"/>
          <w:sz w:val="24"/>
          <w:szCs w:val="24"/>
        </w:rPr>
        <w:t>1.5</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725"/>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）所得税税率为</w:t>
      </w:r>
      <w:r>
        <w:rPr>
          <w:rFonts w:ascii="宋体" w:hAnsi="宋体" w:cs="宋体"/>
          <w:sz w:val="24"/>
          <w:szCs w:val="24"/>
        </w:rPr>
        <w:t>25%</w:t>
      </w:r>
      <w:r>
        <w:rPr>
          <w:rFonts w:hint="eastAsia" w:ascii="宋体" w:hAnsi="宋体" w:cs="宋体"/>
          <w:sz w:val="24"/>
          <w:szCs w:val="24"/>
        </w:rPr>
        <w:t>。</w:t>
      </w:r>
    </w:p>
    <w:p>
      <w:pPr>
        <w:spacing w:line="360" w:lineRule="auto"/>
        <w:ind w:left="420" w:leftChars="200"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）增值税</w:t>
      </w:r>
    </w:p>
    <w:p>
      <w:pPr>
        <w:spacing w:line="360" w:lineRule="auto"/>
        <w:ind w:left="420" w:leftChars="200" w:firstLine="480" w:firstLineChars="200"/>
        <w:rPr>
          <w:rFonts w:ascii="Arial Narrow" w:hAnsi="Arial Narrow" w:cs="Arial Narrow"/>
          <w:sz w:val="24"/>
          <w:szCs w:val="24"/>
        </w:rPr>
      </w:pPr>
      <w:r>
        <w:rPr>
          <w:rFonts w:hint="eastAsia" w:ascii="Arial Narrow" w:hAnsi="Arial Narrow" w:cs="宋体"/>
          <w:sz w:val="24"/>
          <w:szCs w:val="24"/>
        </w:rPr>
        <w:t>根据《中华人民共和国增值税暂行条例》（</w:t>
      </w:r>
      <w:r>
        <w:rPr>
          <w:rFonts w:ascii="Arial Narrow" w:hAnsi="Arial Narrow" w:cs="Arial Narrow"/>
          <w:sz w:val="24"/>
          <w:szCs w:val="24"/>
        </w:rPr>
        <w:t>1994</w:t>
      </w:r>
      <w:r>
        <w:rPr>
          <w:rFonts w:hint="eastAsia" w:ascii="Arial Narrow" w:hAnsi="Arial Narrow" w:cs="宋体"/>
          <w:sz w:val="24"/>
          <w:szCs w:val="24"/>
        </w:rPr>
        <w:t>年</w:t>
      </w:r>
      <w:r>
        <w:rPr>
          <w:rFonts w:ascii="Arial Narrow" w:hAnsi="Arial Narrow" w:cs="Arial Narrow"/>
          <w:sz w:val="24"/>
          <w:szCs w:val="24"/>
        </w:rPr>
        <w:t>1</w:t>
      </w:r>
      <w:r>
        <w:rPr>
          <w:rFonts w:hint="eastAsia" w:ascii="Arial Narrow" w:hAnsi="Arial Narrow" w:cs="宋体"/>
          <w:sz w:val="24"/>
          <w:szCs w:val="24"/>
        </w:rPr>
        <w:t>月</w:t>
      </w:r>
      <w:r>
        <w:rPr>
          <w:rFonts w:ascii="Arial Narrow" w:hAnsi="Arial Narrow" w:cs="Arial Narrow"/>
          <w:sz w:val="24"/>
          <w:szCs w:val="24"/>
        </w:rPr>
        <w:t>1</w:t>
      </w:r>
      <w:r>
        <w:rPr>
          <w:rFonts w:hint="eastAsia" w:ascii="Arial Narrow" w:hAnsi="Arial Narrow" w:cs="宋体"/>
          <w:sz w:val="24"/>
          <w:szCs w:val="24"/>
        </w:rPr>
        <w:t>日起施行，</w:t>
      </w:r>
      <w:r>
        <w:rPr>
          <w:rFonts w:ascii="Arial Narrow" w:hAnsi="Arial Narrow" w:cs="Arial Narrow"/>
          <w:sz w:val="24"/>
          <w:szCs w:val="24"/>
        </w:rPr>
        <w:t>2008</w:t>
      </w:r>
      <w:r>
        <w:rPr>
          <w:rFonts w:hint="eastAsia" w:ascii="Arial Narrow" w:hAnsi="Arial Narrow" w:cs="宋体"/>
          <w:sz w:val="24"/>
          <w:szCs w:val="24"/>
        </w:rPr>
        <w:t>年</w:t>
      </w:r>
      <w:r>
        <w:rPr>
          <w:rFonts w:ascii="Arial Narrow" w:hAnsi="Arial Narrow" w:cs="Arial Narrow"/>
          <w:sz w:val="24"/>
          <w:szCs w:val="24"/>
        </w:rPr>
        <w:t>11</w:t>
      </w:r>
      <w:r>
        <w:rPr>
          <w:rFonts w:hint="eastAsia" w:ascii="Arial Narrow" w:hAnsi="Arial Narrow" w:cs="宋体"/>
          <w:sz w:val="24"/>
          <w:szCs w:val="24"/>
        </w:rPr>
        <w:t>月</w:t>
      </w:r>
      <w:r>
        <w:rPr>
          <w:rFonts w:ascii="Arial Narrow" w:hAnsi="Arial Narrow" w:cs="Arial Narrow"/>
          <w:sz w:val="24"/>
          <w:szCs w:val="24"/>
        </w:rPr>
        <w:t>5</w:t>
      </w:r>
      <w:r>
        <w:rPr>
          <w:rFonts w:hint="eastAsia" w:ascii="Arial Narrow" w:hAnsi="Arial Narrow" w:cs="宋体"/>
          <w:sz w:val="24"/>
          <w:szCs w:val="24"/>
        </w:rPr>
        <w:t>日国务院第</w:t>
      </w:r>
      <w:r>
        <w:rPr>
          <w:rFonts w:ascii="Arial Narrow" w:hAnsi="Arial Narrow" w:cs="Arial Narrow"/>
          <w:sz w:val="24"/>
          <w:szCs w:val="24"/>
        </w:rPr>
        <w:t>34</w:t>
      </w:r>
      <w:r>
        <w:rPr>
          <w:rFonts w:hint="eastAsia" w:ascii="Arial Narrow" w:hAnsi="Arial Narrow" w:cs="宋体"/>
          <w:sz w:val="24"/>
          <w:szCs w:val="24"/>
        </w:rPr>
        <w:t>次常务会议修订通过，自</w:t>
      </w:r>
      <w:r>
        <w:rPr>
          <w:rFonts w:ascii="Arial Narrow" w:hAnsi="Arial Narrow" w:cs="Arial Narrow"/>
          <w:sz w:val="24"/>
          <w:szCs w:val="24"/>
        </w:rPr>
        <w:t>2009</w:t>
      </w:r>
      <w:r>
        <w:rPr>
          <w:rFonts w:hint="eastAsia" w:ascii="Arial Narrow" w:hAnsi="Arial Narrow" w:cs="宋体"/>
          <w:sz w:val="24"/>
          <w:szCs w:val="24"/>
        </w:rPr>
        <w:t>年</w:t>
      </w:r>
      <w:r>
        <w:rPr>
          <w:rFonts w:ascii="Arial Narrow" w:hAnsi="Arial Narrow" w:cs="Arial Narrow"/>
          <w:sz w:val="24"/>
          <w:szCs w:val="24"/>
        </w:rPr>
        <w:t>1</w:t>
      </w:r>
      <w:r>
        <w:rPr>
          <w:rFonts w:hint="eastAsia" w:ascii="Arial Narrow" w:hAnsi="Arial Narrow" w:cs="宋体"/>
          <w:sz w:val="24"/>
          <w:szCs w:val="24"/>
        </w:rPr>
        <w:t>月</w:t>
      </w:r>
      <w:r>
        <w:rPr>
          <w:rFonts w:ascii="Arial Narrow" w:hAnsi="Arial Narrow" w:cs="Arial Narrow"/>
          <w:sz w:val="24"/>
          <w:szCs w:val="24"/>
        </w:rPr>
        <w:t>1</w:t>
      </w:r>
      <w:r>
        <w:rPr>
          <w:rFonts w:hint="eastAsia" w:ascii="Arial Narrow" w:hAnsi="Arial Narrow" w:cs="宋体"/>
          <w:sz w:val="24"/>
          <w:szCs w:val="24"/>
        </w:rPr>
        <w:t>日起施行）规定，增值税税率一般分为三个档次，即</w:t>
      </w:r>
      <w:r>
        <w:rPr>
          <w:rFonts w:ascii="Arial Narrow" w:hAnsi="Arial Narrow" w:cs="Arial Narrow"/>
          <w:sz w:val="24"/>
          <w:szCs w:val="24"/>
        </w:rPr>
        <w:t>17%</w:t>
      </w:r>
      <w:r>
        <w:rPr>
          <w:rFonts w:hint="eastAsia" w:ascii="Arial Narrow" w:hAnsi="Arial Narrow" w:cs="宋体"/>
          <w:sz w:val="24"/>
          <w:szCs w:val="24"/>
        </w:rPr>
        <w:t>、</w:t>
      </w:r>
      <w:r>
        <w:rPr>
          <w:rFonts w:ascii="Arial Narrow" w:hAnsi="Arial Narrow" w:cs="Arial Narrow"/>
          <w:sz w:val="24"/>
          <w:szCs w:val="24"/>
        </w:rPr>
        <w:t>13%</w:t>
      </w:r>
      <w:r>
        <w:rPr>
          <w:rFonts w:hint="eastAsia" w:ascii="Arial Narrow" w:hAnsi="Arial Narrow" w:cs="宋体"/>
          <w:sz w:val="24"/>
          <w:szCs w:val="24"/>
        </w:rPr>
        <w:t>和零税率。其中，矿产品适用税率为</w:t>
      </w:r>
      <w:r>
        <w:rPr>
          <w:rFonts w:ascii="Arial Narrow" w:hAnsi="Arial Narrow" w:cs="Arial Narrow"/>
          <w:sz w:val="24"/>
          <w:szCs w:val="24"/>
        </w:rPr>
        <w:t>17%</w:t>
      </w:r>
      <w:r>
        <w:rPr>
          <w:rFonts w:hint="eastAsia" w:ascii="Arial Narrow" w:hAnsi="Arial Narrow" w:cs="宋体"/>
          <w:sz w:val="24"/>
          <w:szCs w:val="24"/>
        </w:rPr>
        <w:t>；外购材料、燃料和动力费适用税率按</w:t>
      </w:r>
      <w:r>
        <w:rPr>
          <w:rFonts w:ascii="Arial Narrow" w:hAnsi="Arial Narrow" w:cs="Arial Narrow"/>
          <w:sz w:val="24"/>
          <w:szCs w:val="24"/>
        </w:rPr>
        <w:t>17%</w:t>
      </w:r>
      <w:r>
        <w:rPr>
          <w:rFonts w:hint="eastAsia" w:ascii="Arial Narrow" w:hAnsi="Arial Narrow" w:cs="宋体"/>
          <w:sz w:val="24"/>
          <w:szCs w:val="24"/>
        </w:rPr>
        <w:t>。</w:t>
      </w:r>
    </w:p>
    <w:p>
      <w:pPr>
        <w:spacing w:line="360" w:lineRule="auto"/>
        <w:ind w:left="420" w:leftChars="200" w:firstLine="480" w:firstLineChars="200"/>
        <w:rPr>
          <w:rFonts w:ascii="Arial Narrow" w:hAnsi="Arial Narrow" w:cs="Arial Narrow"/>
          <w:sz w:val="24"/>
          <w:szCs w:val="24"/>
        </w:rPr>
      </w:pPr>
      <w:r>
        <w:rPr>
          <w:rFonts w:hint="eastAsia" w:ascii="Arial Narrow" w:hAnsi="Arial Narrow" w:cs="宋体"/>
          <w:sz w:val="24"/>
          <w:szCs w:val="24"/>
        </w:rPr>
        <w:t>自</w:t>
      </w:r>
      <w:r>
        <w:rPr>
          <w:rFonts w:ascii="Arial Narrow" w:hAnsi="Arial Narrow" w:cs="Arial Narrow"/>
          <w:sz w:val="24"/>
          <w:szCs w:val="24"/>
        </w:rPr>
        <w:t>2009</w:t>
      </w:r>
      <w:r>
        <w:rPr>
          <w:rFonts w:hint="eastAsia" w:ascii="Arial Narrow" w:hAnsi="Arial Narrow" w:cs="宋体"/>
          <w:sz w:val="24"/>
          <w:szCs w:val="24"/>
        </w:rPr>
        <w:t>年</w:t>
      </w:r>
      <w:r>
        <w:rPr>
          <w:rFonts w:ascii="Arial Narrow" w:hAnsi="Arial Narrow" w:cs="Arial Narrow"/>
          <w:sz w:val="24"/>
          <w:szCs w:val="24"/>
        </w:rPr>
        <w:t>1</w:t>
      </w:r>
      <w:r>
        <w:rPr>
          <w:rFonts w:hint="eastAsia" w:ascii="Arial Narrow" w:hAnsi="Arial Narrow" w:cs="宋体"/>
          <w:sz w:val="24"/>
          <w:szCs w:val="24"/>
        </w:rPr>
        <w:t>月</w:t>
      </w:r>
      <w:r>
        <w:rPr>
          <w:rFonts w:ascii="Arial Narrow" w:hAnsi="Arial Narrow" w:cs="Arial Narrow"/>
          <w:sz w:val="24"/>
          <w:szCs w:val="24"/>
        </w:rPr>
        <w:t>1</w:t>
      </w:r>
      <w:r>
        <w:rPr>
          <w:rFonts w:hint="eastAsia" w:ascii="Arial Narrow" w:hAnsi="Arial Narrow" w:cs="宋体"/>
          <w:sz w:val="24"/>
          <w:szCs w:val="24"/>
        </w:rPr>
        <w:t>日起评估计算期内，按规定一般纳税人新购进设备（包括建设期投入和更新资金投入）所含的进项税额抵扣时，为简化计算，矿业权评估中可做以下处理：设备（含安装工程，下同）可按</w:t>
      </w:r>
      <w:r>
        <w:rPr>
          <w:rFonts w:ascii="Arial Narrow" w:hAnsi="Arial Narrow" w:cs="Arial Narrow"/>
          <w:sz w:val="24"/>
          <w:szCs w:val="24"/>
        </w:rPr>
        <w:t>17%</w:t>
      </w:r>
      <w:r>
        <w:rPr>
          <w:rFonts w:hint="eastAsia" w:ascii="Arial Narrow" w:hAnsi="Arial Narrow" w:cs="宋体"/>
          <w:sz w:val="24"/>
          <w:szCs w:val="24"/>
        </w:rPr>
        <w:t>增值税税率估算进项增值税；矿山生产期开始，产品销项增值税抵扣当期材料、动力进项增值税后的余额，抵扣设备进项增值税；当期未抵扣完的设备进项税额结转下期继续抵扣。</w:t>
      </w:r>
    </w:p>
    <w:p>
      <w:pPr>
        <w:spacing w:line="360" w:lineRule="auto"/>
        <w:ind w:left="420" w:leftChars="200" w:firstLine="480" w:firstLineChars="200"/>
        <w:rPr>
          <w:rFonts w:ascii="Arial Narrow" w:hAnsi="Arial Narrow" w:cs="Arial Narrow"/>
          <w:sz w:val="24"/>
          <w:szCs w:val="24"/>
        </w:rPr>
      </w:pPr>
      <w:r>
        <w:rPr>
          <w:rFonts w:ascii="Arial Narrow" w:hAnsi="Arial Narrow" w:cs="Arial Narrow"/>
          <w:sz w:val="24"/>
          <w:szCs w:val="24"/>
        </w:rPr>
        <w:t>2016</w:t>
      </w:r>
      <w:r>
        <w:rPr>
          <w:rFonts w:hint="eastAsia" w:ascii="Arial Narrow" w:hAnsi="Arial Narrow" w:cs="宋体"/>
          <w:sz w:val="24"/>
          <w:szCs w:val="24"/>
        </w:rPr>
        <w:t>年财政部、国家税务总局下发《关于全面推开营业税改征增值税试点的通知》（财税</w:t>
      </w:r>
      <w:r>
        <w:rPr>
          <w:rFonts w:ascii="Arial Narrow" w:hAnsi="Arial Narrow" w:cs="Arial Narrow"/>
          <w:sz w:val="24"/>
          <w:szCs w:val="24"/>
        </w:rPr>
        <w:t>[2016]36</w:t>
      </w:r>
      <w:r>
        <w:rPr>
          <w:rFonts w:hint="eastAsia" w:ascii="Arial Narrow" w:hAnsi="Arial Narrow" w:cs="宋体"/>
          <w:sz w:val="24"/>
          <w:szCs w:val="24"/>
        </w:rPr>
        <w:t>号），修理费可进项税额抵扣增值税。</w:t>
      </w:r>
    </w:p>
    <w:p>
      <w:pPr>
        <w:spacing w:line="360" w:lineRule="auto"/>
        <w:ind w:left="420" w:leftChars="200" w:firstLine="480" w:firstLineChars="200"/>
        <w:rPr>
          <w:rFonts w:ascii="Arial Narrow" w:hAnsi="Arial Narrow" w:cs="Arial Narrow"/>
          <w:sz w:val="24"/>
          <w:szCs w:val="24"/>
        </w:rPr>
      </w:pPr>
      <w:r>
        <w:rPr>
          <w:rFonts w:ascii="Arial Narrow" w:hAnsi="Arial Narrow" w:cs="Arial Narrow"/>
          <w:sz w:val="24"/>
          <w:szCs w:val="24"/>
        </w:rPr>
        <w:t>2018</w:t>
      </w:r>
      <w:r>
        <w:rPr>
          <w:rFonts w:hint="eastAsia" w:ascii="Arial Narrow" w:hAnsi="Arial Narrow" w:cs="宋体"/>
          <w:sz w:val="24"/>
          <w:szCs w:val="24"/>
        </w:rPr>
        <w:t>年</w:t>
      </w:r>
      <w:r>
        <w:rPr>
          <w:rFonts w:ascii="Arial Narrow" w:hAnsi="Arial Narrow" w:cs="Arial Narrow"/>
          <w:sz w:val="24"/>
          <w:szCs w:val="24"/>
        </w:rPr>
        <w:t>4</w:t>
      </w:r>
      <w:r>
        <w:rPr>
          <w:rFonts w:hint="eastAsia" w:ascii="Arial Narrow" w:hAnsi="Arial Narrow" w:cs="宋体"/>
          <w:sz w:val="24"/>
          <w:szCs w:val="24"/>
        </w:rPr>
        <w:t>月</w:t>
      </w:r>
      <w:r>
        <w:rPr>
          <w:rFonts w:ascii="Arial Narrow" w:hAnsi="Arial Narrow" w:cs="Arial Narrow"/>
          <w:sz w:val="24"/>
          <w:szCs w:val="24"/>
        </w:rPr>
        <w:t>4</w:t>
      </w:r>
      <w:r>
        <w:rPr>
          <w:rFonts w:hint="eastAsia" w:ascii="Arial Narrow" w:hAnsi="Arial Narrow" w:cs="宋体"/>
          <w:sz w:val="24"/>
          <w:szCs w:val="24"/>
        </w:rPr>
        <w:t>日财政部、税务总局公布《财政部关于调整增值税税率的通知》（财税</w:t>
      </w:r>
      <w:r>
        <w:rPr>
          <w:rFonts w:ascii="Arial Narrow" w:hAnsi="Arial Narrow" w:cs="Arial Narrow"/>
          <w:sz w:val="24"/>
          <w:szCs w:val="24"/>
        </w:rPr>
        <w:t>[2018]32</w:t>
      </w:r>
      <w:r>
        <w:rPr>
          <w:rFonts w:hint="eastAsia" w:ascii="Arial Narrow" w:hAnsi="Arial Narrow" w:cs="宋体"/>
          <w:sz w:val="24"/>
          <w:szCs w:val="24"/>
        </w:rPr>
        <w:t>号），纳税人发生增值税应税销售行为或者进口货物，原适用</w:t>
      </w:r>
      <w:r>
        <w:rPr>
          <w:rFonts w:ascii="Arial Narrow" w:hAnsi="Arial Narrow" w:cs="Arial Narrow"/>
          <w:sz w:val="24"/>
          <w:szCs w:val="24"/>
        </w:rPr>
        <w:t>17%</w:t>
      </w:r>
      <w:r>
        <w:rPr>
          <w:rFonts w:hint="eastAsia" w:ascii="Arial Narrow" w:hAnsi="Arial Narrow" w:cs="宋体"/>
          <w:sz w:val="24"/>
          <w:szCs w:val="24"/>
        </w:rPr>
        <w:t>和</w:t>
      </w:r>
      <w:r>
        <w:rPr>
          <w:rFonts w:ascii="Arial Narrow" w:hAnsi="Arial Narrow" w:cs="Arial Narrow"/>
          <w:sz w:val="24"/>
          <w:szCs w:val="24"/>
        </w:rPr>
        <w:t>11%</w:t>
      </w:r>
      <w:r>
        <w:rPr>
          <w:rFonts w:hint="eastAsia" w:ascii="Arial Narrow" w:hAnsi="Arial Narrow" w:cs="宋体"/>
          <w:sz w:val="24"/>
          <w:szCs w:val="24"/>
        </w:rPr>
        <w:t>税率的，税率分别调整为</w:t>
      </w:r>
      <w:r>
        <w:rPr>
          <w:rFonts w:ascii="Arial Narrow" w:hAnsi="Arial Narrow" w:cs="Arial Narrow"/>
          <w:sz w:val="24"/>
          <w:szCs w:val="24"/>
        </w:rPr>
        <w:t>16%</w:t>
      </w:r>
      <w:r>
        <w:rPr>
          <w:rFonts w:hint="eastAsia" w:ascii="Arial Narrow" w:hAnsi="Arial Narrow" w:cs="宋体"/>
          <w:sz w:val="24"/>
          <w:szCs w:val="24"/>
        </w:rPr>
        <w:t>、</w:t>
      </w:r>
      <w:r>
        <w:rPr>
          <w:rFonts w:ascii="Arial Narrow" w:hAnsi="Arial Narrow" w:cs="Arial Narrow"/>
          <w:sz w:val="24"/>
          <w:szCs w:val="24"/>
        </w:rPr>
        <w:t>10%</w:t>
      </w:r>
      <w:r>
        <w:rPr>
          <w:rFonts w:hint="eastAsia" w:ascii="Arial Narrow" w:hAnsi="Arial Narrow" w:cs="宋体"/>
          <w:sz w:val="24"/>
          <w:szCs w:val="24"/>
        </w:rPr>
        <w:t>。</w:t>
      </w:r>
    </w:p>
    <w:p>
      <w:pPr>
        <w:spacing w:line="360" w:lineRule="auto"/>
        <w:ind w:left="420" w:leftChars="200" w:firstLine="480" w:firstLineChars="200"/>
        <w:rPr>
          <w:rFonts w:ascii="宋体" w:cs="宋体"/>
          <w:sz w:val="24"/>
          <w:szCs w:val="24"/>
        </w:rPr>
      </w:pPr>
      <w:r>
        <w:rPr>
          <w:rFonts w:hint="eastAsia" w:ascii="Arial Narrow" w:hAnsi="Arial Narrow" w:cs="宋体"/>
          <w:sz w:val="24"/>
          <w:szCs w:val="24"/>
        </w:rPr>
        <w:t>增值税计算公式：应纳增值税税额＝当期销项税额－当期进项税额</w:t>
      </w:r>
    </w:p>
    <w:p>
      <w:pPr>
        <w:spacing w:line="360" w:lineRule="auto"/>
        <w:ind w:left="4739" w:leftChars="428" w:hanging="3840" w:hangingChars="1600"/>
        <w:rPr>
          <w:rFonts w:ascii="宋体" w:cs="宋体"/>
          <w:sz w:val="24"/>
          <w:szCs w:val="24"/>
        </w:rPr>
      </w:pPr>
      <w:r>
        <w:rPr>
          <w:rFonts w:hint="eastAsia" w:ascii="宋体" w:hAnsi="宋体" w:cs="宋体"/>
          <w:sz w:val="24"/>
          <w:szCs w:val="24"/>
        </w:rPr>
        <w:t>正常生产年份材料动力进项税额＝（材料费＋燃料动力费＋修理费）×进项税税率</w:t>
      </w:r>
    </w:p>
    <w:p>
      <w:pPr>
        <w:spacing w:line="360" w:lineRule="auto"/>
        <w:ind w:left="420" w:leftChars="200" w:firstLine="480" w:firstLineChars="20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125.00</w:t>
      </w:r>
      <w:r>
        <w:rPr>
          <w:rFonts w:hint="eastAsia" w:ascii="宋体" w:hAnsi="宋体" w:cs="宋体"/>
          <w:sz w:val="24"/>
          <w:szCs w:val="24"/>
        </w:rPr>
        <w:t>＋</w:t>
      </w:r>
      <w:r>
        <w:rPr>
          <w:rFonts w:ascii="宋体" w:hAnsi="宋体" w:cs="宋体"/>
          <w:sz w:val="24"/>
          <w:szCs w:val="24"/>
        </w:rPr>
        <w:t>120.00</w:t>
      </w:r>
      <w:r>
        <w:rPr>
          <w:rFonts w:hint="eastAsia" w:ascii="宋体" w:hAnsi="宋体" w:cs="宋体"/>
          <w:sz w:val="24"/>
          <w:szCs w:val="24"/>
        </w:rPr>
        <w:t>＋</w:t>
      </w:r>
      <w:r>
        <w:rPr>
          <w:rFonts w:ascii="宋体" w:hAnsi="宋体" w:cs="宋体"/>
          <w:sz w:val="24"/>
          <w:szCs w:val="24"/>
        </w:rPr>
        <w:t>24.90</w:t>
      </w:r>
      <w:r>
        <w:rPr>
          <w:rFonts w:hint="eastAsia" w:ascii="宋体" w:hAnsi="宋体" w:cs="宋体"/>
          <w:sz w:val="24"/>
          <w:szCs w:val="24"/>
        </w:rPr>
        <w:t>）×</w:t>
      </w:r>
      <w:r>
        <w:rPr>
          <w:rFonts w:ascii="宋体" w:hAnsi="宋体" w:cs="宋体"/>
          <w:sz w:val="24"/>
          <w:szCs w:val="24"/>
        </w:rPr>
        <w:t>16%</w:t>
      </w:r>
    </w:p>
    <w:p>
      <w:pPr>
        <w:spacing w:line="360" w:lineRule="auto"/>
        <w:ind w:left="420" w:leftChars="200" w:firstLine="480" w:firstLineChars="200"/>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43.18</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hint="eastAsia" w:ascii="宋体" w:hAnsi="宋体" w:cs="宋体"/>
          <w:sz w:val="24"/>
          <w:szCs w:val="24"/>
        </w:rPr>
        <w:t>正常生产年份销项税额＝年销售额×销项税税率</w:t>
      </w:r>
    </w:p>
    <w:p>
      <w:pPr>
        <w:spacing w:line="360" w:lineRule="auto"/>
        <w:ind w:left="420" w:leftChars="200" w:firstLine="480" w:firstLineChars="20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961.54</w:t>
      </w:r>
      <w:r>
        <w:rPr>
          <w:rFonts w:hint="eastAsia" w:ascii="宋体" w:hAnsi="宋体" w:cs="宋体"/>
          <w:sz w:val="24"/>
          <w:szCs w:val="24"/>
        </w:rPr>
        <w:t>×</w:t>
      </w:r>
      <w:r>
        <w:rPr>
          <w:rFonts w:ascii="宋体" w:hAnsi="宋体" w:cs="宋体"/>
          <w:sz w:val="24"/>
          <w:szCs w:val="24"/>
        </w:rPr>
        <w:t>16%</w:t>
      </w:r>
    </w:p>
    <w:p>
      <w:pPr>
        <w:spacing w:line="360" w:lineRule="auto"/>
        <w:ind w:left="420" w:leftChars="200" w:firstLine="480" w:firstLineChars="200"/>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153.85</w:t>
      </w:r>
      <w:r>
        <w:rPr>
          <w:rFonts w:hint="eastAsia" w:ascii="宋体" w:hAnsi="宋体" w:cs="宋体"/>
          <w:sz w:val="24"/>
          <w:szCs w:val="24"/>
        </w:rPr>
        <w:t>万元</w:t>
      </w:r>
    </w:p>
    <w:p>
      <w:pPr>
        <w:spacing w:line="360" w:lineRule="auto"/>
        <w:ind w:left="420" w:leftChars="200"/>
        <w:rPr>
          <w:rFonts w:ascii="宋体" w:cs="宋体"/>
          <w:sz w:val="24"/>
          <w:szCs w:val="24"/>
        </w:rPr>
      </w:pPr>
      <w:r>
        <w:rPr>
          <w:rFonts w:hint="eastAsia" w:ascii="宋体" w:hAnsi="宋体" w:cs="宋体"/>
          <w:sz w:val="24"/>
          <w:szCs w:val="24"/>
        </w:rPr>
        <w:t>正常生产年份应纳增值税额＝当期销项税额－当期材料动力修理进项税额</w:t>
      </w:r>
    </w:p>
    <w:p>
      <w:pPr>
        <w:spacing w:line="360" w:lineRule="auto"/>
        <w:ind w:left="420" w:leftChars="200" w:firstLine="480" w:firstLineChars="200"/>
        <w:jc w:val="left"/>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153.85</w:t>
      </w:r>
      <w:r>
        <w:rPr>
          <w:rFonts w:hint="eastAsia" w:ascii="宋体" w:hAnsi="宋体" w:cs="宋体"/>
          <w:sz w:val="24"/>
          <w:szCs w:val="24"/>
        </w:rPr>
        <w:t>－</w:t>
      </w:r>
      <w:r>
        <w:rPr>
          <w:rFonts w:ascii="宋体" w:hAnsi="宋体" w:cs="宋体"/>
          <w:sz w:val="24"/>
          <w:szCs w:val="24"/>
        </w:rPr>
        <w:t>43.18</w:t>
      </w:r>
    </w:p>
    <w:p>
      <w:pPr>
        <w:spacing w:line="360" w:lineRule="auto"/>
        <w:ind w:left="420" w:leftChars="200" w:firstLine="480" w:firstLineChars="200"/>
        <w:jc w:val="left"/>
        <w:rPr>
          <w:rFonts w:asci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110.67</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）城市维护建设税</w:t>
      </w:r>
    </w:p>
    <w:p>
      <w:pPr>
        <w:spacing w:line="360" w:lineRule="auto"/>
        <w:ind w:left="420" w:leftChars="200" w:firstLine="480" w:firstLineChars="200"/>
        <w:rPr>
          <w:rFonts w:ascii="宋体" w:cs="宋体"/>
          <w:sz w:val="24"/>
          <w:szCs w:val="24"/>
        </w:rPr>
      </w:pPr>
      <w:r>
        <w:rPr>
          <w:rFonts w:hint="eastAsia" w:ascii="宋体" w:hAnsi="宋体" w:cs="宋体"/>
          <w:sz w:val="24"/>
          <w:szCs w:val="24"/>
        </w:rPr>
        <w:t>城建税按纳税人所在地的不同，设置了三档差别比例税率：</w:t>
      </w:r>
    </w:p>
    <w:p>
      <w:pPr>
        <w:spacing w:line="360" w:lineRule="auto"/>
        <w:ind w:left="420" w:leftChars="200" w:firstLine="480" w:firstLineChars="200"/>
        <w:rPr>
          <w:rFonts w:ascii="宋体" w:cs="宋体"/>
          <w:sz w:val="24"/>
          <w:szCs w:val="24"/>
        </w:rPr>
      </w:pPr>
      <w:r>
        <w:rPr>
          <w:rFonts w:hint="eastAsia" w:ascii="宋体" w:hAnsi="宋体" w:cs="宋体"/>
          <w:sz w:val="24"/>
          <w:szCs w:val="24"/>
        </w:rPr>
        <w:t>①纳税人所在地在市区的，税率为</w:t>
      </w:r>
      <w:r>
        <w:rPr>
          <w:rFonts w:ascii="宋体" w:hAnsi="宋体" w:cs="宋体"/>
          <w:sz w:val="24"/>
          <w:szCs w:val="24"/>
        </w:rPr>
        <w:t>7%</w:t>
      </w:r>
      <w:r>
        <w:rPr>
          <w:rFonts w:hint="eastAsia" w:ascii="宋体" w:hAnsi="宋体" w:cs="宋体"/>
          <w:sz w:val="24"/>
          <w:szCs w:val="24"/>
        </w:rPr>
        <w:t>；</w:t>
      </w:r>
    </w:p>
    <w:p>
      <w:pPr>
        <w:spacing w:line="360" w:lineRule="auto"/>
        <w:ind w:left="420" w:leftChars="200" w:firstLine="480" w:firstLineChars="200"/>
        <w:rPr>
          <w:rFonts w:ascii="宋体" w:cs="宋体"/>
          <w:sz w:val="24"/>
          <w:szCs w:val="24"/>
        </w:rPr>
      </w:pPr>
      <w:r>
        <w:rPr>
          <w:rFonts w:hint="eastAsia" w:ascii="宋体" w:hAnsi="宋体" w:cs="宋体"/>
          <w:sz w:val="24"/>
          <w:szCs w:val="24"/>
        </w:rPr>
        <w:t>②纳税人所在地在县城、镇的，税率为</w:t>
      </w:r>
      <w:r>
        <w:rPr>
          <w:rFonts w:ascii="宋体" w:hAnsi="宋体" w:cs="宋体"/>
          <w:sz w:val="24"/>
          <w:szCs w:val="24"/>
        </w:rPr>
        <w:t>5%</w:t>
      </w:r>
      <w:r>
        <w:rPr>
          <w:rFonts w:hint="eastAsia" w:ascii="宋体" w:hAnsi="宋体" w:cs="宋体"/>
          <w:sz w:val="24"/>
          <w:szCs w:val="24"/>
        </w:rPr>
        <w:t>；</w:t>
      </w:r>
    </w:p>
    <w:p>
      <w:pPr>
        <w:spacing w:line="360" w:lineRule="auto"/>
        <w:ind w:left="420" w:leftChars="200" w:firstLine="480" w:firstLineChars="200"/>
        <w:rPr>
          <w:rFonts w:ascii="宋体" w:cs="宋体"/>
          <w:sz w:val="24"/>
          <w:szCs w:val="24"/>
        </w:rPr>
      </w:pPr>
      <w:r>
        <w:rPr>
          <w:rFonts w:hint="eastAsia" w:ascii="宋体" w:hAnsi="宋体" w:cs="宋体"/>
          <w:sz w:val="24"/>
          <w:szCs w:val="24"/>
        </w:rPr>
        <w:t>③纳税人所在地不在市区、县城或者镇的，税率为</w:t>
      </w:r>
      <w:r>
        <w:rPr>
          <w:rFonts w:ascii="宋体" w:hAnsi="宋体" w:cs="宋体"/>
          <w:sz w:val="24"/>
          <w:szCs w:val="24"/>
        </w:rPr>
        <w:t>1%</w:t>
      </w:r>
      <w:r>
        <w:rPr>
          <w:rFonts w:hint="eastAsia" w:ascii="宋体" w:hAnsi="宋体" w:cs="宋体"/>
          <w:sz w:val="24"/>
          <w:szCs w:val="24"/>
        </w:rPr>
        <w:t>。</w:t>
      </w:r>
    </w:p>
    <w:p>
      <w:pPr>
        <w:spacing w:line="360" w:lineRule="auto"/>
        <w:ind w:left="420" w:leftChars="200" w:firstLine="480" w:firstLineChars="200"/>
        <w:rPr>
          <w:rFonts w:ascii="宋体" w:cs="宋体"/>
          <w:sz w:val="24"/>
          <w:szCs w:val="24"/>
        </w:rPr>
      </w:pPr>
      <w:r>
        <w:rPr>
          <w:rFonts w:hint="eastAsia" w:ascii="宋体" w:hAnsi="宋体" w:cs="宋体"/>
          <w:sz w:val="24"/>
          <w:szCs w:val="24"/>
        </w:rPr>
        <w:t>因矿山为拟设矿山，采矿权人目前暂未确定，故根据《开发利用方案》确定其城建税适用税率为</w:t>
      </w:r>
      <w:r>
        <w:rPr>
          <w:rFonts w:ascii="宋体" w:hAnsi="宋体" w:cs="宋体"/>
          <w:sz w:val="24"/>
          <w:szCs w:val="24"/>
        </w:rPr>
        <w:t>5%</w:t>
      </w:r>
      <w:r>
        <w:rPr>
          <w:rFonts w:hint="eastAsia" w:ascii="宋体" w:hAnsi="宋体" w:cs="宋体"/>
          <w:sz w:val="24"/>
          <w:szCs w:val="24"/>
        </w:rPr>
        <w:t>。</w:t>
      </w:r>
    </w:p>
    <w:p>
      <w:pPr>
        <w:spacing w:line="360" w:lineRule="auto"/>
        <w:ind w:left="420" w:leftChars="200" w:firstLine="480" w:firstLineChars="200"/>
        <w:rPr>
          <w:rFonts w:ascii="宋体" w:cs="宋体"/>
          <w:sz w:val="24"/>
          <w:szCs w:val="24"/>
        </w:rPr>
      </w:pPr>
      <w:r>
        <w:rPr>
          <w:rFonts w:hint="eastAsia" w:ascii="宋体" w:hAnsi="宋体" w:cs="宋体"/>
          <w:sz w:val="24"/>
          <w:szCs w:val="24"/>
        </w:rPr>
        <w:t>故本次评估确定城市维护建设税税率为</w:t>
      </w:r>
      <w:r>
        <w:rPr>
          <w:rFonts w:ascii="宋体" w:hAnsi="宋体" w:cs="宋体"/>
          <w:sz w:val="24"/>
          <w:szCs w:val="24"/>
        </w:rPr>
        <w:t>5%</w:t>
      </w:r>
      <w:r>
        <w:rPr>
          <w:rFonts w:hint="eastAsia" w:ascii="宋体" w:hAnsi="宋体" w:cs="宋体"/>
          <w:sz w:val="24"/>
          <w:szCs w:val="24"/>
        </w:rPr>
        <w:t>。</w:t>
      </w:r>
    </w:p>
    <w:p>
      <w:pPr>
        <w:spacing w:line="360" w:lineRule="auto"/>
        <w:ind w:left="420" w:leftChars="200" w:firstLine="480" w:firstLineChars="200"/>
        <w:rPr>
          <w:rFonts w:ascii="宋体" w:cs="宋体"/>
          <w:sz w:val="24"/>
          <w:szCs w:val="24"/>
        </w:rPr>
      </w:pPr>
      <w:r>
        <w:rPr>
          <w:rFonts w:hint="eastAsia" w:ascii="宋体" w:hAnsi="宋体" w:cs="宋体"/>
          <w:sz w:val="24"/>
          <w:szCs w:val="24"/>
        </w:rPr>
        <w:t>计算公式：应纳城建税税额＝纳税人实际缴纳的增值税税额×适用税率</w:t>
      </w:r>
    </w:p>
    <w:p>
      <w:pPr>
        <w:spacing w:line="360" w:lineRule="auto"/>
        <w:ind w:left="420" w:leftChars="200" w:firstLine="480" w:firstLineChars="200"/>
        <w:rPr>
          <w:rFonts w:ascii="宋体" w:cs="宋体"/>
          <w:sz w:val="24"/>
          <w:szCs w:val="24"/>
        </w:rPr>
      </w:pPr>
      <w:r>
        <w:rPr>
          <w:rFonts w:hint="eastAsia" w:ascii="宋体" w:hAnsi="宋体" w:cs="宋体"/>
          <w:sz w:val="24"/>
          <w:szCs w:val="24"/>
        </w:rPr>
        <w:t>据此计算，即：</w:t>
      </w:r>
    </w:p>
    <w:p>
      <w:pPr>
        <w:spacing w:line="360" w:lineRule="auto"/>
        <w:ind w:left="4739" w:leftChars="428" w:hanging="3840" w:hangingChars="1600"/>
        <w:rPr>
          <w:rFonts w:ascii="宋体" w:cs="宋体"/>
          <w:sz w:val="24"/>
          <w:szCs w:val="24"/>
        </w:rPr>
      </w:pPr>
      <w:r>
        <w:rPr>
          <w:rFonts w:hint="eastAsia" w:ascii="宋体" w:hAnsi="宋体" w:cs="宋体"/>
          <w:sz w:val="24"/>
          <w:szCs w:val="24"/>
        </w:rPr>
        <w:t>正常生产年份城市维护建设税税额＝纳税人实际缴纳的增值税税额×适用税率</w:t>
      </w:r>
    </w:p>
    <w:p>
      <w:pPr>
        <w:spacing w:line="360" w:lineRule="auto"/>
        <w:ind w:firstLine="4560" w:firstLineChars="1900"/>
        <w:rPr>
          <w:rFonts w:ascii="宋体" w:hAnsi="宋体" w:cs="宋体"/>
          <w:sz w:val="24"/>
          <w:szCs w:val="24"/>
        </w:rPr>
      </w:pPr>
      <w:r>
        <w:rPr>
          <w:rFonts w:hint="eastAsia" w:ascii="宋体" w:hAnsi="宋体" w:cs="宋体"/>
          <w:sz w:val="24"/>
          <w:szCs w:val="24"/>
        </w:rPr>
        <w:t>＝</w:t>
      </w:r>
      <w:r>
        <w:rPr>
          <w:rFonts w:ascii="宋体" w:hAnsi="宋体" w:cs="宋体"/>
          <w:sz w:val="24"/>
          <w:szCs w:val="24"/>
        </w:rPr>
        <w:t>110.67</w:t>
      </w:r>
      <w:r>
        <w:rPr>
          <w:rFonts w:hint="eastAsia" w:ascii="宋体" w:hAnsi="宋体" w:cs="宋体"/>
          <w:sz w:val="24"/>
          <w:szCs w:val="24"/>
        </w:rPr>
        <w:t>×</w:t>
      </w:r>
      <w:r>
        <w:rPr>
          <w:rFonts w:ascii="宋体" w:hAnsi="宋体" w:cs="宋体"/>
          <w:sz w:val="24"/>
          <w:szCs w:val="24"/>
        </w:rPr>
        <w:t>5%</w:t>
      </w:r>
    </w:p>
    <w:p>
      <w:pPr>
        <w:spacing w:line="360" w:lineRule="auto"/>
        <w:ind w:firstLine="4560" w:firstLineChars="1900"/>
        <w:rPr>
          <w:rFonts w:ascii="宋体" w:cs="宋体"/>
          <w:sz w:val="24"/>
          <w:szCs w:val="24"/>
        </w:rPr>
      </w:pPr>
      <w:r>
        <w:rPr>
          <w:rFonts w:hint="eastAsia" w:ascii="宋体" w:hAnsi="宋体" w:cs="宋体"/>
          <w:sz w:val="24"/>
          <w:szCs w:val="24"/>
        </w:rPr>
        <w:t>＝</w:t>
      </w:r>
      <w:r>
        <w:rPr>
          <w:rFonts w:ascii="宋体" w:hAnsi="宋体" w:cs="宋体"/>
          <w:sz w:val="24"/>
          <w:szCs w:val="24"/>
        </w:rPr>
        <w:t>5.53</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）教育费附加</w:t>
      </w:r>
    </w:p>
    <w:p>
      <w:pPr>
        <w:spacing w:line="360" w:lineRule="auto"/>
        <w:ind w:left="420" w:leftChars="200" w:firstLine="480" w:firstLineChars="200"/>
        <w:rPr>
          <w:rFonts w:ascii="宋体" w:cs="宋体"/>
          <w:sz w:val="24"/>
          <w:szCs w:val="24"/>
        </w:rPr>
      </w:pPr>
      <w:r>
        <w:rPr>
          <w:rFonts w:hint="eastAsia" w:ascii="宋体" w:hAnsi="宋体" w:cs="宋体"/>
          <w:sz w:val="24"/>
          <w:szCs w:val="24"/>
        </w:rPr>
        <w:t>根据国务院令</w:t>
      </w:r>
      <w:r>
        <w:rPr>
          <w:rFonts w:ascii="宋体" w:hAnsi="宋体" w:cs="宋体"/>
          <w:sz w:val="24"/>
          <w:szCs w:val="24"/>
        </w:rPr>
        <w:t>[2005]</w:t>
      </w:r>
      <w:r>
        <w:rPr>
          <w:rFonts w:hint="eastAsia" w:ascii="宋体" w:hAnsi="宋体" w:cs="宋体"/>
          <w:sz w:val="24"/>
          <w:szCs w:val="24"/>
        </w:rPr>
        <w:t>第</w:t>
      </w:r>
      <w:r>
        <w:rPr>
          <w:rFonts w:ascii="宋体" w:hAnsi="宋体" w:cs="宋体"/>
          <w:sz w:val="24"/>
          <w:szCs w:val="24"/>
        </w:rPr>
        <w:t>448</w:t>
      </w:r>
      <w:r>
        <w:rPr>
          <w:rFonts w:hint="eastAsia" w:ascii="宋体" w:hAnsi="宋体" w:cs="宋体"/>
          <w:sz w:val="24"/>
          <w:szCs w:val="24"/>
        </w:rPr>
        <w:t>号公布的《国务院关于修改</w:t>
      </w:r>
      <w:r>
        <w:rPr>
          <w:rFonts w:ascii="宋体" w:hAnsi="宋体" w:cs="宋体"/>
          <w:sz w:val="24"/>
          <w:szCs w:val="24"/>
        </w:rPr>
        <w:t>&lt;</w:t>
      </w:r>
      <w:r>
        <w:rPr>
          <w:rFonts w:hint="eastAsia" w:ascii="宋体" w:hAnsi="宋体" w:cs="宋体"/>
          <w:sz w:val="24"/>
          <w:szCs w:val="24"/>
        </w:rPr>
        <w:t>征收教育费附加的暂行规定</w:t>
      </w:r>
      <w:r>
        <w:rPr>
          <w:rFonts w:ascii="宋体" w:hAnsi="宋体" w:cs="宋体"/>
          <w:sz w:val="24"/>
          <w:szCs w:val="24"/>
        </w:rPr>
        <w:t>&gt;</w:t>
      </w:r>
      <w:r>
        <w:rPr>
          <w:rFonts w:hint="eastAsia" w:ascii="宋体" w:hAnsi="宋体" w:cs="宋体"/>
          <w:sz w:val="24"/>
          <w:szCs w:val="24"/>
        </w:rPr>
        <w:t>的决定》，教育费附加率为</w:t>
      </w:r>
      <w:r>
        <w:rPr>
          <w:rFonts w:ascii="宋体" w:hAnsi="宋体" w:cs="宋体"/>
          <w:sz w:val="24"/>
          <w:szCs w:val="24"/>
        </w:rPr>
        <w:t>3%</w:t>
      </w:r>
      <w:r>
        <w:rPr>
          <w:rFonts w:hint="eastAsia" w:ascii="宋体" w:hAnsi="宋体" w:cs="宋体"/>
          <w:sz w:val="24"/>
          <w:szCs w:val="24"/>
        </w:rPr>
        <w:t>。</w:t>
      </w:r>
    </w:p>
    <w:p>
      <w:pPr>
        <w:spacing w:line="360" w:lineRule="auto"/>
        <w:ind w:left="420" w:leftChars="200" w:firstLine="480" w:firstLineChars="200"/>
        <w:rPr>
          <w:rFonts w:ascii="宋体" w:cs="宋体"/>
          <w:sz w:val="24"/>
          <w:szCs w:val="24"/>
        </w:rPr>
      </w:pPr>
      <w:r>
        <w:rPr>
          <w:rFonts w:hint="eastAsia" w:ascii="宋体" w:hAnsi="宋体" w:cs="宋体"/>
          <w:sz w:val="24"/>
          <w:szCs w:val="24"/>
        </w:rPr>
        <w:t>计算公式为：教育费附加＝纳税人实际缴纳的增值税税额×适用税率</w:t>
      </w:r>
    </w:p>
    <w:p>
      <w:pPr>
        <w:spacing w:line="360" w:lineRule="auto"/>
        <w:ind w:left="420" w:leftChars="200" w:firstLine="480" w:firstLineChars="200"/>
        <w:rPr>
          <w:rFonts w:ascii="宋体" w:cs="宋体"/>
          <w:sz w:val="24"/>
          <w:szCs w:val="24"/>
        </w:rPr>
      </w:pPr>
      <w:r>
        <w:rPr>
          <w:rFonts w:hint="eastAsia" w:ascii="宋体" w:hAnsi="宋体" w:cs="宋体"/>
          <w:sz w:val="24"/>
          <w:szCs w:val="24"/>
        </w:rPr>
        <w:t>据此计算，即：</w:t>
      </w:r>
    </w:p>
    <w:p>
      <w:pPr>
        <w:spacing w:line="360" w:lineRule="auto"/>
        <w:ind w:left="420" w:leftChars="200" w:firstLine="240" w:firstLineChars="100"/>
        <w:rPr>
          <w:rFonts w:ascii="宋体" w:cs="宋体"/>
          <w:sz w:val="24"/>
          <w:szCs w:val="24"/>
        </w:rPr>
      </w:pPr>
      <w:r>
        <w:rPr>
          <w:rFonts w:hint="eastAsia" w:ascii="宋体" w:hAnsi="宋体" w:cs="宋体"/>
          <w:sz w:val="24"/>
          <w:szCs w:val="24"/>
        </w:rPr>
        <w:t>正常生产年份教育费附加额＝纳税人实际缴纳的增值税税额×适用税率</w:t>
      </w:r>
    </w:p>
    <w:p>
      <w:pPr>
        <w:spacing w:line="360" w:lineRule="auto"/>
        <w:ind w:left="420" w:leftChars="200" w:firstLine="480" w:firstLineChars="20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110.67</w:t>
      </w:r>
      <w:r>
        <w:rPr>
          <w:rFonts w:hint="eastAsia" w:ascii="宋体" w:hAnsi="宋体" w:cs="宋体"/>
          <w:sz w:val="24"/>
          <w:szCs w:val="24"/>
        </w:rPr>
        <w:t>×</w:t>
      </w:r>
      <w:r>
        <w:rPr>
          <w:rFonts w:ascii="宋体" w:hAnsi="宋体" w:cs="宋体"/>
          <w:sz w:val="24"/>
          <w:szCs w:val="24"/>
        </w:rPr>
        <w:t>3%</w:t>
      </w:r>
    </w:p>
    <w:p>
      <w:pPr>
        <w:spacing w:line="360" w:lineRule="auto"/>
        <w:ind w:left="420" w:leftChars="200" w:firstLine="3120" w:firstLineChars="1300"/>
        <w:rPr>
          <w:rFonts w:ascii="宋体" w:cs="宋体"/>
          <w:sz w:val="24"/>
          <w:szCs w:val="24"/>
        </w:rPr>
      </w:pPr>
      <w:r>
        <w:rPr>
          <w:rFonts w:hint="eastAsia" w:ascii="宋体" w:hAnsi="宋体" w:cs="宋体"/>
          <w:sz w:val="24"/>
          <w:szCs w:val="24"/>
        </w:rPr>
        <w:t>＝</w:t>
      </w:r>
      <w:r>
        <w:rPr>
          <w:rFonts w:ascii="宋体" w:hAnsi="宋体" w:cs="宋体"/>
          <w:sz w:val="24"/>
          <w:szCs w:val="24"/>
        </w:rPr>
        <w:t>3.32</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）地方教育附加</w:t>
      </w:r>
    </w:p>
    <w:p>
      <w:pPr>
        <w:spacing w:line="360" w:lineRule="auto"/>
        <w:ind w:left="420" w:leftChars="200" w:firstLine="480" w:firstLineChars="200"/>
        <w:rPr>
          <w:rFonts w:ascii="宋体" w:cs="宋体"/>
          <w:sz w:val="24"/>
          <w:szCs w:val="24"/>
        </w:rPr>
      </w:pPr>
      <w:r>
        <w:rPr>
          <w:rFonts w:hint="eastAsia" w:ascii="宋体" w:hAnsi="宋体" w:cs="宋体"/>
          <w:sz w:val="24"/>
          <w:szCs w:val="24"/>
        </w:rPr>
        <w:t>根据《关于统一地方教育附加政策有关问题的通知》（财综</w:t>
      </w:r>
      <w:r>
        <w:rPr>
          <w:rFonts w:ascii="宋体" w:hAnsi="宋体" w:cs="宋体"/>
          <w:sz w:val="24"/>
          <w:szCs w:val="24"/>
        </w:rPr>
        <w:t>[2010]98</w:t>
      </w:r>
      <w:r>
        <w:rPr>
          <w:rFonts w:hint="eastAsia" w:ascii="宋体" w:hAnsi="宋体" w:cs="宋体"/>
          <w:sz w:val="24"/>
          <w:szCs w:val="24"/>
        </w:rPr>
        <w:t>号），地方教育附加征收标准统一为单位和个人实际缴纳的增值税、营业税、消费税税额的</w:t>
      </w:r>
      <w:r>
        <w:rPr>
          <w:rFonts w:ascii="宋体" w:hAnsi="宋体" w:cs="宋体"/>
          <w:sz w:val="24"/>
          <w:szCs w:val="24"/>
        </w:rPr>
        <w:t>2%</w:t>
      </w:r>
      <w:r>
        <w:rPr>
          <w:rFonts w:hint="eastAsia" w:ascii="宋体" w:hAnsi="宋体" w:cs="宋体"/>
          <w:sz w:val="24"/>
          <w:szCs w:val="24"/>
        </w:rPr>
        <w:t>，确定地方教育附加率为</w:t>
      </w:r>
      <w:r>
        <w:rPr>
          <w:rFonts w:ascii="宋体" w:hAnsi="宋体" w:cs="宋体"/>
          <w:sz w:val="24"/>
          <w:szCs w:val="24"/>
        </w:rPr>
        <w:t>2%</w:t>
      </w:r>
      <w:r>
        <w:rPr>
          <w:rFonts w:hint="eastAsia" w:ascii="宋体" w:hAnsi="宋体" w:cs="宋体"/>
          <w:sz w:val="24"/>
          <w:szCs w:val="24"/>
        </w:rPr>
        <w:t>。</w:t>
      </w:r>
    </w:p>
    <w:p>
      <w:pPr>
        <w:spacing w:line="360" w:lineRule="auto"/>
        <w:ind w:left="420" w:leftChars="200" w:firstLine="480" w:firstLineChars="200"/>
        <w:rPr>
          <w:rFonts w:ascii="宋体" w:cs="宋体"/>
          <w:sz w:val="24"/>
          <w:szCs w:val="24"/>
        </w:rPr>
      </w:pPr>
      <w:r>
        <w:rPr>
          <w:rFonts w:hint="eastAsia" w:ascii="宋体" w:hAnsi="宋体" w:cs="宋体"/>
          <w:sz w:val="24"/>
          <w:szCs w:val="24"/>
        </w:rPr>
        <w:t>计算公式：地方教育附加＝纳税人实际缴纳的增值税税额×适用税率</w:t>
      </w:r>
    </w:p>
    <w:p>
      <w:pPr>
        <w:spacing w:line="360" w:lineRule="auto"/>
        <w:ind w:left="420" w:leftChars="200" w:firstLine="480" w:firstLineChars="200"/>
        <w:rPr>
          <w:rFonts w:ascii="宋体" w:cs="宋体"/>
          <w:sz w:val="24"/>
          <w:szCs w:val="24"/>
        </w:rPr>
      </w:pPr>
      <w:r>
        <w:rPr>
          <w:rFonts w:hint="eastAsia" w:ascii="宋体" w:hAnsi="宋体" w:cs="宋体"/>
          <w:sz w:val="24"/>
          <w:szCs w:val="24"/>
        </w:rPr>
        <w:t>据此计算，即：</w:t>
      </w:r>
    </w:p>
    <w:p>
      <w:pPr>
        <w:spacing w:line="360" w:lineRule="auto"/>
        <w:ind w:left="420" w:leftChars="200" w:firstLine="240" w:firstLineChars="100"/>
        <w:rPr>
          <w:rFonts w:ascii="宋体" w:cs="宋体"/>
          <w:sz w:val="24"/>
          <w:szCs w:val="24"/>
        </w:rPr>
      </w:pPr>
      <w:r>
        <w:rPr>
          <w:rFonts w:hint="eastAsia" w:ascii="宋体" w:hAnsi="宋体" w:cs="宋体"/>
          <w:sz w:val="24"/>
          <w:szCs w:val="24"/>
        </w:rPr>
        <w:t>正常生产年份教育费附加额＝纳税人实际缴纳的增值税税额×适用税率</w:t>
      </w:r>
    </w:p>
    <w:p>
      <w:pPr>
        <w:spacing w:line="360" w:lineRule="auto"/>
        <w:ind w:firstLine="3600" w:firstLineChars="1500"/>
        <w:rPr>
          <w:rFonts w:ascii="宋体" w:hAnsi="宋体" w:cs="宋体"/>
          <w:sz w:val="24"/>
          <w:szCs w:val="24"/>
        </w:rPr>
      </w:pPr>
      <w:r>
        <w:rPr>
          <w:rFonts w:hint="eastAsia" w:ascii="宋体" w:hAnsi="宋体" w:cs="宋体"/>
          <w:sz w:val="24"/>
          <w:szCs w:val="24"/>
        </w:rPr>
        <w:t>＝</w:t>
      </w:r>
      <w:r>
        <w:rPr>
          <w:rFonts w:ascii="宋体" w:hAnsi="宋体" w:cs="宋体"/>
          <w:sz w:val="24"/>
          <w:szCs w:val="24"/>
        </w:rPr>
        <w:t>110.67</w:t>
      </w:r>
      <w:r>
        <w:rPr>
          <w:rFonts w:hint="eastAsia" w:ascii="宋体" w:hAnsi="宋体" w:cs="宋体"/>
          <w:sz w:val="24"/>
          <w:szCs w:val="24"/>
        </w:rPr>
        <w:t>×</w:t>
      </w:r>
      <w:r>
        <w:rPr>
          <w:rFonts w:ascii="宋体" w:hAnsi="宋体" w:cs="宋体"/>
          <w:sz w:val="24"/>
          <w:szCs w:val="24"/>
        </w:rPr>
        <w:t>2%</w:t>
      </w:r>
    </w:p>
    <w:p>
      <w:pPr>
        <w:spacing w:line="360" w:lineRule="auto"/>
        <w:ind w:firstLine="3600" w:firstLineChars="1500"/>
        <w:rPr>
          <w:rFonts w:ascii="宋体" w:cs="宋体"/>
          <w:sz w:val="24"/>
          <w:szCs w:val="24"/>
        </w:rPr>
      </w:pPr>
      <w:r>
        <w:rPr>
          <w:rFonts w:hint="eastAsia" w:ascii="宋体" w:hAnsi="宋体" w:cs="宋体"/>
          <w:sz w:val="24"/>
          <w:szCs w:val="24"/>
        </w:rPr>
        <w:t>＝</w:t>
      </w:r>
      <w:r>
        <w:rPr>
          <w:rFonts w:ascii="宋体" w:hAnsi="宋体" w:cs="宋体"/>
          <w:sz w:val="24"/>
          <w:szCs w:val="24"/>
        </w:rPr>
        <w:t>2.21</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）资源税</w:t>
      </w:r>
    </w:p>
    <w:p>
      <w:pPr>
        <w:spacing w:line="360" w:lineRule="auto"/>
        <w:ind w:left="420" w:leftChars="200" w:firstLine="480" w:firstLineChars="200"/>
        <w:rPr>
          <w:rFonts w:ascii="宋体" w:cs="宋体"/>
          <w:sz w:val="24"/>
          <w:szCs w:val="24"/>
        </w:rPr>
      </w:pPr>
      <w:r>
        <w:rPr>
          <w:rFonts w:hint="eastAsia" w:ascii="宋体" w:hAnsi="宋体" w:cs="宋体"/>
          <w:sz w:val="24"/>
          <w:szCs w:val="24"/>
        </w:rPr>
        <w:t>根据广东省人民政府发布的《</w:t>
      </w:r>
      <w:bookmarkStart w:id="124" w:name="OLE_LINK1"/>
      <w:r>
        <w:rPr>
          <w:rFonts w:hint="eastAsia" w:ascii="宋体" w:hAnsi="宋体" w:cs="宋体"/>
          <w:sz w:val="24"/>
          <w:szCs w:val="24"/>
        </w:rPr>
        <w:t>广东省人民政府关于实施资源税改革的通知</w:t>
      </w:r>
      <w:bookmarkEnd w:id="124"/>
      <w:r>
        <w:rPr>
          <w:rFonts w:hint="eastAsia" w:ascii="宋体" w:hAnsi="宋体" w:cs="宋体"/>
          <w:sz w:val="24"/>
          <w:szCs w:val="24"/>
        </w:rPr>
        <w:t>》（粤府</w:t>
      </w:r>
      <w:r>
        <w:rPr>
          <w:rFonts w:ascii="宋体" w:hAnsi="宋体" w:cs="宋体"/>
          <w:sz w:val="24"/>
          <w:szCs w:val="24"/>
        </w:rPr>
        <w:t>[2016]67</w:t>
      </w:r>
      <w:r>
        <w:rPr>
          <w:rFonts w:hint="eastAsia" w:ascii="宋体" w:hAnsi="宋体" w:cs="宋体"/>
          <w:sz w:val="24"/>
          <w:szCs w:val="24"/>
        </w:rPr>
        <w:t>号），建筑用砂石资源税为</w:t>
      </w:r>
      <w:r>
        <w:rPr>
          <w:rFonts w:ascii="宋体" w:hAnsi="宋体" w:cs="宋体"/>
          <w:sz w:val="24"/>
          <w:szCs w:val="24"/>
        </w:rPr>
        <w:t>1.5</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cs="宋体"/>
          <w:sz w:val="24"/>
          <w:szCs w:val="24"/>
        </w:rPr>
      </w:pPr>
      <w:r>
        <w:rPr>
          <w:rFonts w:hint="eastAsia" w:ascii="宋体" w:hAnsi="宋体" w:cs="宋体"/>
          <w:sz w:val="24"/>
          <w:szCs w:val="24"/>
        </w:rPr>
        <w:t>故本次评估确定资源税为</w:t>
      </w:r>
      <w:r>
        <w:rPr>
          <w:rFonts w:ascii="宋体" w:hAnsi="宋体" w:cs="宋体"/>
          <w:sz w:val="24"/>
          <w:szCs w:val="24"/>
        </w:rPr>
        <w:t>1.5</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立方米。</w:t>
      </w:r>
    </w:p>
    <w:p>
      <w:pPr>
        <w:spacing w:line="360" w:lineRule="auto"/>
        <w:ind w:left="420" w:leftChars="200" w:firstLine="480" w:firstLineChars="200"/>
        <w:rPr>
          <w:rFonts w:ascii="宋体" w:cs="宋体"/>
          <w:sz w:val="24"/>
          <w:szCs w:val="24"/>
        </w:rPr>
      </w:pPr>
      <w:r>
        <w:rPr>
          <w:rFonts w:hint="eastAsia" w:ascii="宋体" w:hAnsi="宋体" w:cs="宋体"/>
          <w:sz w:val="24"/>
          <w:szCs w:val="24"/>
        </w:rPr>
        <w:t>正常生产年份应纳资源税税额＝年原矿产量×单位资源税</w:t>
      </w:r>
    </w:p>
    <w:p>
      <w:pPr>
        <w:spacing w:line="360" w:lineRule="auto"/>
        <w:ind w:left="420" w:leftChars="200" w:firstLine="3600" w:firstLineChars="1500"/>
        <w:rPr>
          <w:rFonts w:ascii="宋体" w:hAnsi="宋体" w:cs="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1.5</w:t>
      </w:r>
    </w:p>
    <w:p>
      <w:pPr>
        <w:spacing w:line="360" w:lineRule="auto"/>
        <w:ind w:left="420" w:leftChars="200" w:firstLine="3600" w:firstLineChars="1500"/>
        <w:rPr>
          <w:rFonts w:ascii="宋体" w:cs="宋体"/>
          <w:sz w:val="24"/>
          <w:szCs w:val="24"/>
        </w:rPr>
      </w:pPr>
      <w:r>
        <w:rPr>
          <w:rFonts w:hint="eastAsia" w:ascii="宋体" w:hAnsi="宋体" w:cs="宋体"/>
          <w:sz w:val="24"/>
          <w:szCs w:val="24"/>
        </w:rPr>
        <w:t>＝</w:t>
      </w:r>
      <w:r>
        <w:rPr>
          <w:rFonts w:ascii="宋体" w:hAnsi="宋体" w:cs="宋体"/>
          <w:sz w:val="24"/>
          <w:szCs w:val="24"/>
        </w:rPr>
        <w:t>15.00</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）税金及附加</w:t>
      </w:r>
    </w:p>
    <w:p>
      <w:pPr>
        <w:spacing w:line="360" w:lineRule="auto"/>
        <w:ind w:left="4139" w:leftChars="371" w:hanging="3360" w:hangingChars="1400"/>
        <w:rPr>
          <w:rFonts w:ascii="宋体" w:cs="宋体"/>
          <w:sz w:val="24"/>
          <w:szCs w:val="24"/>
        </w:rPr>
      </w:pPr>
      <w:r>
        <w:rPr>
          <w:rFonts w:hint="eastAsia" w:ascii="宋体" w:hAnsi="宋体" w:cs="宋体"/>
          <w:sz w:val="24"/>
          <w:szCs w:val="24"/>
        </w:rPr>
        <w:t>正常生产年份税金及附加＝城市维护建设税＋教育费附加＋地方教育附加＋资源税</w:t>
      </w:r>
    </w:p>
    <w:p>
      <w:pPr>
        <w:spacing w:line="360" w:lineRule="auto"/>
        <w:ind w:firstLine="3600" w:firstLineChars="1500"/>
        <w:rPr>
          <w:rFonts w:ascii="宋体" w:hAnsi="宋体" w:cs="宋体"/>
          <w:sz w:val="24"/>
          <w:szCs w:val="24"/>
        </w:rPr>
      </w:pPr>
      <w:r>
        <w:rPr>
          <w:rFonts w:hint="eastAsia" w:ascii="宋体" w:hAnsi="宋体" w:cs="宋体"/>
          <w:sz w:val="24"/>
          <w:szCs w:val="24"/>
        </w:rPr>
        <w:t>＝</w:t>
      </w:r>
      <w:r>
        <w:rPr>
          <w:rFonts w:ascii="宋体" w:hAnsi="宋体" w:cs="宋体"/>
          <w:sz w:val="24"/>
          <w:szCs w:val="24"/>
        </w:rPr>
        <w:t>5.53</w:t>
      </w:r>
      <w:r>
        <w:rPr>
          <w:rFonts w:hint="eastAsia" w:ascii="宋体" w:hAnsi="宋体" w:cs="宋体"/>
          <w:sz w:val="24"/>
          <w:szCs w:val="24"/>
        </w:rPr>
        <w:t>＋</w:t>
      </w:r>
      <w:r>
        <w:rPr>
          <w:rFonts w:ascii="宋体" w:hAnsi="宋体" w:cs="宋体"/>
          <w:sz w:val="24"/>
          <w:szCs w:val="24"/>
        </w:rPr>
        <w:t>3.32</w:t>
      </w:r>
      <w:r>
        <w:rPr>
          <w:rFonts w:hint="eastAsia" w:ascii="宋体" w:hAnsi="宋体" w:cs="宋体"/>
          <w:sz w:val="24"/>
          <w:szCs w:val="24"/>
        </w:rPr>
        <w:t>＋</w:t>
      </w:r>
      <w:r>
        <w:rPr>
          <w:rFonts w:ascii="宋体" w:hAnsi="宋体" w:cs="宋体"/>
          <w:sz w:val="24"/>
          <w:szCs w:val="24"/>
        </w:rPr>
        <w:t>2.21</w:t>
      </w:r>
      <w:r>
        <w:rPr>
          <w:rFonts w:hint="eastAsia" w:ascii="宋体" w:hAnsi="宋体" w:cs="宋体"/>
          <w:sz w:val="24"/>
          <w:szCs w:val="24"/>
        </w:rPr>
        <w:t>＋</w:t>
      </w:r>
      <w:r>
        <w:rPr>
          <w:rFonts w:ascii="宋体" w:hAnsi="宋体" w:cs="宋体"/>
          <w:sz w:val="24"/>
          <w:szCs w:val="24"/>
        </w:rPr>
        <w:t>15.00</w:t>
      </w:r>
    </w:p>
    <w:p>
      <w:pPr>
        <w:spacing w:line="360" w:lineRule="auto"/>
        <w:ind w:firstLine="3600" w:firstLineChars="1500"/>
        <w:rPr>
          <w:rFonts w:ascii="宋体" w:cs="宋体"/>
          <w:sz w:val="24"/>
          <w:szCs w:val="24"/>
        </w:rPr>
      </w:pPr>
      <w:r>
        <w:rPr>
          <w:rFonts w:hint="eastAsia" w:ascii="宋体" w:hAnsi="宋体" w:cs="宋体"/>
          <w:sz w:val="24"/>
          <w:szCs w:val="24"/>
        </w:rPr>
        <w:t>＝</w:t>
      </w:r>
      <w:r>
        <w:rPr>
          <w:rFonts w:ascii="宋体" w:hAnsi="宋体" w:cs="宋体"/>
          <w:sz w:val="24"/>
          <w:szCs w:val="24"/>
        </w:rPr>
        <w:t>26.06</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）企业所得税</w:t>
      </w:r>
    </w:p>
    <w:p>
      <w:pPr>
        <w:spacing w:line="360" w:lineRule="auto"/>
        <w:ind w:left="420" w:leftChars="200" w:firstLine="480" w:firstLineChars="200"/>
        <w:rPr>
          <w:rFonts w:ascii="宋体" w:cs="宋体"/>
          <w:sz w:val="24"/>
          <w:szCs w:val="24"/>
        </w:rPr>
      </w:pPr>
      <w:r>
        <w:rPr>
          <w:rFonts w:hint="eastAsia" w:ascii="宋体" w:hAnsi="宋体" w:cs="宋体"/>
          <w:sz w:val="24"/>
          <w:szCs w:val="24"/>
        </w:rPr>
        <w:t>据</w:t>
      </w:r>
      <w:r>
        <w:rPr>
          <w:rFonts w:ascii="宋体" w:hAnsi="宋体" w:cs="宋体"/>
          <w:sz w:val="24"/>
          <w:szCs w:val="24"/>
        </w:rPr>
        <w:t>2007</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w:t>
      </w:r>
      <w:r>
        <w:rPr>
          <w:rFonts w:ascii="宋体" w:hAnsi="宋体" w:cs="宋体"/>
          <w:sz w:val="24"/>
          <w:szCs w:val="24"/>
        </w:rPr>
        <w:t>16</w:t>
      </w:r>
      <w:r>
        <w:rPr>
          <w:rFonts w:hint="eastAsia" w:ascii="宋体" w:hAnsi="宋体" w:cs="宋体"/>
          <w:sz w:val="24"/>
          <w:szCs w:val="24"/>
        </w:rPr>
        <w:t>日第十届全国人民代表大会第五次会议通过的《中华人民共和国企业所得税法》规定，从</w:t>
      </w:r>
      <w:r>
        <w:rPr>
          <w:rFonts w:ascii="宋体" w:hAnsi="宋体" w:cs="宋体"/>
          <w:sz w:val="24"/>
          <w:szCs w:val="24"/>
        </w:rPr>
        <w:t>2008</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日起，企业所得税税率为</w:t>
      </w:r>
      <w:r>
        <w:rPr>
          <w:rFonts w:ascii="宋体" w:hAnsi="宋体" w:cs="宋体"/>
          <w:sz w:val="24"/>
          <w:szCs w:val="24"/>
        </w:rPr>
        <w:t>25%</w:t>
      </w:r>
      <w:r>
        <w:rPr>
          <w:rFonts w:hint="eastAsia" w:ascii="宋体" w:hAnsi="宋体" w:cs="宋体"/>
          <w:sz w:val="24"/>
          <w:szCs w:val="24"/>
        </w:rPr>
        <w:t>。本次评估按</w:t>
      </w:r>
      <w:r>
        <w:rPr>
          <w:rFonts w:ascii="宋体" w:hAnsi="宋体" w:cs="宋体"/>
          <w:sz w:val="24"/>
          <w:szCs w:val="24"/>
        </w:rPr>
        <w:t>25%</w:t>
      </w:r>
      <w:r>
        <w:rPr>
          <w:rFonts w:hint="eastAsia" w:ascii="宋体" w:hAnsi="宋体" w:cs="宋体"/>
          <w:sz w:val="24"/>
          <w:szCs w:val="24"/>
        </w:rPr>
        <w:t>税率估算企业所得税。</w:t>
      </w:r>
    </w:p>
    <w:p>
      <w:pPr>
        <w:autoSpaceDE w:val="0"/>
        <w:autoSpaceDN w:val="0"/>
        <w:spacing w:line="360" w:lineRule="auto"/>
        <w:ind w:left="454" w:firstLine="480" w:firstLineChars="200"/>
        <w:jc w:val="left"/>
        <w:rPr>
          <w:rFonts w:ascii="宋体" w:cs="宋体"/>
          <w:sz w:val="24"/>
          <w:szCs w:val="24"/>
        </w:rPr>
      </w:pPr>
      <w:r>
        <w:rPr>
          <w:rFonts w:hint="eastAsia" w:ascii="宋体" w:hAnsi="宋体" w:cs="宋体"/>
          <w:sz w:val="24"/>
          <w:szCs w:val="24"/>
        </w:rPr>
        <w:t>据此计算，即：</w:t>
      </w:r>
    </w:p>
    <w:p>
      <w:pPr>
        <w:autoSpaceDE w:val="0"/>
        <w:autoSpaceDN w:val="0"/>
        <w:spacing w:line="360" w:lineRule="auto"/>
        <w:ind w:left="3572" w:leftChars="444" w:hanging="2640" w:hangingChars="1100"/>
        <w:jc w:val="left"/>
        <w:rPr>
          <w:rFonts w:ascii="宋体" w:cs="宋体"/>
          <w:sz w:val="24"/>
          <w:szCs w:val="24"/>
        </w:rPr>
      </w:pPr>
      <w:r>
        <w:rPr>
          <w:rFonts w:hint="eastAsia" w:ascii="宋体" w:hAnsi="宋体" w:cs="宋体"/>
          <w:sz w:val="24"/>
          <w:szCs w:val="24"/>
        </w:rPr>
        <w:t>正常生产年份利润总额＝销售收入－总成本费用－税金及附加</w:t>
      </w:r>
    </w:p>
    <w:p>
      <w:pPr>
        <w:autoSpaceDE w:val="0"/>
        <w:autoSpaceDN w:val="0"/>
        <w:spacing w:line="360" w:lineRule="auto"/>
        <w:ind w:left="454" w:leftChars="216" w:firstLine="2880" w:firstLineChars="1200"/>
        <w:jc w:val="left"/>
        <w:rPr>
          <w:rFonts w:ascii="宋体" w:cs="宋体"/>
          <w:sz w:val="24"/>
          <w:szCs w:val="24"/>
        </w:rPr>
      </w:pPr>
      <w:r>
        <w:rPr>
          <w:rFonts w:hint="eastAsia" w:ascii="宋体" w:hAnsi="宋体" w:cs="宋体"/>
          <w:sz w:val="24"/>
          <w:szCs w:val="24"/>
        </w:rPr>
        <w:t>＝</w:t>
      </w:r>
      <w:r>
        <w:rPr>
          <w:rFonts w:ascii="宋体" w:hAnsi="宋体" w:cs="宋体"/>
          <w:sz w:val="24"/>
          <w:szCs w:val="24"/>
        </w:rPr>
        <w:t>961.54</w:t>
      </w:r>
      <w:r>
        <w:rPr>
          <w:rFonts w:hint="eastAsia" w:ascii="宋体" w:hAnsi="宋体" w:cs="宋体"/>
          <w:sz w:val="24"/>
          <w:szCs w:val="24"/>
        </w:rPr>
        <w:t>－</w:t>
      </w:r>
      <w:r>
        <w:rPr>
          <w:rFonts w:ascii="宋体" w:hAnsi="宋体" w:cs="宋体"/>
          <w:sz w:val="24"/>
          <w:szCs w:val="24"/>
        </w:rPr>
        <w:t>695.27</w:t>
      </w:r>
      <w:r>
        <w:rPr>
          <w:rFonts w:hint="eastAsia" w:ascii="宋体" w:hAnsi="宋体" w:cs="宋体"/>
          <w:sz w:val="24"/>
          <w:szCs w:val="24"/>
        </w:rPr>
        <w:t>－</w:t>
      </w:r>
      <w:r>
        <w:rPr>
          <w:rFonts w:ascii="宋体" w:hAnsi="宋体" w:cs="宋体"/>
          <w:sz w:val="24"/>
          <w:szCs w:val="24"/>
        </w:rPr>
        <w:t>26.06</w:t>
      </w:r>
    </w:p>
    <w:p>
      <w:pPr>
        <w:autoSpaceDE w:val="0"/>
        <w:autoSpaceDN w:val="0"/>
        <w:spacing w:line="360" w:lineRule="auto"/>
        <w:ind w:left="454" w:leftChars="216" w:firstLine="2880" w:firstLineChars="1200"/>
        <w:jc w:val="left"/>
        <w:rPr>
          <w:rFonts w:ascii="宋体" w:cs="宋体"/>
          <w:sz w:val="24"/>
          <w:szCs w:val="24"/>
        </w:rPr>
      </w:pPr>
      <w:r>
        <w:rPr>
          <w:rFonts w:hint="eastAsia" w:ascii="宋体" w:hAnsi="宋体" w:cs="宋体"/>
          <w:sz w:val="24"/>
          <w:szCs w:val="24"/>
        </w:rPr>
        <w:t>＝</w:t>
      </w:r>
      <w:r>
        <w:rPr>
          <w:rFonts w:ascii="宋体" w:hAnsi="宋体" w:cs="宋体"/>
          <w:sz w:val="24"/>
          <w:szCs w:val="24"/>
        </w:rPr>
        <w:t>240.21</w:t>
      </w:r>
      <w:r>
        <w:rPr>
          <w:rFonts w:hint="eastAsia" w:ascii="宋体" w:hAnsi="宋体" w:cs="宋体"/>
          <w:sz w:val="24"/>
          <w:szCs w:val="24"/>
        </w:rPr>
        <w:t>万元</w:t>
      </w:r>
    </w:p>
    <w:p>
      <w:pPr>
        <w:autoSpaceDE w:val="0"/>
        <w:autoSpaceDN w:val="0"/>
        <w:spacing w:line="360" w:lineRule="auto"/>
        <w:ind w:left="454" w:firstLine="480" w:firstLineChars="200"/>
        <w:jc w:val="left"/>
        <w:rPr>
          <w:rFonts w:ascii="宋体" w:cs="宋体"/>
          <w:sz w:val="24"/>
          <w:szCs w:val="24"/>
        </w:rPr>
      </w:pPr>
      <w:r>
        <w:rPr>
          <w:rFonts w:hint="eastAsia" w:ascii="宋体" w:hAnsi="宋体" w:cs="宋体"/>
          <w:sz w:val="24"/>
          <w:szCs w:val="24"/>
        </w:rPr>
        <w:t>正常生产年份所得税税额＝利润总额×所得税税率</w:t>
      </w:r>
    </w:p>
    <w:p>
      <w:pPr>
        <w:autoSpaceDE w:val="0"/>
        <w:autoSpaceDN w:val="0"/>
        <w:spacing w:line="360" w:lineRule="auto"/>
        <w:ind w:left="454" w:leftChars="216" w:firstLine="3120" w:firstLineChars="1300"/>
        <w:jc w:val="left"/>
        <w:rPr>
          <w:rFonts w:ascii="宋体" w:hAnsi="宋体" w:cs="宋体"/>
          <w:sz w:val="24"/>
          <w:szCs w:val="24"/>
        </w:rPr>
      </w:pPr>
      <w:r>
        <w:rPr>
          <w:rFonts w:hint="eastAsia" w:ascii="宋体" w:hAnsi="宋体" w:cs="宋体"/>
          <w:sz w:val="24"/>
          <w:szCs w:val="24"/>
        </w:rPr>
        <w:t>＝</w:t>
      </w:r>
      <w:r>
        <w:rPr>
          <w:rFonts w:ascii="宋体" w:hAnsi="宋体" w:cs="宋体"/>
          <w:sz w:val="24"/>
          <w:szCs w:val="24"/>
        </w:rPr>
        <w:t>240.21</w:t>
      </w:r>
      <w:r>
        <w:rPr>
          <w:rFonts w:hint="eastAsia" w:ascii="宋体" w:hAnsi="宋体" w:cs="宋体"/>
          <w:sz w:val="24"/>
          <w:szCs w:val="24"/>
        </w:rPr>
        <w:t>×</w:t>
      </w:r>
      <w:r>
        <w:rPr>
          <w:rFonts w:ascii="宋体" w:hAnsi="宋体" w:cs="宋体"/>
          <w:sz w:val="24"/>
          <w:szCs w:val="24"/>
        </w:rPr>
        <w:t>25%</w:t>
      </w:r>
    </w:p>
    <w:p>
      <w:pPr>
        <w:autoSpaceDE w:val="0"/>
        <w:autoSpaceDN w:val="0"/>
        <w:spacing w:line="360" w:lineRule="auto"/>
        <w:ind w:left="454" w:leftChars="216" w:firstLine="3120" w:firstLineChars="1300"/>
        <w:jc w:val="left"/>
        <w:rPr>
          <w:rFonts w:ascii="宋体" w:cs="宋体"/>
          <w:sz w:val="24"/>
          <w:szCs w:val="24"/>
        </w:rPr>
      </w:pPr>
      <w:r>
        <w:rPr>
          <w:rFonts w:hint="eastAsia" w:ascii="宋体" w:hAnsi="宋体" w:cs="宋体"/>
          <w:sz w:val="24"/>
          <w:szCs w:val="24"/>
        </w:rPr>
        <w:t>＝</w:t>
      </w:r>
      <w:r>
        <w:rPr>
          <w:rFonts w:ascii="宋体" w:hAnsi="宋体" w:cs="宋体"/>
          <w:sz w:val="24"/>
          <w:szCs w:val="24"/>
        </w:rPr>
        <w:t>60.05</w:t>
      </w:r>
      <w:r>
        <w:rPr>
          <w:rFonts w:hint="eastAsia" w:ascii="宋体" w:hAnsi="宋体" w:cs="宋体"/>
          <w:sz w:val="24"/>
          <w:szCs w:val="24"/>
        </w:rPr>
        <w:t>万元</w:t>
      </w:r>
    </w:p>
    <w:p>
      <w:pPr>
        <w:spacing w:line="360" w:lineRule="auto"/>
        <w:ind w:left="420" w:leftChars="200"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、折现率</w:t>
      </w:r>
    </w:p>
    <w:p>
      <w:pPr>
        <w:spacing w:line="360" w:lineRule="auto"/>
        <w:ind w:left="420" w:leftChars="200" w:firstLine="480" w:firstLineChars="200"/>
        <w:rPr>
          <w:rFonts w:ascii="宋体" w:cs="宋体"/>
          <w:sz w:val="24"/>
          <w:szCs w:val="24"/>
        </w:rPr>
      </w:pPr>
      <w:r>
        <w:rPr>
          <w:rFonts w:hint="eastAsia" w:ascii="宋体" w:hAnsi="宋体" w:cs="宋体"/>
          <w:sz w:val="24"/>
          <w:szCs w:val="24"/>
        </w:rPr>
        <w:t>根据《关于实施</w:t>
      </w:r>
      <w:r>
        <w:rPr>
          <w:rFonts w:ascii="宋体" w:hAnsi="宋体" w:cs="宋体"/>
          <w:sz w:val="24"/>
          <w:szCs w:val="24"/>
        </w:rPr>
        <w:t>&lt;</w:t>
      </w:r>
      <w:r>
        <w:rPr>
          <w:rFonts w:hint="eastAsia" w:ascii="宋体" w:hAnsi="宋体" w:cs="宋体"/>
          <w:sz w:val="24"/>
          <w:szCs w:val="24"/>
        </w:rPr>
        <w:t>矿业权评估收益途径评估方法修改方案</w:t>
      </w:r>
      <w:r>
        <w:rPr>
          <w:rFonts w:ascii="宋体" w:hAnsi="宋体" w:cs="宋体"/>
          <w:sz w:val="24"/>
          <w:szCs w:val="24"/>
        </w:rPr>
        <w:t>&gt;</w:t>
      </w:r>
      <w:r>
        <w:rPr>
          <w:rFonts w:hint="eastAsia" w:ascii="宋体" w:hAnsi="宋体" w:cs="宋体"/>
          <w:sz w:val="24"/>
          <w:szCs w:val="24"/>
        </w:rPr>
        <w:t>的公告》（国土资源部公告</w:t>
      </w:r>
      <w:r>
        <w:rPr>
          <w:rFonts w:ascii="宋体" w:hAnsi="宋体" w:cs="宋体"/>
          <w:sz w:val="24"/>
          <w:szCs w:val="24"/>
        </w:rPr>
        <w:t>2006</w:t>
      </w:r>
      <w:r>
        <w:rPr>
          <w:rFonts w:hint="eastAsia" w:ascii="宋体" w:hAnsi="宋体" w:cs="宋体"/>
          <w:sz w:val="24"/>
          <w:szCs w:val="24"/>
        </w:rPr>
        <w:t>年第</w:t>
      </w:r>
      <w:r>
        <w:rPr>
          <w:rFonts w:ascii="宋体" w:hAnsi="宋体" w:cs="宋体"/>
          <w:sz w:val="24"/>
          <w:szCs w:val="24"/>
        </w:rPr>
        <w:t>18</w:t>
      </w:r>
      <w:r>
        <w:rPr>
          <w:rFonts w:hint="eastAsia" w:ascii="宋体" w:hAnsi="宋体" w:cs="宋体"/>
          <w:sz w:val="24"/>
          <w:szCs w:val="24"/>
        </w:rPr>
        <w:t>号），地质勘查程度为勘探以上的探矿权及采矿权评估折现率取</w:t>
      </w:r>
      <w:r>
        <w:rPr>
          <w:rFonts w:ascii="宋体" w:hAnsi="宋体" w:cs="宋体"/>
          <w:sz w:val="24"/>
          <w:szCs w:val="24"/>
        </w:rPr>
        <w:t>8</w:t>
      </w:r>
      <w:r>
        <w:rPr>
          <w:rFonts w:hint="eastAsia" w:ascii="宋体" w:hAnsi="宋体" w:cs="宋体"/>
          <w:sz w:val="24"/>
          <w:szCs w:val="24"/>
        </w:rPr>
        <w:t>％，地质勘查程度为详查及以下的探矿权评估折现率取</w:t>
      </w:r>
      <w:r>
        <w:rPr>
          <w:rFonts w:ascii="宋体" w:hAnsi="宋体" w:cs="宋体"/>
          <w:sz w:val="24"/>
          <w:szCs w:val="24"/>
        </w:rPr>
        <w:t>9</w:t>
      </w:r>
      <w:r>
        <w:rPr>
          <w:rFonts w:hint="eastAsia" w:ascii="宋体" w:hAnsi="宋体" w:cs="宋体"/>
          <w:sz w:val="24"/>
          <w:szCs w:val="24"/>
        </w:rPr>
        <w:t>％。本项目为采矿权评估，折现率取</w:t>
      </w:r>
      <w:r>
        <w:rPr>
          <w:rFonts w:ascii="宋体" w:hAnsi="宋体" w:cs="宋体"/>
          <w:sz w:val="24"/>
          <w:szCs w:val="24"/>
        </w:rPr>
        <w:t>8.00</w:t>
      </w:r>
      <w:r>
        <w:rPr>
          <w:rFonts w:hint="eastAsia" w:ascii="宋体" w:hAnsi="宋体" w:cs="宋体"/>
          <w:sz w:val="24"/>
          <w:szCs w:val="24"/>
        </w:rPr>
        <w:t>％。</w:t>
      </w:r>
    </w:p>
    <w:p>
      <w:pPr>
        <w:autoSpaceDE w:val="0"/>
        <w:autoSpaceDN w:val="0"/>
        <w:spacing w:line="360" w:lineRule="auto"/>
        <w:ind w:left="200" w:firstLine="480" w:firstLineChars="200"/>
        <w:jc w:val="left"/>
        <w:rPr>
          <w:rFonts w:ascii="宋体" w:cs="Times New Roman"/>
          <w:sz w:val="24"/>
          <w:szCs w:val="24"/>
        </w:rPr>
      </w:pPr>
    </w:p>
    <w:p>
      <w:pPr>
        <w:spacing w:line="360" w:lineRule="auto"/>
        <w:ind w:left="420" w:leftChars="200" w:firstLine="482" w:firstLineChars="200"/>
        <w:jc w:val="center"/>
        <w:outlineLvl w:val="0"/>
        <w:rPr>
          <w:rFonts w:ascii="宋体" w:cs="Times New Roman"/>
          <w:b/>
          <w:bCs/>
          <w:sz w:val="24"/>
          <w:szCs w:val="24"/>
        </w:rPr>
      </w:pPr>
      <w:bookmarkStart w:id="125" w:name="_Toc522712203"/>
      <w:r>
        <w:rPr>
          <w:rFonts w:hint="eastAsia" w:ascii="宋体" w:hAnsi="宋体" w:cs="宋体"/>
          <w:b/>
          <w:bCs/>
          <w:sz w:val="24"/>
          <w:szCs w:val="24"/>
        </w:rPr>
        <w:t>十二</w:t>
      </w:r>
      <w:bookmarkStart w:id="126" w:name="_Toc515199700"/>
      <w:r>
        <w:rPr>
          <w:rFonts w:hint="eastAsia" w:ascii="宋体" w:hAnsi="宋体" w:cs="宋体"/>
          <w:b/>
          <w:bCs/>
          <w:sz w:val="24"/>
          <w:szCs w:val="24"/>
        </w:rPr>
        <w:t>、评估假设</w:t>
      </w:r>
      <w:bookmarkEnd w:id="125"/>
    </w:p>
    <w:p>
      <w:pPr>
        <w:autoSpaceDE w:val="0"/>
        <w:autoSpaceDN w:val="0"/>
        <w:spacing w:line="360" w:lineRule="auto"/>
        <w:ind w:left="420" w:leftChars="200" w:firstLine="480" w:firstLineChars="200"/>
        <w:rPr>
          <w:rFonts w:ascii="宋体" w:cs="Times New Roman"/>
          <w:sz w:val="24"/>
          <w:szCs w:val="24"/>
        </w:rPr>
      </w:pPr>
      <w:r>
        <w:rPr>
          <w:rFonts w:hint="eastAsia" w:ascii="宋体" w:hAnsi="宋体" w:cs="宋体"/>
          <w:sz w:val="24"/>
          <w:szCs w:val="24"/>
        </w:rPr>
        <w:t>本</w:t>
      </w:r>
      <w:bookmarkEnd w:id="126"/>
      <w:r>
        <w:rPr>
          <w:rFonts w:hint="eastAsia" w:ascii="宋体" w:hAnsi="宋体" w:cs="宋体"/>
          <w:sz w:val="24"/>
          <w:szCs w:val="24"/>
        </w:rPr>
        <w:t>报告所称采矿权评估价值是基于所列评估目的、评估基准日及下列基本假设而提出的公允价值意见：</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、本次评估假设采矿许可证、安全生产许可证能够顺利办理、延续并持续经营。</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、所遵循的有关政策、法律、制度仍如现状而无重大变化，所遵循的有关社会、政治、经济环境以及采选技术和条件等仍如现状而无重大变化。</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、以设定的生产方式、生产规模、产品结构及开发技术水平以及市场供需水平为基准。</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、在矿山开发收益期内有关价格、成本费用、税率及利率因素在正常范围内变动。</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、假设当地市场价格稳定，本次评估价格取值为当地市场平均价格，也是对未来市场价格的预判。</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、无其他不可抗力及不可预见因素造成的重大影响。</w:t>
      </w:r>
    </w:p>
    <w:p>
      <w:pPr>
        <w:autoSpaceDE w:val="0"/>
        <w:autoSpaceDN w:val="0"/>
        <w:spacing w:line="360" w:lineRule="auto"/>
        <w:ind w:left="420" w:leftChars="200" w:firstLine="480" w:firstLineChars="200"/>
        <w:rPr>
          <w:rFonts w:ascii="宋体" w:cs="Times New Roman"/>
          <w:sz w:val="24"/>
          <w:szCs w:val="24"/>
        </w:rPr>
      </w:pPr>
      <w:r>
        <w:rPr>
          <w:rFonts w:hint="eastAsia" w:ascii="宋体" w:hAnsi="宋体" w:cs="宋体"/>
          <w:sz w:val="24"/>
          <w:szCs w:val="24"/>
        </w:rPr>
        <w:t>本评估结论是反映评估对象在本次评估目的且现有用途不变并持续经营条件下，根据公开市场原则确定的价值，没有考虑将来可能承担的抵押、担保事宜以及特殊交易方可能追加付出的价格等对其评估价值的影响，也未考虑国家宏观经济政策发生变化以及遇有自然力和其他不可抗力对其评估价值的影响。若当前述条件发生变化时，评估结论一般会失效。若用于其他评估目的时，该评估结论无效。</w:t>
      </w:r>
    </w:p>
    <w:p>
      <w:pPr>
        <w:autoSpaceDE w:val="0"/>
        <w:autoSpaceDN w:val="0"/>
        <w:spacing w:line="360" w:lineRule="auto"/>
        <w:ind w:left="420" w:leftChars="200" w:firstLine="480" w:firstLineChars="200"/>
        <w:rPr>
          <w:rFonts w:ascii="宋体" w:cs="Times New Roman"/>
          <w:sz w:val="24"/>
          <w:szCs w:val="24"/>
        </w:rPr>
      </w:pPr>
    </w:p>
    <w:p>
      <w:pPr>
        <w:spacing w:line="360" w:lineRule="auto"/>
        <w:ind w:left="420" w:leftChars="200" w:firstLine="482" w:firstLineChars="200"/>
        <w:jc w:val="center"/>
        <w:outlineLvl w:val="0"/>
        <w:rPr>
          <w:rFonts w:ascii="宋体" w:cs="Times New Roman"/>
          <w:b/>
          <w:bCs/>
          <w:sz w:val="24"/>
          <w:szCs w:val="24"/>
        </w:rPr>
      </w:pPr>
      <w:bookmarkStart w:id="127" w:name="_Toc522712204"/>
      <w:r>
        <w:rPr>
          <w:rFonts w:hint="eastAsia" w:ascii="宋体" w:hAnsi="宋体" w:cs="宋体"/>
          <w:b/>
          <w:bCs/>
          <w:sz w:val="24"/>
          <w:szCs w:val="24"/>
        </w:rPr>
        <w:t>十三</w:t>
      </w:r>
      <w:bookmarkStart w:id="128" w:name="_Toc515199701"/>
      <w:r>
        <w:rPr>
          <w:rFonts w:hint="eastAsia" w:ascii="宋体" w:hAnsi="宋体" w:cs="宋体"/>
          <w:b/>
          <w:bCs/>
          <w:sz w:val="24"/>
          <w:szCs w:val="24"/>
        </w:rPr>
        <w:t>、评估结论</w:t>
      </w:r>
      <w:bookmarkEnd w:id="127"/>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依</w:t>
      </w:r>
      <w:bookmarkEnd w:id="128"/>
      <w:r>
        <w:rPr>
          <w:rFonts w:hint="eastAsia" w:ascii="宋体" w:hAnsi="宋体" w:cs="宋体"/>
          <w:color w:val="000000"/>
          <w:sz w:val="24"/>
          <w:szCs w:val="24"/>
        </w:rPr>
        <w:t>照国家有关法律法规的规定，遵循独立、客观、公正的原则，经评估人员尽职调查及对所收集资料进行分析，按照矿业权评估的原则和程序，选取适当的评估方法和评估参数，经过认真估算，确定委托评估的广东省湛江市遂溪县遂城镇洪家村矿区建筑用玄武岩矿采矿权在评估基准日所表现的出让收益评估价值为人民币</w:t>
      </w:r>
      <w:r>
        <w:rPr>
          <w:rFonts w:ascii="宋体" w:hAnsi="宋体" w:cs="宋体"/>
          <w:color w:val="000000"/>
          <w:sz w:val="24"/>
          <w:szCs w:val="24"/>
        </w:rPr>
        <w:t>329.38</w:t>
      </w:r>
      <w:r>
        <w:rPr>
          <w:rFonts w:hint="eastAsia" w:ascii="宋体" w:hAnsi="宋体" w:cs="宋体"/>
          <w:color w:val="000000"/>
          <w:sz w:val="24"/>
          <w:szCs w:val="24"/>
        </w:rPr>
        <w:t>万元，大写叁佰贰拾玖万叁仟捌佰元整。</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2" w:firstLineChars="200"/>
        <w:jc w:val="center"/>
        <w:outlineLvl w:val="0"/>
        <w:rPr>
          <w:rFonts w:ascii="宋体" w:cs="Times New Roman"/>
          <w:b/>
          <w:bCs/>
          <w:sz w:val="24"/>
          <w:szCs w:val="24"/>
        </w:rPr>
      </w:pPr>
      <w:bookmarkStart w:id="129" w:name="_Toc522712205"/>
      <w:r>
        <w:rPr>
          <w:rFonts w:hint="eastAsia" w:ascii="宋体" w:hAnsi="宋体" w:cs="宋体"/>
          <w:b/>
          <w:bCs/>
          <w:sz w:val="24"/>
          <w:szCs w:val="24"/>
        </w:rPr>
        <w:t>十四</w:t>
      </w:r>
      <w:bookmarkStart w:id="130" w:name="_Toc515199702"/>
      <w:r>
        <w:rPr>
          <w:rFonts w:hint="eastAsia" w:ascii="宋体" w:hAnsi="宋体" w:cs="宋体"/>
          <w:b/>
          <w:bCs/>
          <w:sz w:val="24"/>
          <w:szCs w:val="24"/>
        </w:rPr>
        <w:t>、特别事项说明</w:t>
      </w:r>
      <w:bookmarkEnd w:id="129"/>
    </w:p>
    <w:bookmarkEnd w:id="130"/>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、本次评估依据评估委托人提供的《广东省遂溪县遂城镇洪家村矿区建筑用玄武岩矿详查报告》，该报告载明的出具单位为“广东省地球物理探矿大队”，载明的出具日期为</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有关编制人员，责任人员及法人资格证明等信息，均反映在该报告中。除此外，委托人及相关当事人未提供其他类似专业报告，本评估机构和执行本评估项目的评估人员，也未获得、并依据其他类似专业报告，也不知悉存在其他专业报告。如果存在其他类似专业报告，并依据其得出其他不同于本评估报告的评估结论，根据《资产评估法》，本机构不承担相应责任。</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本次评估确定可采出量时，根据评估委托人提供的《广东省遂溪县遂城镇洪家村矿区建筑用玄武岩矿矿产资源开发利用方案》中的各种设计损失，开采损失指标，矿业权评估行业及其本项目评估人员没有技术手段和专业方法核实其正确性，仅属于计算范畴。</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根据委托评估采矿权的具体情况，因广东省尚未公布矿业权出让收益市场基准价，也缺乏类似可比参照物（相同或相似性的采矿权交易案例），采用基准价因素调整法、交易案例比较调整法等市场途径评估方法所需评估资料不具备，故本次评估采用折现现金流量法。</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、本次评估结论是在独立、客观、公正的原则下做出的，本评估机构及参加本次评估专业人员与评估委托人及矿业权人之间无任何利害关系。</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、本次评估工作中评估委托人及采矿权申请人所提供的有关文件材料，是编制本报告的基础，相关文件材料提供方应对所提供的有关文件材料的真实性、合法性、完整性承担责任。</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、对存在的可能影响评估结论的瑕疵事项，在评估委托人未做特殊说明而评估专业人员已履行评估程序仍无法获知的情况下，评估机构和评估专业人员不承担相关责任。</w:t>
      </w:r>
    </w:p>
    <w:p>
      <w:pPr>
        <w:autoSpaceDE w:val="0"/>
        <w:autoSpaceDN w:val="0"/>
        <w:spacing w:line="360" w:lineRule="auto"/>
        <w:ind w:left="420" w:leftChars="200"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、本评估报告含有若干附件，附件构成本报告的重要组成部分，与本评估报告正文具有同等法律效力。</w:t>
      </w:r>
    </w:p>
    <w:p>
      <w:pPr>
        <w:autoSpaceDE w:val="0"/>
        <w:autoSpaceDN w:val="0"/>
        <w:spacing w:line="360" w:lineRule="auto"/>
        <w:ind w:left="420" w:leftChars="200" w:firstLine="480" w:firstLineChars="200"/>
        <w:rPr>
          <w:rFonts w:ascii="宋体" w:cs="Times New Roman"/>
          <w:color w:val="000000"/>
          <w:sz w:val="24"/>
          <w:szCs w:val="24"/>
        </w:rPr>
      </w:pPr>
      <w:r>
        <w:rPr>
          <w:rFonts w:ascii="宋体" w:hAnsi="宋体" w:cs="宋体"/>
          <w:sz w:val="24"/>
          <w:szCs w:val="24"/>
        </w:rPr>
        <w:t>8</w:t>
      </w:r>
      <w:r>
        <w:rPr>
          <w:rFonts w:hint="eastAsia" w:ascii="宋体" w:hAnsi="宋体" w:cs="宋体"/>
          <w:sz w:val="24"/>
          <w:szCs w:val="24"/>
        </w:rPr>
        <w:t>、本评估报告经本评估机构法定代表人、矿业权评估师签名，并加盖评估机构公章后生效。</w:t>
      </w:r>
    </w:p>
    <w:p>
      <w:pPr>
        <w:autoSpaceDE w:val="0"/>
        <w:autoSpaceDN w:val="0"/>
        <w:spacing w:line="360" w:lineRule="auto"/>
        <w:ind w:left="420" w:leftChars="200" w:firstLine="480" w:firstLineChars="200"/>
        <w:rPr>
          <w:rFonts w:ascii="宋体" w:cs="Times New Roman"/>
          <w:color w:val="000000"/>
          <w:sz w:val="24"/>
          <w:szCs w:val="24"/>
        </w:rPr>
      </w:pPr>
    </w:p>
    <w:p>
      <w:pPr>
        <w:spacing w:line="360" w:lineRule="auto"/>
        <w:ind w:left="420" w:leftChars="200" w:firstLine="482" w:firstLineChars="200"/>
        <w:jc w:val="center"/>
        <w:outlineLvl w:val="0"/>
        <w:rPr>
          <w:rFonts w:ascii="宋体" w:cs="Times New Roman"/>
          <w:b/>
          <w:bCs/>
          <w:sz w:val="24"/>
          <w:szCs w:val="24"/>
        </w:rPr>
      </w:pPr>
      <w:bookmarkStart w:id="131" w:name="_Toc522712206"/>
      <w:r>
        <w:rPr>
          <w:rFonts w:hint="eastAsia" w:ascii="宋体" w:hAnsi="宋体" w:cs="宋体"/>
          <w:b/>
          <w:bCs/>
          <w:sz w:val="24"/>
          <w:szCs w:val="24"/>
        </w:rPr>
        <w:t>十五</w:t>
      </w:r>
      <w:bookmarkStart w:id="132" w:name="_Toc515199703"/>
      <w:r>
        <w:rPr>
          <w:rFonts w:hint="eastAsia" w:ascii="宋体" w:hAnsi="宋体" w:cs="宋体"/>
          <w:b/>
          <w:bCs/>
          <w:sz w:val="24"/>
          <w:szCs w:val="24"/>
        </w:rPr>
        <w:t>、矿业权评估报告使用限制</w:t>
      </w:r>
      <w:bookmarkEnd w:id="131"/>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w:t>
      </w:r>
      <w:bookmarkEnd w:id="132"/>
      <w:r>
        <w:rPr>
          <w:rFonts w:hint="eastAsia" w:ascii="宋体" w:hAnsi="宋体" w:cs="宋体"/>
          <w:color w:val="000000"/>
          <w:sz w:val="24"/>
          <w:szCs w:val="24"/>
        </w:rPr>
        <w:t>一）根据《矿业权出让收益评估应用指南（试行）》，评估结果公开的，自公开有效期一年；评估结果不公开的，自评估基准日起有效期一年。超过有效期，需要重新进行评估。</w:t>
      </w:r>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二）本价值评估结论是反映评估对象在本次评估目的且现有用途不变并持续经营条件下，所确定的矿业权价值，没有考虑将来可能承担的抵押、担保事宜以及特殊交易方可能追加付出的价格等对其评估价值的影响，也未考虑国家宏观经济政策发生变化以及遇有自然力和其他不可抗力对其评估价值的影响。若当前述条件发生变化时，价值评估结论一般会失效。若用于其他评估目的时，该价值评估结论无效。</w:t>
      </w:r>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（三）本评估报告只能服务于评估报告中载明的评估目的。</w:t>
      </w:r>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四）本评估报告仅供评估委托人了解评估的有关事宜并报送评估管理机关或其授权的单位审查评估报告和检查评估工作之用。正确理解并合理使用评估报告是评估委托人和相关当事方的责任，本评估报告的所有权归评估委托人所有。</w:t>
      </w:r>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（五）除法律、法规规定以及相关当事方另有约定外，未征得本次矿业权评估师及本评估机构同意，评估报告的全部或部分内容不得提供给其他任何单位和个人，也不得被摘抄、引用或披露于公开媒体。</w:t>
      </w:r>
    </w:p>
    <w:p>
      <w:pPr>
        <w:autoSpaceDE w:val="0"/>
        <w:autoSpaceDN w:val="0"/>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（六）本评估报告书的复印件不具有任何法律效力。</w:t>
      </w:r>
    </w:p>
    <w:p>
      <w:pPr>
        <w:autoSpaceDE w:val="0"/>
        <w:autoSpaceDN w:val="0"/>
        <w:spacing w:line="360" w:lineRule="auto"/>
        <w:ind w:left="420" w:leftChars="200" w:firstLine="480" w:firstLineChars="200"/>
        <w:rPr>
          <w:rFonts w:ascii="宋体" w:cs="Times New Roman"/>
          <w:color w:val="000000"/>
          <w:sz w:val="24"/>
          <w:szCs w:val="24"/>
        </w:rPr>
      </w:pPr>
    </w:p>
    <w:p>
      <w:pPr>
        <w:spacing w:line="360" w:lineRule="auto"/>
        <w:ind w:left="420" w:leftChars="200" w:firstLine="482" w:firstLineChars="200"/>
        <w:jc w:val="center"/>
        <w:outlineLvl w:val="0"/>
        <w:rPr>
          <w:rFonts w:ascii="宋体" w:cs="Times New Roman"/>
          <w:b/>
          <w:bCs/>
          <w:sz w:val="24"/>
          <w:szCs w:val="24"/>
        </w:rPr>
      </w:pPr>
      <w:bookmarkStart w:id="133" w:name="_Toc522712207"/>
      <w:r>
        <w:rPr>
          <w:rFonts w:hint="eastAsia" w:ascii="宋体" w:hAnsi="宋体" w:cs="宋体"/>
          <w:b/>
          <w:bCs/>
          <w:sz w:val="24"/>
          <w:szCs w:val="24"/>
        </w:rPr>
        <w:t>十六</w:t>
      </w:r>
      <w:bookmarkStart w:id="134" w:name="_Toc515199704"/>
      <w:r>
        <w:rPr>
          <w:rFonts w:hint="eastAsia" w:ascii="宋体" w:hAnsi="宋体" w:cs="宋体"/>
          <w:b/>
          <w:bCs/>
          <w:sz w:val="24"/>
          <w:szCs w:val="24"/>
        </w:rPr>
        <w:t>、矿业权评估报告日</w:t>
      </w:r>
      <w:bookmarkEnd w:id="133"/>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w:t>
      </w:r>
      <w:bookmarkEnd w:id="134"/>
      <w:r>
        <w:rPr>
          <w:rFonts w:hint="eastAsia" w:ascii="宋体" w:hAnsi="宋体" w:cs="宋体"/>
          <w:color w:val="000000"/>
          <w:sz w:val="24"/>
          <w:szCs w:val="24"/>
        </w:rPr>
        <w:t>次评估报告日即出具评估报告的日期为</w:t>
      </w:r>
      <w:r>
        <w:rPr>
          <w:rFonts w:ascii="宋体" w:hAnsi="宋体" w:cs="宋体"/>
          <w:color w:val="000000"/>
          <w:sz w:val="24"/>
          <w:szCs w:val="24"/>
        </w:rPr>
        <w:t>2018</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w:t>
      </w:r>
      <w:r>
        <w:rPr>
          <w:rFonts w:ascii="宋体" w:hAnsi="宋体" w:cs="宋体"/>
          <w:color w:val="000000"/>
          <w:sz w:val="24"/>
          <w:szCs w:val="24"/>
        </w:rPr>
        <w:t>23</w:t>
      </w:r>
      <w:r>
        <w:rPr>
          <w:rFonts w:hint="eastAsia" w:ascii="宋体" w:hAnsi="宋体" w:cs="宋体"/>
          <w:color w:val="000000"/>
          <w:sz w:val="24"/>
          <w:szCs w:val="24"/>
        </w:rPr>
        <w:t>日。</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（此页以下无正文）</w:t>
      </w:r>
    </w:p>
    <w:p>
      <w:pPr>
        <w:spacing w:line="360" w:lineRule="auto"/>
        <w:ind w:left="420" w:leftChars="200" w:firstLine="482" w:firstLineChars="200"/>
        <w:jc w:val="center"/>
        <w:outlineLvl w:val="0"/>
        <w:rPr>
          <w:rFonts w:ascii="宋体" w:cs="Times New Roman"/>
          <w:b/>
          <w:bCs/>
          <w:sz w:val="24"/>
          <w:szCs w:val="24"/>
        </w:rPr>
      </w:pPr>
      <w:r>
        <w:rPr>
          <w:rFonts w:ascii="宋体" w:cs="Times New Roman"/>
          <w:b/>
          <w:bCs/>
          <w:sz w:val="24"/>
          <w:szCs w:val="24"/>
        </w:rPr>
        <w:br w:type="page"/>
      </w:r>
      <w:bookmarkStart w:id="135" w:name="_Toc522712208"/>
      <w:r>
        <w:rPr>
          <w:rFonts w:hint="eastAsia" w:ascii="宋体" w:hAnsi="宋体" w:cs="宋体"/>
          <w:b/>
          <w:bCs/>
          <w:sz w:val="24"/>
          <w:szCs w:val="24"/>
        </w:rPr>
        <w:t>十</w:t>
      </w:r>
      <w:bookmarkEnd w:id="123"/>
      <w:bookmarkStart w:id="136" w:name="_Toc27923"/>
      <w:bookmarkStart w:id="137" w:name="_Toc364775828"/>
      <w:bookmarkStart w:id="138" w:name="_Toc362963076"/>
      <w:r>
        <w:rPr>
          <w:rFonts w:hint="eastAsia" w:ascii="宋体" w:hAnsi="宋体" w:cs="宋体"/>
          <w:b/>
          <w:bCs/>
          <w:sz w:val="24"/>
          <w:szCs w:val="24"/>
        </w:rPr>
        <w:t>七</w:t>
      </w:r>
      <w:bookmarkStart w:id="139" w:name="_Toc515199705"/>
      <w:r>
        <w:rPr>
          <w:rFonts w:hint="eastAsia" w:ascii="宋体" w:hAnsi="宋体" w:cs="宋体"/>
          <w:b/>
          <w:bCs/>
          <w:sz w:val="24"/>
          <w:szCs w:val="24"/>
        </w:rPr>
        <w:t>、评估机构和评估专业人员签字盖章</w:t>
      </w:r>
      <w:bookmarkEnd w:id="135"/>
    </w:p>
    <w:p>
      <w:pPr>
        <w:spacing w:line="360" w:lineRule="auto"/>
        <w:ind w:left="420" w:leftChars="200" w:firstLine="480" w:firstLineChars="200"/>
        <w:rPr>
          <w:rFonts w:ascii="宋体" w:cs="Times New Roman"/>
          <w:color w:val="000000"/>
          <w:sz w:val="24"/>
          <w:szCs w:val="24"/>
        </w:rPr>
      </w:pPr>
    </w:p>
    <w:bookmarkEnd w:id="136"/>
    <w:bookmarkEnd w:id="137"/>
    <w:bookmarkEnd w:id="138"/>
    <w:bookmarkEnd w:id="139"/>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（本页为签署页，无正文）</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法定代表人：</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评估专业人员：</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评估专业人员：</w:t>
      </w: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rPr>
          <w:rFonts w:ascii="宋体" w:cs="Times New Roman"/>
          <w:color w:val="000000"/>
          <w:sz w:val="24"/>
          <w:szCs w:val="24"/>
        </w:rPr>
      </w:pPr>
    </w:p>
    <w:p>
      <w:pPr>
        <w:spacing w:line="360" w:lineRule="auto"/>
        <w:ind w:left="420" w:leftChars="200" w:firstLine="480" w:firstLineChars="200"/>
        <w:jc w:val="right"/>
        <w:rPr>
          <w:rFonts w:ascii="宋体" w:cs="Times New Roman"/>
          <w:color w:val="000000"/>
          <w:sz w:val="24"/>
          <w:szCs w:val="24"/>
        </w:rPr>
      </w:pPr>
    </w:p>
    <w:p>
      <w:pPr>
        <w:spacing w:line="360" w:lineRule="auto"/>
        <w:ind w:left="420" w:leftChars="200" w:firstLine="480" w:firstLineChars="200"/>
        <w:jc w:val="right"/>
        <w:rPr>
          <w:rFonts w:ascii="宋体" w:cs="Times New Roman"/>
          <w:sz w:val="24"/>
          <w:szCs w:val="24"/>
        </w:rPr>
      </w:pPr>
      <w:r>
        <w:rPr>
          <w:rFonts w:hint="eastAsia" w:ascii="宋体" w:hAnsi="宋体" w:cs="宋体"/>
          <w:color w:val="000000"/>
          <w:sz w:val="24"/>
          <w:szCs w:val="24"/>
        </w:rPr>
        <w:t>北京国融兴华资产评估有限责任公司</w:t>
      </w:r>
    </w:p>
    <w:p>
      <w:pPr>
        <w:spacing w:line="360" w:lineRule="auto"/>
        <w:ind w:left="420" w:leftChars="200" w:firstLine="480" w:firstLineChars="200"/>
        <w:jc w:val="right"/>
        <w:rPr>
          <w:rFonts w:ascii="宋体" w:cs="Times New Roman"/>
          <w:sz w:val="24"/>
          <w:szCs w:val="24"/>
        </w:rPr>
      </w:pPr>
    </w:p>
    <w:p>
      <w:pPr>
        <w:spacing w:line="360" w:lineRule="auto"/>
        <w:ind w:left="420" w:leftChars="200" w:firstLine="480" w:firstLineChars="200"/>
        <w:jc w:val="right"/>
        <w:rPr>
          <w:rFonts w:ascii="宋体" w:cs="Times New Roman"/>
          <w:color w:val="000000"/>
          <w:sz w:val="24"/>
          <w:szCs w:val="24"/>
        </w:rPr>
      </w:pPr>
      <w:r>
        <w:rPr>
          <w:rFonts w:ascii="宋体" w:hAnsi="宋体" w:cs="宋体"/>
          <w:color w:val="000000"/>
          <w:sz w:val="24"/>
          <w:szCs w:val="24"/>
        </w:rPr>
        <w:t>20</w:t>
      </w:r>
      <w:bookmarkStart w:id="140" w:name="_Toc25481"/>
      <w:r>
        <w:rPr>
          <w:rFonts w:ascii="宋体" w:hAnsi="宋体" w:cs="宋体"/>
          <w:color w:val="000000"/>
          <w:sz w:val="24"/>
          <w:szCs w:val="24"/>
        </w:rPr>
        <w:t>18</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w:t>
      </w:r>
      <w:r>
        <w:rPr>
          <w:rFonts w:ascii="宋体" w:hAnsi="宋体" w:cs="宋体"/>
          <w:color w:val="000000"/>
          <w:sz w:val="24"/>
          <w:szCs w:val="24"/>
        </w:rPr>
        <w:t>23</w:t>
      </w:r>
      <w:r>
        <w:rPr>
          <w:rFonts w:hint="eastAsia" w:ascii="宋体" w:hAnsi="宋体" w:cs="宋体"/>
          <w:color w:val="000000"/>
          <w:sz w:val="24"/>
          <w:szCs w:val="24"/>
        </w:rPr>
        <w:t>日</w:t>
      </w:r>
    </w:p>
    <w:p>
      <w:pPr>
        <w:spacing w:line="360" w:lineRule="auto"/>
        <w:ind w:left="420" w:leftChars="200" w:firstLine="480" w:firstLineChars="200"/>
        <w:jc w:val="center"/>
        <w:outlineLvl w:val="0"/>
        <w:rPr>
          <w:rFonts w:ascii="宋体" w:cs="Times New Roman"/>
          <w:color w:val="000000"/>
          <w:sz w:val="24"/>
          <w:szCs w:val="24"/>
        </w:rPr>
      </w:pPr>
      <w:r>
        <w:rPr>
          <w:rFonts w:ascii="宋体" w:cs="Times New Roman"/>
          <w:color w:val="000000"/>
          <w:sz w:val="24"/>
          <w:szCs w:val="24"/>
          <w:highlight w:val="yellow"/>
        </w:rPr>
        <w:br w:type="page"/>
      </w:r>
      <w:bookmarkStart w:id="141" w:name="_Toc522712209"/>
      <w:r>
        <w:rPr>
          <w:rFonts w:hint="eastAsia" w:ascii="宋体" w:hAnsi="宋体" w:cs="宋体"/>
          <w:b/>
          <w:bCs/>
          <w:color w:val="000000"/>
          <w:sz w:val="24"/>
          <w:szCs w:val="24"/>
        </w:rPr>
        <w:t>十八</w:t>
      </w:r>
      <w:bookmarkStart w:id="142" w:name="_Toc515199706"/>
      <w:r>
        <w:rPr>
          <w:rFonts w:hint="eastAsia" w:ascii="宋体" w:hAnsi="宋体" w:cs="宋体"/>
          <w:b/>
          <w:bCs/>
          <w:color w:val="000000"/>
          <w:sz w:val="24"/>
          <w:szCs w:val="24"/>
        </w:rPr>
        <w:t>、</w:t>
      </w:r>
      <w:r>
        <w:rPr>
          <w:rFonts w:hint="eastAsia" w:ascii="宋体" w:hAnsi="宋体" w:cs="宋体"/>
          <w:b/>
          <w:bCs/>
          <w:sz w:val="24"/>
          <w:szCs w:val="24"/>
        </w:rPr>
        <w:t>评估估算表</w:t>
      </w:r>
      <w:bookmarkEnd w:id="141"/>
    </w:p>
    <w:p>
      <w:pPr>
        <w:spacing w:line="360" w:lineRule="auto"/>
        <w:ind w:left="420" w:leftChars="200" w:firstLine="1680" w:firstLineChars="700"/>
        <w:rPr>
          <w:rFonts w:ascii="宋体" w:cs="Times New Roman"/>
          <w:sz w:val="24"/>
          <w:szCs w:val="24"/>
        </w:rPr>
      </w:pPr>
    </w:p>
    <w:bookmarkEnd w:id="142"/>
    <w:p>
      <w:pPr>
        <w:spacing w:line="360" w:lineRule="auto"/>
        <w:ind w:left="420" w:leftChars="200" w:firstLine="1680" w:firstLineChars="700"/>
        <w:rPr>
          <w:rFonts w:ascii="宋体" w:cs="Times New Roman"/>
          <w:sz w:val="24"/>
          <w:szCs w:val="24"/>
        </w:rPr>
      </w:pPr>
      <w:r>
        <w:rPr>
          <w:rFonts w:hint="eastAsia" w:ascii="宋体" w:hAnsi="宋体" w:cs="宋体"/>
          <w:sz w:val="24"/>
          <w:szCs w:val="24"/>
        </w:rPr>
        <w:t>附表</w:t>
      </w:r>
      <w:r>
        <w:rPr>
          <w:rFonts w:ascii="宋体" w:hAnsi="宋体" w:cs="宋体"/>
          <w:sz w:val="24"/>
          <w:szCs w:val="24"/>
        </w:rPr>
        <w:t xml:space="preserve">1  </w:t>
      </w:r>
      <w:r>
        <w:rPr>
          <w:rFonts w:hint="eastAsia" w:ascii="宋体" w:hAnsi="宋体" w:cs="宋体"/>
          <w:sz w:val="24"/>
          <w:szCs w:val="24"/>
        </w:rPr>
        <w:t>采矿权出让收益评估价值估算表</w:t>
      </w:r>
    </w:p>
    <w:p>
      <w:pPr>
        <w:spacing w:line="360" w:lineRule="auto"/>
        <w:ind w:left="420" w:leftChars="200" w:firstLine="1680" w:firstLineChars="700"/>
        <w:rPr>
          <w:rFonts w:ascii="宋体" w:cs="Times New Roman"/>
          <w:sz w:val="24"/>
          <w:szCs w:val="24"/>
        </w:rPr>
      </w:pPr>
      <w:r>
        <w:rPr>
          <w:rFonts w:hint="eastAsia" w:ascii="宋体" w:hAnsi="宋体" w:cs="宋体"/>
          <w:sz w:val="24"/>
          <w:szCs w:val="24"/>
        </w:rPr>
        <w:t>附表</w:t>
      </w:r>
      <w:r>
        <w:rPr>
          <w:rFonts w:ascii="宋体" w:hAnsi="宋体" w:cs="宋体"/>
          <w:sz w:val="24"/>
          <w:szCs w:val="24"/>
        </w:rPr>
        <w:t xml:space="preserve">2  </w:t>
      </w:r>
      <w:r>
        <w:rPr>
          <w:rFonts w:hint="eastAsia" w:ascii="宋体" w:hAnsi="宋体" w:cs="宋体"/>
          <w:sz w:val="24"/>
          <w:szCs w:val="24"/>
        </w:rPr>
        <w:t>评估储量、矿山服务年限估算表</w:t>
      </w:r>
    </w:p>
    <w:p>
      <w:pPr>
        <w:spacing w:line="360" w:lineRule="auto"/>
        <w:ind w:left="420" w:leftChars="200" w:firstLine="1680" w:firstLineChars="700"/>
        <w:rPr>
          <w:rFonts w:ascii="宋体" w:cs="Times New Roman"/>
          <w:sz w:val="24"/>
          <w:szCs w:val="24"/>
        </w:rPr>
      </w:pPr>
      <w:r>
        <w:rPr>
          <w:rFonts w:hint="eastAsia" w:ascii="宋体" w:hAnsi="宋体" w:cs="宋体"/>
          <w:sz w:val="24"/>
          <w:szCs w:val="24"/>
        </w:rPr>
        <w:t>附表</w:t>
      </w:r>
      <w:r>
        <w:rPr>
          <w:rFonts w:ascii="宋体" w:hAnsi="宋体" w:cs="宋体"/>
          <w:sz w:val="24"/>
          <w:szCs w:val="24"/>
        </w:rPr>
        <w:t xml:space="preserve">3  </w:t>
      </w:r>
      <w:r>
        <w:rPr>
          <w:rFonts w:hint="eastAsia" w:ascii="宋体" w:hAnsi="宋体" w:cs="宋体"/>
          <w:sz w:val="24"/>
          <w:szCs w:val="24"/>
        </w:rPr>
        <w:t>销售收入估算表</w:t>
      </w:r>
    </w:p>
    <w:p>
      <w:pPr>
        <w:spacing w:line="360" w:lineRule="auto"/>
        <w:ind w:left="420" w:leftChars="200" w:firstLine="1680" w:firstLineChars="700"/>
        <w:rPr>
          <w:rFonts w:ascii="宋体" w:cs="Times New Roman"/>
          <w:sz w:val="24"/>
          <w:szCs w:val="24"/>
        </w:rPr>
      </w:pPr>
      <w:r>
        <w:rPr>
          <w:rFonts w:hint="eastAsia" w:ascii="宋体" w:hAnsi="宋体" w:cs="宋体"/>
          <w:sz w:val="24"/>
          <w:szCs w:val="24"/>
        </w:rPr>
        <w:t>附表</w:t>
      </w:r>
      <w:r>
        <w:rPr>
          <w:rFonts w:ascii="宋体" w:hAnsi="宋体" w:cs="宋体"/>
          <w:sz w:val="24"/>
          <w:szCs w:val="24"/>
        </w:rPr>
        <w:t xml:space="preserve">4  </w:t>
      </w:r>
      <w:r>
        <w:rPr>
          <w:rFonts w:hint="eastAsia" w:ascii="宋体" w:hAnsi="宋体" w:cs="宋体"/>
          <w:sz w:val="24"/>
          <w:szCs w:val="24"/>
        </w:rPr>
        <w:t>固定资产投资估算表</w:t>
      </w:r>
    </w:p>
    <w:p>
      <w:pPr>
        <w:spacing w:line="360" w:lineRule="auto"/>
        <w:ind w:left="420" w:leftChars="200" w:firstLine="1680" w:firstLineChars="700"/>
        <w:rPr>
          <w:rFonts w:ascii="宋体" w:cs="Times New Roman"/>
          <w:sz w:val="24"/>
          <w:szCs w:val="24"/>
        </w:rPr>
      </w:pPr>
      <w:r>
        <w:rPr>
          <w:rFonts w:hint="eastAsia" w:ascii="宋体" w:hAnsi="宋体" w:cs="宋体"/>
          <w:sz w:val="24"/>
          <w:szCs w:val="24"/>
        </w:rPr>
        <w:t>附表</w:t>
      </w:r>
      <w:r>
        <w:rPr>
          <w:rFonts w:ascii="宋体" w:hAnsi="宋体" w:cs="宋体"/>
          <w:sz w:val="24"/>
          <w:szCs w:val="24"/>
        </w:rPr>
        <w:t xml:space="preserve">5  </w:t>
      </w:r>
      <w:r>
        <w:rPr>
          <w:rFonts w:hint="eastAsia" w:ascii="宋体" w:hAnsi="宋体" w:cs="宋体"/>
          <w:sz w:val="24"/>
          <w:szCs w:val="24"/>
        </w:rPr>
        <w:t>固定资产折旧估算表</w:t>
      </w:r>
    </w:p>
    <w:p>
      <w:pPr>
        <w:spacing w:line="360" w:lineRule="auto"/>
        <w:ind w:left="420" w:leftChars="200" w:firstLine="1680" w:firstLineChars="700"/>
        <w:rPr>
          <w:rFonts w:ascii="宋体" w:cs="Times New Roman"/>
          <w:sz w:val="24"/>
          <w:szCs w:val="24"/>
        </w:rPr>
      </w:pPr>
      <w:r>
        <w:rPr>
          <w:rFonts w:hint="eastAsia" w:ascii="宋体" w:hAnsi="宋体" w:cs="宋体"/>
          <w:sz w:val="24"/>
          <w:szCs w:val="24"/>
        </w:rPr>
        <w:t>附表</w:t>
      </w:r>
      <w:r>
        <w:rPr>
          <w:rFonts w:ascii="宋体" w:hAnsi="宋体" w:cs="宋体"/>
          <w:sz w:val="24"/>
          <w:szCs w:val="24"/>
        </w:rPr>
        <w:t xml:space="preserve">6  </w:t>
      </w:r>
      <w:r>
        <w:rPr>
          <w:rFonts w:hint="eastAsia" w:ascii="宋体" w:hAnsi="宋体" w:cs="宋体"/>
          <w:sz w:val="24"/>
          <w:szCs w:val="24"/>
        </w:rPr>
        <w:t>单位成本估算表</w:t>
      </w:r>
    </w:p>
    <w:p>
      <w:pPr>
        <w:spacing w:line="360" w:lineRule="auto"/>
        <w:ind w:left="420" w:leftChars="200" w:firstLine="1680" w:firstLineChars="700"/>
        <w:rPr>
          <w:rFonts w:ascii="宋体" w:cs="Times New Roman"/>
          <w:sz w:val="24"/>
          <w:szCs w:val="24"/>
        </w:rPr>
      </w:pPr>
      <w:r>
        <w:rPr>
          <w:rFonts w:hint="eastAsia" w:ascii="宋体" w:hAnsi="宋体" w:cs="宋体"/>
          <w:sz w:val="24"/>
          <w:szCs w:val="24"/>
        </w:rPr>
        <w:t>附表</w:t>
      </w:r>
      <w:r>
        <w:rPr>
          <w:rFonts w:ascii="宋体" w:hAnsi="宋体" w:cs="宋体"/>
          <w:sz w:val="24"/>
          <w:szCs w:val="24"/>
        </w:rPr>
        <w:t xml:space="preserve">7  </w:t>
      </w:r>
      <w:r>
        <w:rPr>
          <w:rFonts w:hint="eastAsia" w:ascii="宋体" w:hAnsi="宋体" w:cs="宋体"/>
          <w:sz w:val="24"/>
          <w:szCs w:val="24"/>
        </w:rPr>
        <w:t>总成本估算表</w:t>
      </w:r>
    </w:p>
    <w:p>
      <w:pPr>
        <w:spacing w:line="360" w:lineRule="auto"/>
        <w:ind w:left="420" w:leftChars="200" w:firstLine="1680" w:firstLineChars="700"/>
        <w:rPr>
          <w:rFonts w:ascii="宋体" w:cs="Times New Roman"/>
          <w:sz w:val="24"/>
          <w:szCs w:val="24"/>
        </w:rPr>
      </w:pPr>
      <w:r>
        <w:rPr>
          <w:rFonts w:hint="eastAsia" w:ascii="宋体" w:hAnsi="宋体" w:cs="宋体"/>
          <w:sz w:val="24"/>
          <w:szCs w:val="24"/>
        </w:rPr>
        <w:t>附表</w:t>
      </w:r>
      <w:r>
        <w:rPr>
          <w:rFonts w:ascii="宋体" w:hAnsi="宋体" w:cs="宋体"/>
          <w:sz w:val="24"/>
          <w:szCs w:val="24"/>
        </w:rPr>
        <w:t xml:space="preserve">8  </w:t>
      </w:r>
      <w:r>
        <w:rPr>
          <w:rFonts w:hint="eastAsia" w:ascii="宋体" w:hAnsi="宋体" w:cs="宋体"/>
          <w:sz w:val="24"/>
          <w:szCs w:val="24"/>
        </w:rPr>
        <w:t>税费估算表</w:t>
      </w:r>
    </w:p>
    <w:p>
      <w:pPr>
        <w:widowControl/>
        <w:spacing w:line="360" w:lineRule="auto"/>
        <w:jc w:val="left"/>
        <w:rPr>
          <w:rFonts w:ascii="宋体" w:cs="Times New Roman"/>
          <w:sz w:val="24"/>
          <w:szCs w:val="24"/>
          <w:highlight w:val="yellow"/>
        </w:rPr>
      </w:pPr>
      <w:r>
        <w:rPr>
          <w:rFonts w:ascii="宋体" w:cs="Times New Roman"/>
          <w:sz w:val="24"/>
          <w:szCs w:val="24"/>
        </w:rPr>
        <w:br w:type="page"/>
      </w:r>
    </w:p>
    <w:bookmarkEnd w:id="140"/>
    <w:p>
      <w:pPr>
        <w:spacing w:line="360" w:lineRule="auto"/>
        <w:ind w:left="420" w:leftChars="200" w:firstLine="482" w:firstLineChars="200"/>
        <w:jc w:val="center"/>
        <w:outlineLvl w:val="0"/>
        <w:rPr>
          <w:rFonts w:ascii="宋体" w:cs="Times New Roman"/>
          <w:b/>
          <w:bCs/>
          <w:sz w:val="24"/>
          <w:szCs w:val="24"/>
          <w:highlight w:val="yellow"/>
        </w:rPr>
        <w:sectPr>
          <w:headerReference r:id="rId7" w:type="default"/>
          <w:footerReference r:id="rId8" w:type="default"/>
          <w:pgSz w:w="11906" w:h="16838"/>
          <w:pgMar w:top="1440" w:right="1800" w:bottom="1440" w:left="1800" w:header="851" w:footer="992" w:gutter="0"/>
          <w:paperSrc w:first="257"/>
          <w:cols w:space="720" w:num="1"/>
          <w:docGrid w:type="lines" w:linePitch="312" w:charSpace="0"/>
        </w:sectPr>
      </w:pPr>
    </w:p>
    <w:p>
      <w:pPr>
        <w:spacing w:line="360" w:lineRule="auto"/>
        <w:ind w:left="420" w:leftChars="200" w:firstLine="482" w:firstLineChars="200"/>
        <w:jc w:val="center"/>
        <w:outlineLvl w:val="0"/>
        <w:rPr>
          <w:rFonts w:ascii="宋体" w:cs="Times New Roman"/>
          <w:color w:val="000000"/>
          <w:sz w:val="24"/>
          <w:szCs w:val="24"/>
        </w:rPr>
      </w:pPr>
      <w:bookmarkStart w:id="143" w:name="_Toc390595401"/>
      <w:bookmarkStart w:id="144" w:name="_Toc522712210"/>
      <w:r>
        <w:rPr>
          <w:rFonts w:hint="eastAsia" w:ascii="宋体" w:hAnsi="宋体" w:cs="宋体"/>
          <w:b/>
          <w:bCs/>
          <w:sz w:val="24"/>
          <w:szCs w:val="24"/>
        </w:rPr>
        <w:t>附件</w:t>
      </w:r>
      <w:bookmarkStart w:id="145" w:name="_Toc515199708"/>
      <w:r>
        <w:rPr>
          <w:rFonts w:ascii="宋体" w:hAnsi="宋体" w:cs="宋体"/>
          <w:b/>
          <w:bCs/>
          <w:sz w:val="24"/>
          <w:szCs w:val="24"/>
        </w:rPr>
        <w:t xml:space="preserve">1  </w:t>
      </w:r>
      <w:r>
        <w:rPr>
          <w:rFonts w:hint="eastAsia" w:ascii="宋体" w:hAnsi="宋体" w:cs="宋体"/>
          <w:b/>
          <w:bCs/>
          <w:sz w:val="24"/>
          <w:szCs w:val="24"/>
        </w:rPr>
        <w:t>关于</w:t>
      </w:r>
      <w:bookmarkEnd w:id="143"/>
      <w:r>
        <w:rPr>
          <w:rFonts w:hint="eastAsia" w:ascii="宋体" w:hAnsi="宋体" w:cs="宋体"/>
          <w:b/>
          <w:bCs/>
          <w:sz w:val="24"/>
          <w:szCs w:val="24"/>
        </w:rPr>
        <w:t>评估报告和附件使用范围的声明</w:t>
      </w:r>
      <w:bookmarkEnd w:id="144"/>
    </w:p>
    <w:p>
      <w:pPr>
        <w:spacing w:line="360" w:lineRule="auto"/>
        <w:ind w:left="420" w:leftChars="200" w:firstLine="480" w:firstLineChars="200"/>
        <w:rPr>
          <w:rFonts w:ascii="宋体" w:cs="Times New Roman"/>
          <w:color w:val="000000"/>
          <w:sz w:val="24"/>
          <w:szCs w:val="24"/>
        </w:rPr>
      </w:pPr>
    </w:p>
    <w:bookmarkEnd w:id="145"/>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广东省湛江市遂溪县遂城镇洪家村矿区建筑用玄武岩矿采矿权出让收益评估报告、附表和附件，仅供委托人用作采矿权出让收益使用。未经评估机构许可，委托人不得将评估报告附件的全部或部分内容提供给其他任何单位或个人，不得在公开媒体上披露。</w:t>
      </w:r>
    </w:p>
    <w:p>
      <w:pPr>
        <w:spacing w:line="360" w:lineRule="auto"/>
        <w:ind w:left="420" w:leftChars="200" w:firstLine="480" w:firstLineChars="200"/>
        <w:rPr>
          <w:rFonts w:ascii="宋体" w:cs="Times New Roman"/>
          <w:color w:val="000000"/>
          <w:sz w:val="24"/>
          <w:szCs w:val="24"/>
        </w:rPr>
      </w:pPr>
      <w:r>
        <w:rPr>
          <w:rFonts w:hint="eastAsia" w:ascii="宋体" w:hAnsi="宋体" w:cs="宋体"/>
          <w:color w:val="000000"/>
          <w:sz w:val="24"/>
          <w:szCs w:val="24"/>
        </w:rPr>
        <w:t>特此声明。</w:t>
      </w:r>
    </w:p>
    <w:p>
      <w:pPr>
        <w:tabs>
          <w:tab w:val="left" w:pos="2685"/>
        </w:tabs>
        <w:spacing w:line="360" w:lineRule="auto"/>
        <w:ind w:firstLine="480" w:firstLineChars="200"/>
        <w:rPr>
          <w:rFonts w:ascii="宋体" w:cs="Times New Roman"/>
          <w:color w:val="000000"/>
          <w:sz w:val="24"/>
          <w:szCs w:val="24"/>
        </w:rPr>
      </w:pPr>
    </w:p>
    <w:p>
      <w:pPr>
        <w:spacing w:line="360" w:lineRule="auto"/>
        <w:ind w:firstLine="480" w:firstLineChars="200"/>
        <w:rPr>
          <w:rFonts w:ascii="宋体" w:cs="Times New Roman"/>
          <w:color w:val="000000"/>
          <w:sz w:val="24"/>
          <w:szCs w:val="24"/>
        </w:rPr>
      </w:pPr>
    </w:p>
    <w:p>
      <w:pPr>
        <w:spacing w:line="360" w:lineRule="auto"/>
        <w:ind w:firstLine="480" w:firstLineChars="200"/>
        <w:rPr>
          <w:rFonts w:ascii="宋体" w:cs="Times New Roman"/>
          <w:color w:val="000000"/>
          <w:sz w:val="24"/>
          <w:szCs w:val="24"/>
        </w:rPr>
      </w:pPr>
    </w:p>
    <w:p>
      <w:pPr>
        <w:spacing w:line="360" w:lineRule="auto"/>
        <w:ind w:firstLine="480" w:firstLineChars="200"/>
        <w:rPr>
          <w:rFonts w:ascii="宋体" w:cs="Times New Roman"/>
          <w:color w:val="000000"/>
          <w:sz w:val="24"/>
          <w:szCs w:val="24"/>
        </w:rPr>
      </w:pPr>
    </w:p>
    <w:p>
      <w:pPr>
        <w:spacing w:line="360" w:lineRule="auto"/>
        <w:ind w:firstLine="480" w:firstLineChars="200"/>
        <w:rPr>
          <w:rFonts w:ascii="宋体" w:cs="Times New Roman"/>
          <w:color w:val="000000"/>
          <w:sz w:val="24"/>
          <w:szCs w:val="24"/>
        </w:rPr>
      </w:pPr>
    </w:p>
    <w:p>
      <w:pPr>
        <w:spacing w:line="360" w:lineRule="auto"/>
        <w:ind w:firstLine="480" w:firstLineChars="200"/>
        <w:rPr>
          <w:rFonts w:ascii="宋体" w:cs="Times New Roman"/>
          <w:color w:val="000000"/>
          <w:sz w:val="24"/>
          <w:szCs w:val="24"/>
        </w:rPr>
      </w:pPr>
    </w:p>
    <w:p>
      <w:pPr>
        <w:spacing w:line="360" w:lineRule="auto"/>
        <w:ind w:firstLine="480" w:firstLineChars="200"/>
        <w:rPr>
          <w:rFonts w:ascii="宋体" w:cs="Times New Roman"/>
          <w:color w:val="000000"/>
          <w:sz w:val="24"/>
          <w:szCs w:val="24"/>
        </w:rPr>
      </w:pPr>
    </w:p>
    <w:p>
      <w:pPr>
        <w:spacing w:line="360" w:lineRule="auto"/>
        <w:ind w:firstLine="480" w:firstLineChars="200"/>
        <w:rPr>
          <w:rFonts w:ascii="宋体" w:cs="Times New Roman"/>
          <w:color w:val="000000"/>
          <w:sz w:val="24"/>
          <w:szCs w:val="24"/>
        </w:rPr>
      </w:pPr>
    </w:p>
    <w:p>
      <w:pPr>
        <w:spacing w:line="360" w:lineRule="auto"/>
        <w:ind w:firstLine="4080" w:firstLineChars="1700"/>
        <w:jc w:val="right"/>
        <w:rPr>
          <w:rFonts w:ascii="宋体" w:cs="Times New Roman"/>
          <w:color w:val="000000"/>
          <w:sz w:val="24"/>
          <w:szCs w:val="24"/>
        </w:rPr>
      </w:pPr>
      <w:r>
        <w:rPr>
          <w:rFonts w:hint="eastAsia" w:ascii="宋体" w:hAnsi="宋体" w:cs="宋体"/>
          <w:color w:val="000000"/>
          <w:sz w:val="24"/>
          <w:szCs w:val="24"/>
        </w:rPr>
        <w:t>北京国融兴华资产评估有限责任公司</w:t>
      </w:r>
    </w:p>
    <w:p>
      <w:pPr>
        <w:spacing w:line="360" w:lineRule="auto"/>
        <w:ind w:firstLine="480" w:firstLineChars="200"/>
        <w:rPr>
          <w:rFonts w:ascii="宋体" w:cs="Times New Roman"/>
          <w:color w:val="000000"/>
          <w:sz w:val="24"/>
          <w:szCs w:val="24"/>
        </w:rPr>
      </w:pPr>
    </w:p>
    <w:p>
      <w:pPr>
        <w:spacing w:line="360" w:lineRule="auto"/>
        <w:ind w:firstLine="4080" w:firstLineChars="1700"/>
        <w:jc w:val="right"/>
        <w:rPr>
          <w:rFonts w:ascii="宋体" w:cs="Times New Roman"/>
          <w:b/>
          <w:bCs/>
          <w:sz w:val="24"/>
          <w:szCs w:val="24"/>
        </w:rPr>
      </w:pPr>
      <w:r>
        <w:rPr>
          <w:rFonts w:ascii="宋体" w:hAnsi="宋体" w:cs="宋体"/>
          <w:color w:val="000000"/>
          <w:sz w:val="24"/>
          <w:szCs w:val="24"/>
        </w:rPr>
        <w:t>2018</w:t>
      </w:r>
      <w:r>
        <w:rPr>
          <w:rFonts w:hint="eastAsia" w:ascii="宋体" w:hAnsi="宋体" w:cs="宋体"/>
          <w:color w:val="000000"/>
          <w:sz w:val="24"/>
          <w:szCs w:val="24"/>
        </w:rPr>
        <w:t>年</w:t>
      </w:r>
      <w:r>
        <w:rPr>
          <w:rFonts w:ascii="宋体" w:hAnsi="宋体" w:cs="宋体"/>
          <w:color w:val="000000"/>
          <w:sz w:val="24"/>
          <w:szCs w:val="24"/>
        </w:rPr>
        <w:t>8</w:t>
      </w:r>
      <w:r>
        <w:rPr>
          <w:rFonts w:hint="eastAsia" w:ascii="宋体" w:hAnsi="宋体" w:cs="宋体"/>
          <w:color w:val="000000"/>
          <w:sz w:val="24"/>
          <w:szCs w:val="24"/>
        </w:rPr>
        <w:t>月</w:t>
      </w:r>
      <w:r>
        <w:rPr>
          <w:rFonts w:ascii="宋体" w:hAnsi="宋体" w:cs="宋体"/>
          <w:color w:val="000000"/>
          <w:sz w:val="24"/>
          <w:szCs w:val="24"/>
        </w:rPr>
        <w:t>23</w:t>
      </w:r>
      <w:r>
        <w:rPr>
          <w:rFonts w:hint="eastAsia" w:ascii="宋体" w:hAnsi="宋体" w:cs="宋体"/>
          <w:color w:val="000000"/>
          <w:sz w:val="24"/>
          <w:szCs w:val="24"/>
        </w:rPr>
        <w:t>日</w:t>
      </w:r>
    </w:p>
    <w:p>
      <w:pPr>
        <w:widowControl/>
        <w:spacing w:line="360" w:lineRule="auto"/>
        <w:ind w:left="420" w:leftChars="200" w:firstLine="420" w:firstLineChars="200"/>
        <w:jc w:val="right"/>
        <w:rPr>
          <w:rFonts w:ascii="宋体" w:cs="Times New Roman"/>
        </w:rPr>
        <w:sectPr>
          <w:pgSz w:w="11906" w:h="16838"/>
          <w:pgMar w:top="1440" w:right="1800" w:bottom="1440" w:left="1800" w:header="851" w:footer="992" w:gutter="0"/>
          <w:paperSrc w:first="257"/>
          <w:cols w:space="720" w:num="1"/>
          <w:docGrid w:type="lines" w:linePitch="312" w:charSpace="0"/>
        </w:sectPr>
      </w:pPr>
    </w:p>
    <w:p>
      <w:pPr>
        <w:spacing w:line="360" w:lineRule="auto"/>
        <w:ind w:left="420" w:leftChars="200" w:firstLine="482" w:firstLineChars="200"/>
        <w:jc w:val="center"/>
        <w:outlineLvl w:val="0"/>
        <w:rPr>
          <w:rFonts w:ascii="宋体" w:cs="Times New Roman"/>
          <w:b/>
          <w:bCs/>
          <w:sz w:val="24"/>
          <w:szCs w:val="24"/>
        </w:rPr>
      </w:pPr>
      <w:bookmarkStart w:id="146" w:name="_Toc522712211"/>
      <w:r>
        <w:rPr>
          <w:rFonts w:hint="eastAsia" w:ascii="宋体" w:hAnsi="宋体" w:cs="宋体"/>
          <w:b/>
          <w:bCs/>
          <w:sz w:val="24"/>
          <w:szCs w:val="24"/>
        </w:rPr>
        <w:t>附件</w:t>
      </w:r>
      <w:bookmarkStart w:id="147" w:name="_Toc370200546"/>
      <w:bookmarkStart w:id="148" w:name="_Toc384984349"/>
      <w:bookmarkStart w:id="149" w:name="_Toc515199709"/>
      <w:bookmarkStart w:id="150" w:name="_Toc505528539"/>
      <w:r>
        <w:rPr>
          <w:rFonts w:ascii="宋体" w:hAnsi="宋体" w:cs="宋体"/>
          <w:b/>
          <w:bCs/>
          <w:sz w:val="24"/>
          <w:szCs w:val="24"/>
        </w:rPr>
        <w:t xml:space="preserve">2  </w:t>
      </w:r>
      <w:r>
        <w:rPr>
          <w:rFonts w:hint="eastAsia" w:ascii="宋体" w:hAnsi="宋体" w:cs="宋体"/>
          <w:b/>
          <w:bCs/>
          <w:sz w:val="24"/>
          <w:szCs w:val="24"/>
        </w:rPr>
        <w:t>矿业</w:t>
      </w:r>
      <w:bookmarkEnd w:id="147"/>
      <w:bookmarkEnd w:id="148"/>
      <w:r>
        <w:rPr>
          <w:rFonts w:hint="eastAsia" w:ascii="宋体" w:hAnsi="宋体" w:cs="宋体"/>
          <w:b/>
          <w:bCs/>
          <w:sz w:val="24"/>
          <w:szCs w:val="24"/>
        </w:rPr>
        <w:t>权评估机构及评估师承诺书</w:t>
      </w:r>
      <w:bookmarkEnd w:id="146"/>
    </w:p>
    <w:p>
      <w:pPr>
        <w:widowControl/>
        <w:spacing w:line="360" w:lineRule="auto"/>
        <w:rPr>
          <w:rFonts w:ascii="宋体" w:cs="Times New Roman"/>
          <w:b/>
          <w:bCs/>
          <w:kern w:val="0"/>
          <w:sz w:val="24"/>
          <w:szCs w:val="24"/>
        </w:rPr>
      </w:pPr>
    </w:p>
    <w:bookmarkEnd w:id="149"/>
    <w:bookmarkEnd w:id="150"/>
    <w:p>
      <w:pPr>
        <w:widowControl/>
        <w:spacing w:line="360" w:lineRule="auto"/>
        <w:ind w:left="420" w:leftChars="200"/>
        <w:rPr>
          <w:rFonts w:ascii="宋体" w:cs="Times New Roman"/>
          <w:kern w:val="0"/>
          <w:sz w:val="24"/>
          <w:szCs w:val="24"/>
        </w:rPr>
      </w:pPr>
      <w:r>
        <w:rPr>
          <w:rFonts w:hint="eastAsia" w:ascii="宋体" w:hAnsi="宋体" w:cs="宋体"/>
          <w:b/>
          <w:bCs/>
          <w:kern w:val="0"/>
          <w:sz w:val="24"/>
          <w:szCs w:val="24"/>
        </w:rPr>
        <w:t>遂溪县国土资源局</w:t>
      </w:r>
      <w:r>
        <w:rPr>
          <w:rFonts w:hint="eastAsia" w:ascii="宋体" w:hAnsi="宋体" w:cs="宋体"/>
          <w:kern w:val="0"/>
          <w:sz w:val="24"/>
          <w:szCs w:val="24"/>
        </w:rPr>
        <w:t>：</w:t>
      </w:r>
    </w:p>
    <w:p>
      <w:pPr>
        <w:widowControl/>
        <w:spacing w:line="360" w:lineRule="auto"/>
        <w:ind w:left="420" w:leftChars="200" w:firstLine="480" w:firstLineChars="200"/>
        <w:rPr>
          <w:rFonts w:ascii="宋体" w:cs="Times New Roman"/>
          <w:kern w:val="0"/>
          <w:sz w:val="24"/>
          <w:szCs w:val="24"/>
        </w:rPr>
      </w:pPr>
      <w:r>
        <w:rPr>
          <w:rFonts w:hint="eastAsia" w:ascii="宋体" w:hAnsi="宋体" w:cs="宋体"/>
          <w:kern w:val="0"/>
          <w:sz w:val="24"/>
          <w:szCs w:val="24"/>
        </w:rPr>
        <w:t>受贵局委托，我们对因采矿权有偿出让事宜所涉及的广东省湛江市遂溪县遂城镇洪家村矿区建筑用玄武岩矿采矿权进行了认真的尽职调查、评定估算，形成了《广东省湛江市遂溪县遂城镇洪家村矿区建筑用玄武岩矿采矿权出让收益评估报告》。</w:t>
      </w:r>
    </w:p>
    <w:p>
      <w:pPr>
        <w:widowControl/>
        <w:spacing w:line="360" w:lineRule="auto"/>
        <w:ind w:left="420" w:leftChars="200" w:firstLine="480" w:firstLineChars="200"/>
        <w:rPr>
          <w:rFonts w:ascii="宋体" w:cs="Times New Roman"/>
          <w:kern w:val="0"/>
          <w:sz w:val="24"/>
          <w:szCs w:val="24"/>
        </w:rPr>
      </w:pPr>
      <w:r>
        <w:rPr>
          <w:rFonts w:hint="eastAsia" w:ascii="宋体" w:hAnsi="宋体" w:cs="宋体"/>
          <w:kern w:val="0"/>
          <w:sz w:val="24"/>
          <w:szCs w:val="24"/>
        </w:rPr>
        <w:t>我们承诺在评估工作中严格遵守了国家有关法律法规和规范性文件要求，坚持客观、公正、实事求是、廉洁自律的原则，严格按照矿业权价款评估有关准则技术标准规范和工作程序开展工作，没有损害国家利益、公共利益和其他组织、公民的合法权益，能够确保评估结果客观公正。</w:t>
      </w:r>
    </w:p>
    <w:p>
      <w:pPr>
        <w:widowControl/>
        <w:spacing w:line="360" w:lineRule="auto"/>
        <w:ind w:left="420" w:leftChars="200" w:firstLine="480" w:firstLineChars="200"/>
        <w:rPr>
          <w:rFonts w:ascii="宋体" w:cs="Times New Roman"/>
          <w:kern w:val="0"/>
          <w:sz w:val="24"/>
          <w:szCs w:val="24"/>
        </w:rPr>
      </w:pPr>
      <w:r>
        <w:rPr>
          <w:rFonts w:hint="eastAsia" w:ascii="宋体" w:hAnsi="宋体" w:cs="宋体"/>
          <w:kern w:val="0"/>
          <w:sz w:val="24"/>
          <w:szCs w:val="24"/>
        </w:rPr>
        <w:t>我们承诺对评估报告的独立、客观、公正和真实性、完整性承担法律责任。</w:t>
      </w:r>
    </w:p>
    <w:p>
      <w:pPr>
        <w:widowControl/>
        <w:spacing w:line="360" w:lineRule="auto"/>
        <w:ind w:left="420" w:leftChars="200" w:firstLine="480" w:firstLineChars="200"/>
        <w:rPr>
          <w:rFonts w:ascii="宋体" w:hAnsi="宋体" w:cs="宋体"/>
          <w:kern w:val="0"/>
          <w:sz w:val="24"/>
          <w:szCs w:val="24"/>
        </w:rPr>
      </w:pPr>
      <w:r>
        <w:rPr>
          <w:rFonts w:ascii="宋体" w:hAnsi="宋体" w:cs="宋体"/>
          <w:kern w:val="0"/>
          <w:sz w:val="24"/>
          <w:szCs w:val="24"/>
        </w:rPr>
        <w:t xml:space="preserve"> </w:t>
      </w:r>
    </w:p>
    <w:p>
      <w:pPr>
        <w:widowControl/>
        <w:spacing w:line="360" w:lineRule="auto"/>
        <w:ind w:left="420" w:leftChars="200" w:firstLine="480" w:firstLineChars="200"/>
        <w:rPr>
          <w:rFonts w:ascii="宋体" w:hAnsi="宋体" w:cs="宋体"/>
          <w:kern w:val="0"/>
          <w:sz w:val="24"/>
          <w:szCs w:val="24"/>
        </w:rPr>
      </w:pPr>
      <w:r>
        <w:rPr>
          <w:rFonts w:ascii="宋体" w:hAnsi="宋体" w:cs="宋体"/>
          <w:kern w:val="0"/>
          <w:sz w:val="24"/>
          <w:szCs w:val="24"/>
        </w:rPr>
        <w:t xml:space="preserve"> </w:t>
      </w:r>
    </w:p>
    <w:p>
      <w:pPr>
        <w:widowControl/>
        <w:spacing w:line="360" w:lineRule="auto"/>
        <w:ind w:left="420" w:leftChars="200" w:firstLine="480" w:firstLineChars="200"/>
        <w:jc w:val="right"/>
        <w:rPr>
          <w:rFonts w:ascii="宋体" w:cs="Times New Roman"/>
          <w:kern w:val="0"/>
          <w:sz w:val="24"/>
          <w:szCs w:val="24"/>
        </w:rPr>
      </w:pPr>
    </w:p>
    <w:p>
      <w:pPr>
        <w:widowControl/>
        <w:spacing w:line="360" w:lineRule="auto"/>
        <w:ind w:right="960" w:firstLine="4320" w:firstLineChars="1800"/>
        <w:rPr>
          <w:rFonts w:ascii="宋体" w:cs="Times New Roman"/>
          <w:kern w:val="0"/>
          <w:sz w:val="24"/>
          <w:szCs w:val="24"/>
        </w:rPr>
      </w:pPr>
      <w:r>
        <w:rPr>
          <w:rFonts w:hint="eastAsia" w:ascii="宋体" w:hAnsi="宋体" w:cs="宋体"/>
          <w:kern w:val="0"/>
          <w:sz w:val="24"/>
          <w:szCs w:val="24"/>
        </w:rPr>
        <w:t>法定代表人：</w:t>
      </w:r>
    </w:p>
    <w:p>
      <w:pPr>
        <w:widowControl/>
        <w:spacing w:line="360" w:lineRule="auto"/>
        <w:ind w:left="420" w:leftChars="200" w:firstLine="480" w:firstLineChars="200"/>
        <w:jc w:val="center"/>
        <w:rPr>
          <w:rFonts w:ascii="宋体" w:cs="Times New Roman"/>
          <w:kern w:val="0"/>
          <w:sz w:val="24"/>
          <w:szCs w:val="24"/>
        </w:rPr>
      </w:pPr>
    </w:p>
    <w:p>
      <w:pPr>
        <w:widowControl/>
        <w:spacing w:line="360" w:lineRule="auto"/>
        <w:ind w:left="420" w:leftChars="200" w:firstLine="480" w:firstLineChars="200"/>
        <w:jc w:val="right"/>
        <w:rPr>
          <w:rFonts w:ascii="宋体" w:cs="Times New Roman"/>
          <w:kern w:val="0"/>
          <w:sz w:val="24"/>
          <w:szCs w:val="24"/>
        </w:rPr>
      </w:pPr>
      <w:r>
        <w:rPr>
          <w:rFonts w:hint="eastAsia" w:ascii="宋体" w:hAnsi="宋体" w:cs="宋体"/>
          <w:kern w:val="0"/>
          <w:sz w:val="24"/>
          <w:szCs w:val="24"/>
        </w:rPr>
        <w:t>北京国融兴华资产评估有限责任公司（盖章）</w:t>
      </w:r>
    </w:p>
    <w:p>
      <w:pPr>
        <w:widowControl/>
        <w:spacing w:line="360" w:lineRule="auto"/>
        <w:ind w:left="420" w:leftChars="200" w:firstLine="480" w:firstLineChars="200"/>
        <w:jc w:val="right"/>
        <w:rPr>
          <w:rFonts w:ascii="宋体" w:cs="Times New Roman"/>
          <w:kern w:val="0"/>
          <w:sz w:val="24"/>
          <w:szCs w:val="24"/>
        </w:rPr>
      </w:pPr>
    </w:p>
    <w:p>
      <w:pPr>
        <w:widowControl/>
        <w:spacing w:line="360" w:lineRule="auto"/>
        <w:ind w:right="960" w:firstLine="4320" w:firstLineChars="1800"/>
        <w:rPr>
          <w:rFonts w:ascii="宋体" w:cs="Times New Roman"/>
          <w:kern w:val="0"/>
          <w:sz w:val="24"/>
          <w:szCs w:val="24"/>
        </w:rPr>
      </w:pPr>
      <w:r>
        <w:rPr>
          <w:rFonts w:hint="eastAsia" w:ascii="宋体" w:hAnsi="宋体" w:cs="宋体"/>
          <w:kern w:val="0"/>
          <w:sz w:val="24"/>
          <w:szCs w:val="24"/>
        </w:rPr>
        <w:t>评估专业人员：</w:t>
      </w:r>
    </w:p>
    <w:p>
      <w:pPr>
        <w:widowControl/>
        <w:spacing w:line="360" w:lineRule="auto"/>
        <w:ind w:right="960" w:firstLine="4320" w:firstLineChars="1800"/>
        <w:rPr>
          <w:rFonts w:ascii="宋体" w:cs="Times New Roman"/>
          <w:kern w:val="0"/>
          <w:sz w:val="24"/>
          <w:szCs w:val="24"/>
        </w:rPr>
      </w:pPr>
    </w:p>
    <w:p>
      <w:pPr>
        <w:widowControl/>
        <w:spacing w:line="360" w:lineRule="auto"/>
        <w:ind w:right="960" w:firstLine="4320" w:firstLineChars="1800"/>
        <w:rPr>
          <w:rFonts w:ascii="宋体" w:cs="Times New Roman"/>
          <w:kern w:val="0"/>
          <w:sz w:val="24"/>
          <w:szCs w:val="24"/>
        </w:rPr>
      </w:pPr>
      <w:r>
        <w:rPr>
          <w:rFonts w:hint="eastAsia" w:ascii="宋体" w:hAnsi="宋体" w:cs="宋体"/>
          <w:kern w:val="0"/>
          <w:sz w:val="24"/>
          <w:szCs w:val="24"/>
        </w:rPr>
        <w:t>评估专业人员：</w:t>
      </w:r>
    </w:p>
    <w:p>
      <w:pPr>
        <w:widowControl/>
        <w:spacing w:line="360" w:lineRule="auto"/>
        <w:ind w:left="420" w:leftChars="200" w:firstLine="480" w:firstLineChars="200"/>
        <w:jc w:val="right"/>
        <w:rPr>
          <w:rFonts w:ascii="宋体" w:cs="Times New Roman"/>
          <w:kern w:val="0"/>
          <w:sz w:val="24"/>
          <w:szCs w:val="24"/>
        </w:rPr>
      </w:pPr>
    </w:p>
    <w:p>
      <w:pPr>
        <w:widowControl/>
        <w:spacing w:line="360" w:lineRule="auto"/>
        <w:ind w:left="420" w:leftChars="200" w:firstLine="480" w:firstLineChars="200"/>
        <w:jc w:val="right"/>
        <w:rPr>
          <w:rFonts w:ascii="宋体" w:cs="Times New Roman"/>
          <w:kern w:val="0"/>
          <w:sz w:val="24"/>
          <w:szCs w:val="24"/>
        </w:rPr>
        <w:sectPr>
          <w:pgSz w:w="11906" w:h="16838"/>
          <w:pgMar w:top="1440" w:right="1800" w:bottom="1440" w:left="1800" w:header="851" w:footer="992" w:gutter="0"/>
          <w:paperSrc w:first="257"/>
          <w:cols w:space="720" w:num="1"/>
          <w:docGrid w:type="lines" w:linePitch="312" w:charSpace="0"/>
        </w:sectPr>
      </w:pP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8</w:t>
      </w:r>
      <w:r>
        <w:rPr>
          <w:rFonts w:hint="eastAsia" w:ascii="宋体" w:hAnsi="宋体" w:cs="宋体"/>
          <w:kern w:val="0"/>
          <w:sz w:val="24"/>
          <w:szCs w:val="24"/>
        </w:rPr>
        <w:t>月</w:t>
      </w:r>
      <w:r>
        <w:rPr>
          <w:rFonts w:ascii="宋体" w:hAnsi="宋体" w:cs="宋体"/>
          <w:kern w:val="0"/>
          <w:sz w:val="24"/>
          <w:szCs w:val="24"/>
        </w:rPr>
        <w:t>23</w:t>
      </w:r>
      <w:r>
        <w:rPr>
          <w:rFonts w:hint="eastAsia" w:ascii="宋体" w:hAnsi="宋体" w:cs="宋体"/>
          <w:kern w:val="0"/>
          <w:sz w:val="24"/>
          <w:szCs w:val="24"/>
        </w:rPr>
        <w:t>日</w:t>
      </w:r>
    </w:p>
    <w:p>
      <w:pPr>
        <w:spacing w:line="360" w:lineRule="auto"/>
        <w:jc w:val="center"/>
        <w:outlineLvl w:val="0"/>
        <w:rPr>
          <w:rFonts w:ascii="宋体" w:cs="Times New Roman"/>
          <w:b/>
          <w:bCs/>
          <w:sz w:val="24"/>
          <w:szCs w:val="24"/>
        </w:rPr>
      </w:pPr>
      <w:bookmarkStart w:id="151" w:name="_Toc522712212"/>
      <w:r>
        <w:rPr>
          <w:rFonts w:hint="eastAsia" w:ascii="宋体" w:hAnsi="宋体" w:cs="宋体"/>
          <w:b/>
          <w:bCs/>
          <w:sz w:val="24"/>
          <w:szCs w:val="24"/>
        </w:rPr>
        <w:t>附件</w:t>
      </w:r>
      <w:bookmarkStart w:id="152" w:name="_Toc515199710"/>
      <w:bookmarkStart w:id="153" w:name="_Toc505528540"/>
      <w:r>
        <w:rPr>
          <w:rFonts w:ascii="宋体" w:hAnsi="宋体" w:cs="宋体"/>
          <w:b/>
          <w:bCs/>
          <w:sz w:val="24"/>
          <w:szCs w:val="24"/>
        </w:rPr>
        <w:t xml:space="preserve">3  </w:t>
      </w:r>
      <w:r>
        <w:rPr>
          <w:rFonts w:hint="eastAsia" w:ascii="宋体" w:hAnsi="宋体" w:cs="宋体"/>
          <w:b/>
          <w:bCs/>
          <w:sz w:val="24"/>
          <w:szCs w:val="24"/>
        </w:rPr>
        <w:t>北京国融兴华资产评估有限责任公司资质</w:t>
      </w:r>
      <w:bookmarkStart w:id="154" w:name="_Toc20253"/>
      <w:r>
        <w:rPr>
          <w:rFonts w:hint="eastAsia" w:ascii="宋体" w:hAnsi="宋体" w:cs="宋体"/>
          <w:b/>
          <w:bCs/>
          <w:sz w:val="24"/>
          <w:szCs w:val="24"/>
        </w:rPr>
        <w:t>文件</w:t>
      </w:r>
      <w:bookmarkEnd w:id="151"/>
    </w:p>
    <w:p>
      <w:pPr>
        <w:spacing w:before="120" w:after="120" w:line="360" w:lineRule="auto"/>
        <w:ind w:firstLine="960" w:firstLineChars="400"/>
        <w:rPr>
          <w:rFonts w:ascii="宋体" w:cs="Times New Roman"/>
          <w:sz w:val="24"/>
          <w:szCs w:val="24"/>
        </w:rPr>
      </w:pPr>
    </w:p>
    <w:bookmarkEnd w:id="152"/>
    <w:bookmarkEnd w:id="153"/>
    <w:p>
      <w:pPr>
        <w:spacing w:before="120" w:after="120" w:line="360" w:lineRule="auto"/>
        <w:ind w:firstLine="960" w:firstLineChars="400"/>
        <w:rPr>
          <w:rFonts w:ascii="宋体" w:cs="Times New Roman"/>
          <w:sz w:val="24"/>
          <w:szCs w:val="24"/>
        </w:rPr>
      </w:pPr>
      <w:r>
        <w:rPr>
          <w:rFonts w:hint="eastAsia" w:ascii="宋体" w:hAnsi="宋体" w:cs="宋体"/>
          <w:sz w:val="24"/>
          <w:szCs w:val="24"/>
        </w:rPr>
        <w:t>（</w:t>
      </w:r>
      <w:bookmarkEnd w:id="154"/>
      <w:r>
        <w:rPr>
          <w:rFonts w:ascii="宋体" w:hAnsi="宋体" w:cs="宋体"/>
          <w:sz w:val="24"/>
          <w:szCs w:val="24"/>
        </w:rPr>
        <w:t>1</w:t>
      </w:r>
      <w:r>
        <w:rPr>
          <w:rFonts w:hint="eastAsia" w:ascii="宋体" w:hAnsi="宋体" w:cs="宋体"/>
          <w:sz w:val="24"/>
          <w:szCs w:val="24"/>
        </w:rPr>
        <w:t>）营业执照</w:t>
      </w:r>
    </w:p>
    <w:p>
      <w:pPr>
        <w:spacing w:before="120" w:after="120" w:line="360" w:lineRule="auto"/>
        <w:ind w:firstLine="960" w:firstLineChars="4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）探矿权采矿权评估资格证书</w:t>
      </w:r>
    </w:p>
    <w:p>
      <w:pPr>
        <w:widowControl/>
        <w:spacing w:line="360" w:lineRule="auto"/>
        <w:ind w:left="420" w:leftChars="200" w:firstLine="420" w:firstLineChars="200"/>
        <w:jc w:val="right"/>
        <w:rPr>
          <w:rFonts w:ascii="宋体" w:cs="Times New Roman"/>
          <w:highlight w:val="yellow"/>
        </w:rPr>
        <w:sectPr>
          <w:pgSz w:w="11906" w:h="16838"/>
          <w:pgMar w:top="1440" w:right="1800" w:bottom="1440" w:left="1800" w:header="851" w:footer="992" w:gutter="0"/>
          <w:paperSrc w:first="257"/>
          <w:cols w:space="720" w:num="1"/>
          <w:docGrid w:type="lines" w:linePitch="312" w:charSpace="0"/>
        </w:sectPr>
      </w:pPr>
    </w:p>
    <w:p>
      <w:pPr>
        <w:spacing w:line="360" w:lineRule="auto"/>
        <w:jc w:val="center"/>
        <w:outlineLvl w:val="0"/>
        <w:rPr>
          <w:rFonts w:ascii="宋体" w:cs="Times New Roman"/>
          <w:sz w:val="24"/>
          <w:szCs w:val="24"/>
        </w:rPr>
      </w:pPr>
      <w:bookmarkStart w:id="155" w:name="_Toc522712213"/>
      <w:r>
        <w:rPr>
          <w:rFonts w:hint="eastAsia" w:ascii="宋体" w:hAnsi="宋体" w:cs="宋体"/>
          <w:b/>
          <w:bCs/>
          <w:sz w:val="24"/>
          <w:szCs w:val="24"/>
        </w:rPr>
        <w:t>附件</w:t>
      </w:r>
      <w:bookmarkStart w:id="156" w:name="_Toc505528541"/>
      <w:bookmarkStart w:id="157" w:name="_Toc515199711"/>
      <w:r>
        <w:rPr>
          <w:rFonts w:ascii="宋体" w:hAnsi="宋体" w:cs="宋体"/>
          <w:b/>
          <w:bCs/>
          <w:sz w:val="24"/>
          <w:szCs w:val="24"/>
        </w:rPr>
        <w:t xml:space="preserve">4  </w:t>
      </w:r>
      <w:r>
        <w:rPr>
          <w:rFonts w:hint="eastAsia" w:ascii="宋体" w:hAnsi="宋体" w:cs="宋体"/>
          <w:b/>
          <w:bCs/>
          <w:sz w:val="24"/>
          <w:szCs w:val="24"/>
        </w:rPr>
        <w:t>矿业权评估师资格证书</w:t>
      </w:r>
      <w:bookmarkEnd w:id="155"/>
    </w:p>
    <w:p>
      <w:pPr>
        <w:widowControl/>
        <w:spacing w:line="360" w:lineRule="auto"/>
        <w:ind w:left="420" w:leftChars="200" w:firstLine="420" w:firstLineChars="200"/>
        <w:jc w:val="right"/>
        <w:rPr>
          <w:rFonts w:ascii="宋体" w:cs="Times New Roman"/>
        </w:rPr>
        <w:sectPr>
          <w:pgSz w:w="11906" w:h="16838"/>
          <w:pgMar w:top="1440" w:right="1800" w:bottom="1440" w:left="1800" w:header="851" w:footer="992" w:gutter="0"/>
          <w:paperSrc w:first="257"/>
          <w:cols w:space="720" w:num="1"/>
          <w:docGrid w:type="lines" w:linePitch="312" w:charSpace="0"/>
        </w:sectPr>
      </w:pPr>
    </w:p>
    <w:bookmarkEnd w:id="156"/>
    <w:bookmarkEnd w:id="157"/>
    <w:p>
      <w:pPr>
        <w:spacing w:line="360" w:lineRule="auto"/>
        <w:jc w:val="center"/>
        <w:outlineLvl w:val="0"/>
        <w:rPr>
          <w:rFonts w:ascii="宋体" w:cs="Times New Roman"/>
          <w:b/>
          <w:bCs/>
          <w:sz w:val="24"/>
          <w:szCs w:val="24"/>
        </w:rPr>
      </w:pPr>
      <w:bookmarkStart w:id="158" w:name="_Toc522712214"/>
      <w:r>
        <w:rPr>
          <w:rFonts w:hint="eastAsia" w:ascii="宋体" w:hAnsi="宋体" w:cs="宋体"/>
          <w:b/>
          <w:bCs/>
          <w:sz w:val="24"/>
          <w:szCs w:val="24"/>
        </w:rPr>
        <w:t>附件</w:t>
      </w:r>
      <w:bookmarkStart w:id="159" w:name="_Toc515199712"/>
      <w:bookmarkStart w:id="160" w:name="_Toc505528542"/>
      <w:r>
        <w:rPr>
          <w:rFonts w:ascii="宋体" w:hAnsi="宋体" w:cs="宋体"/>
          <w:b/>
          <w:bCs/>
          <w:sz w:val="24"/>
          <w:szCs w:val="24"/>
        </w:rPr>
        <w:t xml:space="preserve">5  </w:t>
      </w:r>
      <w:r>
        <w:rPr>
          <w:rFonts w:hint="eastAsia" w:ascii="宋体" w:hAnsi="宋体" w:cs="宋体"/>
          <w:b/>
          <w:bCs/>
          <w:sz w:val="24"/>
          <w:szCs w:val="24"/>
        </w:rPr>
        <w:t>《矿业权出让收益评估合同书》</w:t>
      </w:r>
      <w:bookmarkEnd w:id="158"/>
    </w:p>
    <w:p>
      <w:pPr>
        <w:spacing w:before="120" w:after="120" w:line="360" w:lineRule="auto"/>
        <w:rPr>
          <w:rFonts w:ascii="宋体" w:cs="Times New Roman"/>
          <w:sz w:val="24"/>
          <w:szCs w:val="24"/>
        </w:rPr>
        <w:sectPr>
          <w:pgSz w:w="11906" w:h="16838"/>
          <w:pgMar w:top="1440" w:right="1800" w:bottom="1440" w:left="1800" w:header="851" w:footer="992" w:gutter="0"/>
          <w:paperSrc w:first="257"/>
          <w:cols w:space="720" w:num="1"/>
          <w:docGrid w:type="lines" w:linePitch="312" w:charSpace="0"/>
        </w:sectPr>
      </w:pPr>
    </w:p>
    <w:bookmarkEnd w:id="159"/>
    <w:bookmarkEnd w:id="160"/>
    <w:p>
      <w:pPr>
        <w:spacing w:line="360" w:lineRule="auto"/>
        <w:ind w:left="1625" w:leftChars="200" w:hanging="1205" w:hangingChars="500"/>
        <w:jc w:val="center"/>
        <w:outlineLvl w:val="0"/>
        <w:rPr>
          <w:rFonts w:ascii="宋体" w:cs="Times New Roman"/>
          <w:b/>
          <w:bCs/>
          <w:sz w:val="24"/>
          <w:szCs w:val="24"/>
        </w:rPr>
      </w:pPr>
      <w:bookmarkStart w:id="161" w:name="_Toc522712215"/>
      <w:r>
        <w:rPr>
          <w:rFonts w:hint="eastAsia" w:ascii="宋体" w:hAnsi="宋体" w:cs="宋体"/>
          <w:b/>
          <w:bCs/>
          <w:sz w:val="24"/>
          <w:szCs w:val="24"/>
        </w:rPr>
        <w:t>附件</w:t>
      </w:r>
      <w:bookmarkStart w:id="162" w:name="_Toc370286513"/>
      <w:bookmarkStart w:id="163" w:name="_Toc370234443"/>
      <w:bookmarkStart w:id="164" w:name="_Toc370213260"/>
      <w:bookmarkStart w:id="165" w:name="_Toc370212165"/>
      <w:bookmarkStart w:id="166" w:name="_Toc370214566"/>
      <w:bookmarkStart w:id="167" w:name="_Toc391899399"/>
      <w:bookmarkStart w:id="168" w:name="_Toc370234344"/>
      <w:r>
        <w:rPr>
          <w:rFonts w:ascii="宋体" w:hAnsi="宋体" w:cs="宋体"/>
          <w:b/>
          <w:bCs/>
          <w:sz w:val="24"/>
          <w:szCs w:val="24"/>
        </w:rPr>
        <w:t xml:space="preserve">6 </w:t>
      </w:r>
      <w:bookmarkEnd w:id="162"/>
      <w:bookmarkEnd w:id="163"/>
      <w:bookmarkEnd w:id="164"/>
      <w:bookmarkEnd w:id="165"/>
      <w:bookmarkEnd w:id="166"/>
      <w:bookmarkEnd w:id="167"/>
      <w:bookmarkEnd w:id="168"/>
      <w:r>
        <w:rPr>
          <w:rFonts w:ascii="宋体" w:hAnsi="宋体" w:cs="宋体"/>
          <w:b/>
          <w:bCs/>
          <w:sz w:val="24"/>
          <w:szCs w:val="24"/>
        </w:rPr>
        <w:t xml:space="preserve"> </w:t>
      </w:r>
      <w:r>
        <w:rPr>
          <w:rFonts w:hint="eastAsia" w:ascii="宋体" w:hAnsi="宋体" w:cs="宋体"/>
          <w:b/>
          <w:bCs/>
          <w:sz w:val="24"/>
          <w:szCs w:val="24"/>
        </w:rPr>
        <w:t>《评估委托书》</w:t>
      </w:r>
      <w:bookmarkEnd w:id="161"/>
    </w:p>
    <w:p>
      <w:pPr>
        <w:spacing w:line="360" w:lineRule="auto"/>
        <w:ind w:left="1384" w:leftChars="200" w:hanging="964" w:hangingChars="400"/>
        <w:jc w:val="left"/>
        <w:outlineLvl w:val="0"/>
        <w:rPr>
          <w:rFonts w:ascii="宋体" w:cs="Times New Roman"/>
          <w:b/>
          <w:bCs/>
          <w:color w:val="FF0000"/>
          <w:sz w:val="24"/>
          <w:szCs w:val="24"/>
          <w:highlight w:val="yellow"/>
        </w:rPr>
        <w:sectPr>
          <w:pgSz w:w="11906" w:h="16838"/>
          <w:pgMar w:top="1440" w:right="1800" w:bottom="1440" w:left="1800" w:header="851" w:footer="992" w:gutter="0"/>
          <w:paperSrc w:first="257"/>
          <w:cols w:space="720" w:num="1"/>
          <w:docGrid w:type="lines" w:linePitch="312" w:charSpace="0"/>
        </w:sectPr>
      </w:pPr>
    </w:p>
    <w:p>
      <w:pPr>
        <w:spacing w:line="360" w:lineRule="auto"/>
        <w:ind w:left="1384" w:leftChars="200" w:hanging="964" w:hangingChars="400"/>
        <w:jc w:val="left"/>
        <w:outlineLvl w:val="0"/>
        <w:rPr>
          <w:rFonts w:ascii="宋体" w:cs="Times New Roman"/>
          <w:b/>
          <w:bCs/>
          <w:sz w:val="24"/>
          <w:szCs w:val="24"/>
        </w:rPr>
      </w:pPr>
      <w:bookmarkStart w:id="169" w:name="_Toc522712216"/>
      <w:r>
        <w:rPr>
          <w:rFonts w:hint="eastAsia" w:ascii="宋体" w:hAnsi="宋体" w:cs="宋体"/>
          <w:b/>
          <w:bCs/>
          <w:sz w:val="24"/>
          <w:szCs w:val="24"/>
        </w:rPr>
        <w:t>附</w:t>
      </w:r>
      <w:bookmarkStart w:id="170" w:name="_Toc391899401"/>
      <w:bookmarkStart w:id="171" w:name="_Toc370234447"/>
      <w:bookmarkStart w:id="172" w:name="_Toc370212169"/>
      <w:bookmarkStart w:id="173" w:name="_Toc370286517"/>
      <w:bookmarkStart w:id="174" w:name="_Toc370234348"/>
      <w:bookmarkStart w:id="175" w:name="_Toc370213264"/>
      <w:bookmarkStart w:id="176" w:name="_Toc370214570"/>
      <w:r>
        <w:rPr>
          <w:rFonts w:hint="eastAsia" w:ascii="宋体" w:hAnsi="宋体" w:cs="宋体"/>
          <w:b/>
          <w:bCs/>
          <w:sz w:val="24"/>
          <w:szCs w:val="24"/>
        </w:rPr>
        <w:t>件</w:t>
      </w:r>
      <w:bookmarkEnd w:id="170"/>
      <w:r>
        <w:rPr>
          <w:rFonts w:ascii="宋体" w:hAnsi="宋体" w:cs="宋体"/>
          <w:b/>
          <w:bCs/>
          <w:sz w:val="24"/>
          <w:szCs w:val="24"/>
        </w:rPr>
        <w:t xml:space="preserve">7  </w:t>
      </w:r>
      <w:r>
        <w:rPr>
          <w:rFonts w:hint="eastAsia" w:ascii="宋体" w:hAnsi="宋体" w:cs="宋体"/>
          <w:b/>
          <w:bCs/>
          <w:sz w:val="24"/>
          <w:szCs w:val="24"/>
        </w:rPr>
        <w:t>《广东省遂溪县遂城镇洪家村矿区建筑用玄武岩矿详查报告》（广东省地球物理探矿大队，</w:t>
      </w:r>
      <w:r>
        <w:rPr>
          <w:rFonts w:ascii="宋体" w:hAnsi="宋体" w:cs="宋体"/>
          <w:b/>
          <w:bCs/>
          <w:sz w:val="24"/>
          <w:szCs w:val="24"/>
        </w:rPr>
        <w:t>2016</w:t>
      </w:r>
      <w:r>
        <w:rPr>
          <w:rFonts w:hint="eastAsia" w:ascii="宋体" w:hAnsi="宋体" w:cs="宋体"/>
          <w:b/>
          <w:bCs/>
          <w:sz w:val="24"/>
          <w:szCs w:val="24"/>
        </w:rPr>
        <w:t>年</w:t>
      </w:r>
      <w:r>
        <w:rPr>
          <w:rFonts w:ascii="宋体" w:hAnsi="宋体" w:cs="宋体"/>
          <w:b/>
          <w:bCs/>
          <w:sz w:val="24"/>
          <w:szCs w:val="24"/>
        </w:rPr>
        <w:t>8</w:t>
      </w:r>
      <w:r>
        <w:rPr>
          <w:rFonts w:hint="eastAsia" w:ascii="宋体" w:hAnsi="宋体" w:cs="宋体"/>
          <w:b/>
          <w:bCs/>
          <w:sz w:val="24"/>
          <w:szCs w:val="24"/>
        </w:rPr>
        <w:t>月）</w:t>
      </w:r>
      <w:bookmarkEnd w:id="169"/>
    </w:p>
    <w:p>
      <w:pPr>
        <w:spacing w:line="360" w:lineRule="auto"/>
        <w:ind w:firstLine="480" w:firstLineChars="200"/>
        <w:rPr>
          <w:rFonts w:ascii="宋体" w:cs="Times New Roman"/>
          <w:color w:val="FF0000"/>
          <w:sz w:val="24"/>
          <w:szCs w:val="24"/>
          <w:highlight w:val="yellow"/>
        </w:rPr>
      </w:pPr>
    </w:p>
    <w:p>
      <w:pPr>
        <w:spacing w:line="360" w:lineRule="auto"/>
        <w:ind w:firstLine="480" w:firstLineChars="200"/>
        <w:rPr>
          <w:rFonts w:ascii="宋体" w:cs="Times New Roman"/>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rPr>
          <w:rFonts w:ascii="宋体" w:cs="Times New Roman"/>
          <w:b/>
          <w:bCs/>
          <w:color w:val="FF0000"/>
          <w:sz w:val="24"/>
          <w:szCs w:val="24"/>
          <w:highlight w:val="yellow"/>
        </w:rPr>
      </w:pPr>
    </w:p>
    <w:p>
      <w:pPr>
        <w:spacing w:line="360" w:lineRule="auto"/>
        <w:ind w:left="31680" w:hanging="964" w:hangingChars="400"/>
        <w:jc w:val="left"/>
        <w:outlineLvl w:val="0"/>
        <w:rPr>
          <w:rFonts w:ascii="宋体" w:cs="Times New Roman"/>
          <w:b/>
          <w:bCs/>
          <w:sz w:val="24"/>
          <w:szCs w:val="24"/>
        </w:rPr>
      </w:pPr>
      <w:r>
        <w:rPr>
          <w:rFonts w:ascii="宋体" w:cs="Times New Roman"/>
          <w:b/>
          <w:bCs/>
          <w:color w:val="FF0000"/>
          <w:sz w:val="24"/>
          <w:szCs w:val="24"/>
          <w:highlight w:val="yellow"/>
        </w:rPr>
        <w:br w:type="page"/>
      </w:r>
      <w:bookmarkStart w:id="177" w:name="_Toc522712217"/>
      <w:r>
        <w:rPr>
          <w:rFonts w:hint="eastAsia" w:ascii="宋体" w:hAnsi="宋体" w:cs="宋体"/>
          <w:b/>
          <w:bCs/>
          <w:sz w:val="24"/>
          <w:szCs w:val="24"/>
        </w:rPr>
        <w:t>附件</w:t>
      </w:r>
      <w:r>
        <w:rPr>
          <w:rFonts w:ascii="宋体" w:hAnsi="宋体" w:cs="宋体"/>
          <w:b/>
          <w:bCs/>
          <w:sz w:val="24"/>
          <w:szCs w:val="24"/>
        </w:rPr>
        <w:t xml:space="preserve">8  </w:t>
      </w:r>
      <w:r>
        <w:rPr>
          <w:rFonts w:hint="eastAsia" w:ascii="宋体" w:hAnsi="宋体" w:cs="宋体"/>
          <w:b/>
          <w:bCs/>
          <w:sz w:val="24"/>
          <w:szCs w:val="24"/>
        </w:rPr>
        <w:t>《</w:t>
      </w:r>
      <w:r>
        <w:rPr>
          <w:rFonts w:ascii="宋体" w:hAnsi="宋体" w:cs="宋体"/>
          <w:b/>
          <w:bCs/>
          <w:sz w:val="24"/>
          <w:szCs w:val="24"/>
        </w:rPr>
        <w:t>&lt;</w:t>
      </w:r>
      <w:r>
        <w:rPr>
          <w:rFonts w:hint="eastAsia" w:ascii="宋体" w:hAnsi="宋体" w:cs="宋体"/>
          <w:b/>
          <w:bCs/>
          <w:sz w:val="24"/>
          <w:szCs w:val="24"/>
        </w:rPr>
        <w:t>广东省遂溪县遂城镇洪家村矿区建筑用玄武岩矿详查报告</w:t>
      </w:r>
      <w:r>
        <w:rPr>
          <w:rFonts w:ascii="宋体" w:hAnsi="宋体" w:cs="宋体"/>
          <w:b/>
          <w:bCs/>
          <w:sz w:val="24"/>
          <w:szCs w:val="24"/>
        </w:rPr>
        <w:t>&gt;</w:t>
      </w:r>
      <w:r>
        <w:rPr>
          <w:rFonts w:hint="eastAsia" w:ascii="宋体" w:hAnsi="宋体" w:cs="宋体"/>
          <w:b/>
          <w:bCs/>
          <w:sz w:val="24"/>
          <w:szCs w:val="24"/>
        </w:rPr>
        <w:t>评审意见书》（粤资储评审字</w:t>
      </w:r>
      <w:r>
        <w:rPr>
          <w:rFonts w:ascii="宋体" w:hAnsi="宋体" w:cs="宋体"/>
          <w:b/>
          <w:bCs/>
          <w:sz w:val="24"/>
          <w:szCs w:val="24"/>
        </w:rPr>
        <w:t>[2016]111</w:t>
      </w:r>
      <w:r>
        <w:rPr>
          <w:rFonts w:hint="eastAsia" w:ascii="宋体" w:hAnsi="宋体" w:cs="宋体"/>
          <w:b/>
          <w:bCs/>
          <w:sz w:val="24"/>
          <w:szCs w:val="24"/>
        </w:rPr>
        <w:t>号）（广东省矿产资源储量评审中心，</w:t>
      </w:r>
      <w:r>
        <w:rPr>
          <w:rFonts w:ascii="宋体" w:hAnsi="宋体" w:cs="宋体"/>
          <w:b/>
          <w:bCs/>
          <w:sz w:val="24"/>
          <w:szCs w:val="24"/>
        </w:rPr>
        <w:t>2016</w:t>
      </w:r>
      <w:r>
        <w:rPr>
          <w:rFonts w:hint="eastAsia" w:ascii="宋体" w:hAnsi="宋体" w:cs="宋体"/>
          <w:b/>
          <w:bCs/>
          <w:sz w:val="24"/>
          <w:szCs w:val="24"/>
        </w:rPr>
        <w:t>年</w:t>
      </w:r>
      <w:r>
        <w:rPr>
          <w:rFonts w:ascii="宋体" w:hAnsi="宋体" w:cs="宋体"/>
          <w:b/>
          <w:bCs/>
          <w:sz w:val="24"/>
          <w:szCs w:val="24"/>
        </w:rPr>
        <w:t>9</w:t>
      </w:r>
      <w:r>
        <w:rPr>
          <w:rFonts w:hint="eastAsia" w:ascii="宋体" w:hAnsi="宋体" w:cs="宋体"/>
          <w:b/>
          <w:bCs/>
          <w:sz w:val="24"/>
          <w:szCs w:val="24"/>
        </w:rPr>
        <w:t>月</w:t>
      </w:r>
      <w:r>
        <w:rPr>
          <w:rFonts w:ascii="宋体" w:hAnsi="宋体" w:cs="宋体"/>
          <w:b/>
          <w:bCs/>
          <w:sz w:val="24"/>
          <w:szCs w:val="24"/>
        </w:rPr>
        <w:t>6</w:t>
      </w:r>
      <w:r>
        <w:rPr>
          <w:rFonts w:hint="eastAsia" w:ascii="宋体" w:hAnsi="宋体" w:cs="宋体"/>
          <w:b/>
          <w:bCs/>
          <w:sz w:val="24"/>
          <w:szCs w:val="24"/>
        </w:rPr>
        <w:t>日）</w:t>
      </w:r>
      <w:bookmarkEnd w:id="177"/>
    </w:p>
    <w:p>
      <w:pPr>
        <w:spacing w:line="360" w:lineRule="auto"/>
        <w:ind w:left="1380" w:leftChars="200" w:hanging="960" w:hangingChars="400"/>
        <w:jc w:val="left"/>
        <w:outlineLvl w:val="0"/>
        <w:rPr>
          <w:rFonts w:ascii="宋体" w:cs="Times New Roman"/>
          <w:sz w:val="24"/>
          <w:szCs w:val="24"/>
          <w:highlight w:val="yellow"/>
        </w:rPr>
        <w:sectPr>
          <w:pgSz w:w="11906" w:h="16838"/>
          <w:pgMar w:top="1440" w:right="1800" w:bottom="1440" w:left="1800" w:header="851" w:footer="992" w:gutter="0"/>
          <w:paperSrc w:first="257"/>
          <w:cols w:space="720" w:num="1"/>
          <w:docGrid w:type="lines" w:linePitch="312" w:charSpace="0"/>
        </w:sectPr>
      </w:pPr>
      <w:r>
        <w:rPr>
          <w:rFonts w:ascii="宋体" w:cs="Times New Roman"/>
          <w:color w:val="FF0000"/>
          <w:sz w:val="24"/>
          <w:szCs w:val="24"/>
          <w:highlight w:val="yellow"/>
        </w:rPr>
        <w:br w:type="page"/>
      </w:r>
      <w:bookmarkStart w:id="178" w:name="_Toc522712218"/>
      <w:r>
        <w:rPr>
          <w:rFonts w:hint="eastAsia" w:ascii="宋体" w:hAnsi="宋体" w:cs="宋体"/>
          <w:b/>
          <w:bCs/>
          <w:sz w:val="24"/>
          <w:szCs w:val="24"/>
        </w:rPr>
        <w:t>附件</w:t>
      </w:r>
      <w:bookmarkStart w:id="179" w:name="_Toc391899403"/>
      <w:r>
        <w:rPr>
          <w:rFonts w:ascii="宋体" w:hAnsi="宋体" w:cs="宋体"/>
          <w:b/>
          <w:bCs/>
          <w:sz w:val="24"/>
          <w:szCs w:val="24"/>
        </w:rPr>
        <w:t xml:space="preserve">9  </w:t>
      </w:r>
      <w:bookmarkEnd w:id="171"/>
      <w:bookmarkEnd w:id="172"/>
      <w:bookmarkEnd w:id="173"/>
      <w:bookmarkEnd w:id="174"/>
      <w:bookmarkEnd w:id="175"/>
      <w:bookmarkEnd w:id="176"/>
      <w:bookmarkEnd w:id="179"/>
      <w:r>
        <w:rPr>
          <w:rFonts w:hint="eastAsia" w:ascii="宋体" w:hAnsi="宋体" w:cs="宋体"/>
          <w:b/>
          <w:bCs/>
          <w:sz w:val="24"/>
          <w:szCs w:val="24"/>
        </w:rPr>
        <w:t>《关于</w:t>
      </w:r>
      <w:r>
        <w:rPr>
          <w:rFonts w:ascii="宋体" w:hAnsi="宋体" w:cs="宋体"/>
          <w:b/>
          <w:bCs/>
          <w:sz w:val="24"/>
          <w:szCs w:val="24"/>
        </w:rPr>
        <w:t>&lt;</w:t>
      </w:r>
      <w:r>
        <w:rPr>
          <w:rFonts w:hint="eastAsia" w:ascii="宋体" w:hAnsi="宋体" w:cs="宋体"/>
          <w:b/>
          <w:bCs/>
          <w:sz w:val="24"/>
          <w:szCs w:val="24"/>
        </w:rPr>
        <w:t>广东省遂溪县遂城镇洪家村矿区建筑用玄武岩矿详查报告</w:t>
      </w:r>
      <w:r>
        <w:rPr>
          <w:rFonts w:ascii="宋体" w:hAnsi="宋体" w:cs="宋体"/>
          <w:b/>
          <w:bCs/>
          <w:sz w:val="24"/>
          <w:szCs w:val="24"/>
        </w:rPr>
        <w:t>&gt;</w:t>
      </w:r>
      <w:r>
        <w:rPr>
          <w:rFonts w:hint="eastAsia" w:ascii="宋体" w:hAnsi="宋体" w:cs="宋体"/>
          <w:b/>
          <w:bCs/>
          <w:sz w:val="24"/>
          <w:szCs w:val="24"/>
        </w:rPr>
        <w:t>审查备案证明》（湛国土资开备字</w:t>
      </w:r>
      <w:r>
        <w:rPr>
          <w:rFonts w:ascii="宋体" w:hAnsi="宋体" w:cs="宋体"/>
          <w:b/>
          <w:bCs/>
          <w:sz w:val="24"/>
          <w:szCs w:val="24"/>
        </w:rPr>
        <w:t>[2016]5</w:t>
      </w:r>
      <w:r>
        <w:rPr>
          <w:rFonts w:hint="eastAsia" w:ascii="宋体" w:hAnsi="宋体" w:cs="宋体"/>
          <w:b/>
          <w:bCs/>
          <w:sz w:val="24"/>
          <w:szCs w:val="24"/>
        </w:rPr>
        <w:t>号）（湛江市国土资源局，</w:t>
      </w:r>
      <w:r>
        <w:rPr>
          <w:rFonts w:ascii="宋体" w:hAnsi="宋体" w:cs="宋体"/>
          <w:b/>
          <w:bCs/>
          <w:sz w:val="24"/>
          <w:szCs w:val="24"/>
        </w:rPr>
        <w:t>2016</w:t>
      </w:r>
      <w:r>
        <w:rPr>
          <w:rFonts w:hint="eastAsia" w:ascii="宋体" w:hAnsi="宋体" w:cs="宋体"/>
          <w:b/>
          <w:bCs/>
          <w:sz w:val="24"/>
          <w:szCs w:val="24"/>
        </w:rPr>
        <w:t>年</w:t>
      </w:r>
      <w:r>
        <w:rPr>
          <w:rFonts w:ascii="宋体" w:hAnsi="宋体" w:cs="宋体"/>
          <w:b/>
          <w:bCs/>
          <w:sz w:val="24"/>
          <w:szCs w:val="24"/>
        </w:rPr>
        <w:t>11</w:t>
      </w:r>
      <w:r>
        <w:rPr>
          <w:rFonts w:hint="eastAsia" w:ascii="宋体" w:hAnsi="宋体" w:cs="宋体"/>
          <w:b/>
          <w:bCs/>
          <w:sz w:val="24"/>
          <w:szCs w:val="24"/>
        </w:rPr>
        <w:t>月</w:t>
      </w:r>
      <w:r>
        <w:rPr>
          <w:rFonts w:ascii="宋体" w:hAnsi="宋体" w:cs="宋体"/>
          <w:b/>
          <w:bCs/>
          <w:sz w:val="24"/>
          <w:szCs w:val="24"/>
        </w:rPr>
        <w:t>17</w:t>
      </w:r>
      <w:r>
        <w:rPr>
          <w:rFonts w:hint="eastAsia" w:ascii="宋体" w:hAnsi="宋体" w:cs="宋体"/>
          <w:b/>
          <w:bCs/>
          <w:sz w:val="24"/>
          <w:szCs w:val="24"/>
        </w:rPr>
        <w:t>日）</w:t>
      </w:r>
      <w:bookmarkEnd w:id="178"/>
    </w:p>
    <w:p>
      <w:pPr>
        <w:spacing w:line="360" w:lineRule="auto"/>
        <w:ind w:left="1384" w:leftChars="200" w:hanging="964" w:hangingChars="400"/>
        <w:jc w:val="left"/>
        <w:outlineLvl w:val="0"/>
        <w:rPr>
          <w:rFonts w:ascii="宋体" w:cs="Times New Roman"/>
          <w:sz w:val="24"/>
          <w:szCs w:val="24"/>
        </w:rPr>
        <w:sectPr>
          <w:pgSz w:w="11906" w:h="16838"/>
          <w:pgMar w:top="1440" w:right="1800" w:bottom="1440" w:left="1800" w:header="851" w:footer="992" w:gutter="0"/>
          <w:paperSrc w:first="257"/>
          <w:cols w:space="720" w:num="1"/>
          <w:docGrid w:type="lines" w:linePitch="312" w:charSpace="0"/>
        </w:sectPr>
      </w:pPr>
      <w:bookmarkStart w:id="180" w:name="_Toc522712219"/>
      <w:r>
        <w:rPr>
          <w:rFonts w:hint="eastAsia" w:ascii="宋体" w:hAnsi="宋体" w:cs="宋体"/>
          <w:b/>
          <w:bCs/>
          <w:sz w:val="24"/>
          <w:szCs w:val="24"/>
        </w:rPr>
        <w:t>附件</w:t>
      </w:r>
      <w:r>
        <w:rPr>
          <w:rFonts w:ascii="宋体" w:hAnsi="宋体" w:cs="宋体"/>
          <w:b/>
          <w:bCs/>
          <w:sz w:val="24"/>
          <w:szCs w:val="24"/>
        </w:rPr>
        <w:t xml:space="preserve">10 </w:t>
      </w:r>
      <w:r>
        <w:rPr>
          <w:rFonts w:hint="eastAsia" w:ascii="宋体" w:hAnsi="宋体" w:cs="宋体"/>
          <w:b/>
          <w:bCs/>
          <w:sz w:val="24"/>
          <w:szCs w:val="24"/>
        </w:rPr>
        <w:t>《广东省遂溪县遂城镇洪家村矿区建筑用玄武岩矿矿产资源开发利用方案》（广东省地质物探工程勘察院，</w:t>
      </w:r>
      <w:r>
        <w:rPr>
          <w:rFonts w:ascii="宋体" w:hAnsi="宋体" w:cs="宋体"/>
          <w:b/>
          <w:bCs/>
          <w:sz w:val="24"/>
          <w:szCs w:val="24"/>
        </w:rPr>
        <w:t>2016</w:t>
      </w:r>
      <w:r>
        <w:rPr>
          <w:rFonts w:hint="eastAsia" w:ascii="宋体" w:hAnsi="宋体" w:cs="宋体"/>
          <w:b/>
          <w:bCs/>
          <w:sz w:val="24"/>
          <w:szCs w:val="24"/>
        </w:rPr>
        <w:t>年</w:t>
      </w:r>
      <w:r>
        <w:rPr>
          <w:rFonts w:ascii="宋体" w:hAnsi="宋体" w:cs="宋体"/>
          <w:b/>
          <w:bCs/>
          <w:sz w:val="24"/>
          <w:szCs w:val="24"/>
        </w:rPr>
        <w:t>9</w:t>
      </w:r>
      <w:r>
        <w:rPr>
          <w:rFonts w:hint="eastAsia" w:ascii="宋体" w:hAnsi="宋体" w:cs="宋体"/>
          <w:b/>
          <w:bCs/>
          <w:sz w:val="24"/>
          <w:szCs w:val="24"/>
        </w:rPr>
        <w:t>月）</w:t>
      </w:r>
      <w:bookmarkEnd w:id="180"/>
    </w:p>
    <w:p>
      <w:pPr>
        <w:spacing w:line="360" w:lineRule="auto"/>
        <w:ind w:left="1384" w:leftChars="200" w:hanging="964" w:hangingChars="400"/>
        <w:jc w:val="left"/>
        <w:outlineLvl w:val="0"/>
        <w:rPr>
          <w:rFonts w:ascii="宋体" w:cs="Times New Roman"/>
          <w:b/>
          <w:bCs/>
          <w:sz w:val="24"/>
          <w:szCs w:val="24"/>
        </w:rPr>
        <w:sectPr>
          <w:pgSz w:w="11906" w:h="16838"/>
          <w:pgMar w:top="1440" w:right="1800" w:bottom="1440" w:left="1800" w:header="851" w:footer="992" w:gutter="0"/>
          <w:paperSrc w:first="257"/>
          <w:cols w:space="720" w:num="1"/>
          <w:docGrid w:type="lines" w:linePitch="312" w:charSpace="0"/>
        </w:sectPr>
      </w:pPr>
      <w:bookmarkStart w:id="181" w:name="_Toc522712220"/>
      <w:r>
        <w:rPr>
          <w:rFonts w:hint="eastAsia" w:ascii="宋体" w:hAnsi="宋体" w:cs="宋体"/>
          <w:b/>
          <w:bCs/>
          <w:sz w:val="24"/>
          <w:szCs w:val="24"/>
        </w:rPr>
        <w:t>附件</w:t>
      </w:r>
      <w:r>
        <w:rPr>
          <w:rFonts w:ascii="宋体" w:hAnsi="宋体" w:cs="宋体"/>
          <w:b/>
          <w:bCs/>
          <w:sz w:val="24"/>
          <w:szCs w:val="24"/>
        </w:rPr>
        <w:t xml:space="preserve">11 </w:t>
      </w:r>
      <w:r>
        <w:rPr>
          <w:rFonts w:hint="eastAsia" w:ascii="宋体" w:hAnsi="宋体" w:cs="宋体"/>
          <w:b/>
          <w:bCs/>
          <w:sz w:val="24"/>
          <w:szCs w:val="24"/>
        </w:rPr>
        <w:t>《广东省遂溪县遂城镇洪家村矿区建筑用玄武岩矿矿产资源开发利用方案审查意见书》（粤矿协审字</w:t>
      </w:r>
      <w:r>
        <w:rPr>
          <w:rFonts w:ascii="宋体" w:hAnsi="宋体" w:cs="宋体"/>
          <w:b/>
          <w:bCs/>
          <w:sz w:val="24"/>
          <w:szCs w:val="24"/>
        </w:rPr>
        <w:t>[2016]38</w:t>
      </w:r>
      <w:r>
        <w:rPr>
          <w:rFonts w:hint="eastAsia" w:ascii="宋体" w:hAnsi="宋体" w:cs="宋体"/>
          <w:b/>
          <w:bCs/>
          <w:sz w:val="24"/>
          <w:szCs w:val="24"/>
        </w:rPr>
        <w:t>号）（广东省矿业协会，</w:t>
      </w:r>
      <w:r>
        <w:rPr>
          <w:rFonts w:ascii="宋体" w:hAnsi="宋体" w:cs="宋体"/>
          <w:b/>
          <w:bCs/>
          <w:sz w:val="24"/>
          <w:szCs w:val="24"/>
        </w:rPr>
        <w:t>2016</w:t>
      </w:r>
      <w:r>
        <w:rPr>
          <w:rFonts w:hint="eastAsia" w:ascii="宋体" w:hAnsi="宋体" w:cs="宋体"/>
          <w:b/>
          <w:bCs/>
          <w:sz w:val="24"/>
          <w:szCs w:val="24"/>
        </w:rPr>
        <w:t>年</w:t>
      </w:r>
      <w:r>
        <w:rPr>
          <w:rFonts w:ascii="宋体" w:hAnsi="宋体" w:cs="宋体"/>
          <w:b/>
          <w:bCs/>
          <w:sz w:val="24"/>
          <w:szCs w:val="24"/>
        </w:rPr>
        <w:t>11</w:t>
      </w:r>
      <w:r>
        <w:rPr>
          <w:rFonts w:hint="eastAsia" w:ascii="宋体" w:hAnsi="宋体" w:cs="宋体"/>
          <w:b/>
          <w:bCs/>
          <w:sz w:val="24"/>
          <w:szCs w:val="24"/>
        </w:rPr>
        <w:t>月</w:t>
      </w:r>
      <w:r>
        <w:rPr>
          <w:rFonts w:ascii="宋体" w:hAnsi="宋体" w:cs="宋体"/>
          <w:b/>
          <w:bCs/>
          <w:sz w:val="24"/>
          <w:szCs w:val="24"/>
        </w:rPr>
        <w:t>9</w:t>
      </w:r>
      <w:r>
        <w:rPr>
          <w:rFonts w:hint="eastAsia" w:ascii="宋体" w:hAnsi="宋体" w:cs="宋体"/>
          <w:b/>
          <w:bCs/>
          <w:sz w:val="24"/>
          <w:szCs w:val="24"/>
        </w:rPr>
        <w:t>日）</w:t>
      </w:r>
      <w:bookmarkEnd w:id="181"/>
    </w:p>
    <w:p>
      <w:pPr>
        <w:spacing w:line="360" w:lineRule="auto"/>
        <w:ind w:left="1384" w:leftChars="200" w:hanging="964" w:hangingChars="400"/>
        <w:jc w:val="left"/>
        <w:outlineLvl w:val="0"/>
        <w:rPr>
          <w:rFonts w:ascii="宋体" w:cs="Times New Roman"/>
          <w:color w:val="FF0000"/>
          <w:sz w:val="24"/>
          <w:szCs w:val="24"/>
        </w:rPr>
      </w:pPr>
      <w:bookmarkStart w:id="182" w:name="_Toc522712221"/>
      <w:r>
        <w:rPr>
          <w:rFonts w:hint="eastAsia" w:ascii="宋体" w:hAnsi="宋体" w:cs="宋体"/>
          <w:b/>
          <w:bCs/>
          <w:sz w:val="24"/>
          <w:szCs w:val="24"/>
        </w:rPr>
        <w:t>附件</w:t>
      </w:r>
      <w:r>
        <w:rPr>
          <w:rFonts w:ascii="宋体" w:hAnsi="宋体" w:cs="宋体"/>
          <w:b/>
          <w:bCs/>
          <w:sz w:val="24"/>
          <w:szCs w:val="24"/>
        </w:rPr>
        <w:t xml:space="preserve">12 </w:t>
      </w:r>
      <w:r>
        <w:rPr>
          <w:rFonts w:hint="eastAsia" w:ascii="宋体" w:hAnsi="宋体" w:cs="宋体"/>
          <w:b/>
          <w:bCs/>
          <w:sz w:val="24"/>
          <w:szCs w:val="24"/>
        </w:rPr>
        <w:t>《关于</w:t>
      </w:r>
      <w:r>
        <w:rPr>
          <w:rFonts w:ascii="宋体" w:hAnsi="宋体" w:cs="宋体"/>
          <w:b/>
          <w:bCs/>
          <w:sz w:val="24"/>
          <w:szCs w:val="24"/>
        </w:rPr>
        <w:t>&lt;</w:t>
      </w:r>
      <w:r>
        <w:rPr>
          <w:rFonts w:hint="eastAsia" w:ascii="宋体" w:hAnsi="宋体" w:cs="宋体"/>
          <w:b/>
          <w:bCs/>
          <w:sz w:val="24"/>
          <w:szCs w:val="24"/>
        </w:rPr>
        <w:t>广东省遂溪县遂城镇洪家村矿区建筑用玄武岩矿矿产资源开发利用方案</w:t>
      </w:r>
      <w:r>
        <w:rPr>
          <w:rFonts w:ascii="宋体" w:hAnsi="宋体" w:cs="宋体"/>
          <w:b/>
          <w:bCs/>
          <w:sz w:val="24"/>
          <w:szCs w:val="24"/>
        </w:rPr>
        <w:t>&gt;</w:t>
      </w:r>
      <w:r>
        <w:rPr>
          <w:rFonts w:hint="eastAsia" w:ascii="宋体" w:hAnsi="宋体" w:cs="宋体"/>
          <w:b/>
          <w:bCs/>
          <w:sz w:val="24"/>
          <w:szCs w:val="24"/>
        </w:rPr>
        <w:t>审查备案证明》（湛国土资开备字</w:t>
      </w:r>
      <w:r>
        <w:rPr>
          <w:rFonts w:ascii="宋体" w:hAnsi="宋体" w:cs="宋体"/>
          <w:b/>
          <w:bCs/>
          <w:sz w:val="24"/>
          <w:szCs w:val="24"/>
        </w:rPr>
        <w:t>[2016]5</w:t>
      </w:r>
      <w:r>
        <w:rPr>
          <w:rFonts w:hint="eastAsia" w:ascii="宋体" w:hAnsi="宋体" w:cs="宋体"/>
          <w:b/>
          <w:bCs/>
          <w:sz w:val="24"/>
          <w:szCs w:val="24"/>
        </w:rPr>
        <w:t>号）（湛江市国土资源局，</w:t>
      </w:r>
      <w:r>
        <w:rPr>
          <w:rFonts w:ascii="宋体" w:hAnsi="宋体" w:cs="宋体"/>
          <w:b/>
          <w:bCs/>
          <w:sz w:val="24"/>
          <w:szCs w:val="24"/>
        </w:rPr>
        <w:t>2016</w:t>
      </w:r>
      <w:r>
        <w:rPr>
          <w:rFonts w:hint="eastAsia" w:ascii="宋体" w:hAnsi="宋体" w:cs="宋体"/>
          <w:b/>
          <w:bCs/>
          <w:sz w:val="24"/>
          <w:szCs w:val="24"/>
        </w:rPr>
        <w:t>年</w:t>
      </w:r>
      <w:r>
        <w:rPr>
          <w:rFonts w:ascii="宋体" w:hAnsi="宋体" w:cs="宋体"/>
          <w:b/>
          <w:bCs/>
          <w:sz w:val="24"/>
          <w:szCs w:val="24"/>
        </w:rPr>
        <w:t>11</w:t>
      </w:r>
      <w:r>
        <w:rPr>
          <w:rFonts w:hint="eastAsia" w:ascii="宋体" w:hAnsi="宋体" w:cs="宋体"/>
          <w:b/>
          <w:bCs/>
          <w:sz w:val="24"/>
          <w:szCs w:val="24"/>
        </w:rPr>
        <w:t>月</w:t>
      </w:r>
      <w:r>
        <w:rPr>
          <w:rFonts w:ascii="宋体" w:hAnsi="宋体" w:cs="宋体"/>
          <w:b/>
          <w:bCs/>
          <w:sz w:val="24"/>
          <w:szCs w:val="24"/>
        </w:rPr>
        <w:t>17</w:t>
      </w:r>
      <w:r>
        <w:rPr>
          <w:rFonts w:hint="eastAsia" w:ascii="宋体" w:hAnsi="宋体" w:cs="宋体"/>
          <w:b/>
          <w:bCs/>
          <w:sz w:val="24"/>
          <w:szCs w:val="24"/>
        </w:rPr>
        <w:t>日）</w:t>
      </w:r>
      <w:bookmarkEnd w:id="182"/>
    </w:p>
    <w:sectPr>
      <w:pgSz w:w="11906" w:h="16838"/>
      <w:pgMar w:top="1440" w:right="1800" w:bottom="1440" w:left="1800" w:header="851" w:footer="992" w:gutter="0"/>
      <w:paperSrc w:first="25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9214"/>
        <w:tab w:val="clear" w:pos="8306"/>
      </w:tabs>
      <w:ind w:right="-142"/>
      <w:rPr>
        <w:u w:val="single"/>
      </w:rPr>
    </w:pPr>
    <w:r>
      <w:rPr>
        <w:rFonts w:hint="eastAsia" w:cs="宋体"/>
        <w:u w:val="single"/>
      </w:rPr>
      <w:t>　　　　　　　　　　　　　　　　　　　　　　　　　　　　　　　</w:t>
    </w:r>
    <w:r>
      <w:rPr>
        <w:u w:val="single"/>
      </w:rPr>
      <w:t xml:space="preserve">                          </w:t>
    </w:r>
    <w:r>
      <w:rPr>
        <w:rFonts w:hint="eastAsia" w:cs="宋体"/>
        <w:u w:val="single"/>
      </w:rPr>
      <w:t>　　</w:t>
    </w:r>
    <w:r>
      <w:rPr>
        <w:u w:val="single"/>
      </w:rPr>
      <w:t xml:space="preserve"> </w:t>
    </w:r>
    <w:r>
      <w:rPr>
        <w:rFonts w:hint="eastAsia" w:cs="宋体"/>
        <w:u w:val="single"/>
      </w:rPr>
      <w:t>　</w:t>
    </w:r>
    <w:r>
      <w:rPr>
        <w:u w:val="single"/>
      </w:rPr>
      <w:t xml:space="preserve">      </w:t>
    </w:r>
  </w:p>
  <w:p>
    <w:pPr>
      <w:pStyle w:val="22"/>
      <w:pBdr>
        <w:top w:val="single" w:color="auto" w:sz="4" w:space="1"/>
      </w:pBdr>
      <w:rPr>
        <w:rFonts w:cs="Times New Roman"/>
        <w:sz w:val="21"/>
        <w:szCs w:val="21"/>
      </w:rPr>
    </w:pPr>
    <w:r>
      <w:rPr>
        <w:rFonts w:hint="eastAsia" w:cs="宋体"/>
        <w:sz w:val="21"/>
        <w:szCs w:val="21"/>
      </w:rPr>
      <w:t>北京国融兴华资产评估有限责任公司</w:t>
    </w:r>
    <w:r>
      <w:rPr>
        <w:sz w:val="21"/>
        <w:szCs w:val="21"/>
      </w:rPr>
      <w:t xml:space="preserve">         </w:t>
    </w:r>
    <w:r>
      <w:rPr>
        <w:rFonts w:hint="eastAsia" w:cs="宋体"/>
        <w:sz w:val="21"/>
        <w:szCs w:val="21"/>
      </w:rPr>
      <w:t>地址：北京市西城区裕民路</w:t>
    </w:r>
    <w:r>
      <w:rPr>
        <w:sz w:val="21"/>
        <w:szCs w:val="21"/>
      </w:rPr>
      <w:t>18</w:t>
    </w:r>
    <w:r>
      <w:rPr>
        <w:rFonts w:hint="eastAsia" w:cs="宋体"/>
        <w:sz w:val="21"/>
        <w:szCs w:val="21"/>
      </w:rPr>
      <w:t>号北环中心</w:t>
    </w:r>
    <w:r>
      <w:rPr>
        <w:sz w:val="21"/>
        <w:szCs w:val="21"/>
      </w:rPr>
      <w:t>25</w:t>
    </w:r>
    <w:r>
      <w:rPr>
        <w:rFonts w:hint="eastAsia" w:cs="宋体"/>
        <w:sz w:val="21"/>
        <w:szCs w:val="21"/>
      </w:rPr>
      <w:t>层</w:t>
    </w:r>
  </w:p>
  <w:p>
    <w:pPr>
      <w:pStyle w:val="22"/>
      <w:pBdr>
        <w:top w:val="single" w:color="auto" w:sz="4" w:space="1"/>
      </w:pBdr>
      <w:rPr>
        <w:rFonts w:ascii="宋体" w:cs="宋体"/>
        <w:sz w:val="21"/>
        <w:szCs w:val="21"/>
      </w:rPr>
    </w:pPr>
    <w:r>
      <w:rPr>
        <w:rFonts w:hint="eastAsia" w:cs="宋体"/>
        <w:sz w:val="21"/>
        <w:szCs w:val="21"/>
      </w:rPr>
      <w:t>电话：</w:t>
    </w:r>
    <w:r>
      <w:rPr>
        <w:sz w:val="21"/>
        <w:szCs w:val="21"/>
      </w:rPr>
      <w:t xml:space="preserve">010-51667811 13311200162           </w:t>
    </w:r>
    <w:r>
      <w:rPr>
        <w:rFonts w:hint="eastAsia" w:cs="宋体"/>
        <w:sz w:val="21"/>
        <w:szCs w:val="21"/>
      </w:rPr>
      <w:t>传真：</w:t>
    </w:r>
    <w:r>
      <w:rPr>
        <w:sz w:val="21"/>
        <w:szCs w:val="21"/>
      </w:rPr>
      <w:t xml:space="preserve">82253743         </w:t>
    </w:r>
    <w:r>
      <w:rPr>
        <w:rFonts w:ascii="Arial" w:hAnsi="Arial" w:eastAsia="黑体" w:cs="Arial"/>
        <w:sz w:val="21"/>
        <w:szCs w:val="21"/>
      </w:rPr>
      <w:t xml:space="preserve">         </w:t>
    </w:r>
    <w:r>
      <w:rPr>
        <w:rStyle w:val="133"/>
        <w:rFonts w:hint="eastAsia" w:ascii="宋体" w:hAnsi="宋体" w:cs="宋体"/>
        <w:sz w:val="21"/>
        <w:szCs w:val="21"/>
      </w:rPr>
      <w:t>报告第</w:t>
    </w:r>
    <w:r>
      <w:rPr>
        <w:rStyle w:val="133"/>
        <w:rFonts w:ascii="宋体" w:hAnsi="宋体" w:cs="宋体"/>
        <w:sz w:val="21"/>
        <w:szCs w:val="21"/>
      </w:rPr>
      <w:fldChar w:fldCharType="begin"/>
    </w:r>
    <w:r>
      <w:rPr>
        <w:rStyle w:val="133"/>
        <w:rFonts w:ascii="宋体" w:hAnsi="宋体" w:cs="宋体"/>
        <w:sz w:val="21"/>
        <w:szCs w:val="21"/>
      </w:rPr>
      <w:instrText xml:space="preserve">PAGE   \* MERGEFORMAT</w:instrText>
    </w:r>
    <w:r>
      <w:rPr>
        <w:rStyle w:val="133"/>
        <w:rFonts w:ascii="宋体" w:hAnsi="宋体" w:cs="宋体"/>
        <w:sz w:val="21"/>
        <w:szCs w:val="21"/>
      </w:rPr>
      <w:fldChar w:fldCharType="separate"/>
    </w:r>
    <w:r>
      <w:rPr>
        <w:rStyle w:val="133"/>
        <w:rFonts w:ascii="宋体" w:hAnsi="宋体" w:cs="宋体"/>
        <w:sz w:val="21"/>
        <w:szCs w:val="21"/>
        <w:lang w:val="zh-CN"/>
      </w:rPr>
      <w:t>6</w:t>
    </w:r>
    <w:r>
      <w:rPr>
        <w:rStyle w:val="133"/>
        <w:rFonts w:ascii="宋体" w:hAnsi="宋体" w:cs="宋体"/>
        <w:sz w:val="21"/>
        <w:szCs w:val="21"/>
      </w:rPr>
      <w:fldChar w:fldCharType="end"/>
    </w:r>
    <w:r>
      <w:rPr>
        <w:rStyle w:val="133"/>
        <w:rFonts w:hint="eastAsia" w:ascii="宋体" w:hAnsi="宋体" w:cs="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rPr>
        <w:rFonts w:cs="Times New Roman"/>
        <w:sz w:val="21"/>
        <w:szCs w:val="21"/>
      </w:rPr>
    </w:pPr>
    <w:r>
      <w:rPr>
        <w:rFonts w:hint="eastAsia" w:cs="宋体"/>
        <w:sz w:val="21"/>
        <w:szCs w:val="21"/>
      </w:rPr>
      <w:t>北京国融兴华资产评估有限责任公司</w:t>
    </w:r>
    <w:r>
      <w:rPr>
        <w:sz w:val="21"/>
        <w:szCs w:val="21"/>
      </w:rPr>
      <w:t xml:space="preserve">            </w:t>
    </w:r>
    <w:r>
      <w:rPr>
        <w:rFonts w:hint="eastAsia" w:cs="宋体"/>
        <w:sz w:val="21"/>
        <w:szCs w:val="21"/>
      </w:rPr>
      <w:t>地址：北京市西城区裕民路</w:t>
    </w:r>
    <w:r>
      <w:rPr>
        <w:sz w:val="21"/>
        <w:szCs w:val="21"/>
      </w:rPr>
      <w:t>18</w:t>
    </w:r>
    <w:r>
      <w:rPr>
        <w:rFonts w:hint="eastAsia" w:cs="宋体"/>
        <w:sz w:val="21"/>
        <w:szCs w:val="21"/>
      </w:rPr>
      <w:t>号北环中心</w:t>
    </w:r>
    <w:r>
      <w:rPr>
        <w:sz w:val="21"/>
        <w:szCs w:val="21"/>
      </w:rPr>
      <w:t>25</w:t>
    </w:r>
    <w:r>
      <w:rPr>
        <w:rFonts w:hint="eastAsia" w:cs="宋体"/>
        <w:sz w:val="21"/>
        <w:szCs w:val="21"/>
      </w:rPr>
      <w:t>层</w:t>
    </w:r>
  </w:p>
  <w:p>
    <w:pPr>
      <w:pStyle w:val="22"/>
      <w:pBdr>
        <w:top w:val="single" w:color="auto" w:sz="4" w:space="1"/>
      </w:pBdr>
      <w:rPr>
        <w:rFonts w:ascii="宋体" w:cs="宋体"/>
        <w:sz w:val="21"/>
        <w:szCs w:val="21"/>
      </w:rPr>
    </w:pPr>
    <w:r>
      <w:rPr>
        <w:rFonts w:hint="eastAsia" w:cs="宋体"/>
        <w:sz w:val="21"/>
        <w:szCs w:val="21"/>
      </w:rPr>
      <w:t>电话：</w:t>
    </w:r>
    <w:r>
      <w:rPr>
        <w:sz w:val="21"/>
        <w:szCs w:val="21"/>
      </w:rPr>
      <w:t xml:space="preserve">010-51667811 13311200162            </w:t>
    </w:r>
    <w:r>
      <w:rPr>
        <w:rFonts w:hint="eastAsia" w:cs="宋体"/>
        <w:sz w:val="21"/>
        <w:szCs w:val="21"/>
      </w:rPr>
      <w:t>传真：</w:t>
    </w:r>
    <w:r>
      <w:rPr>
        <w:sz w:val="21"/>
        <w:szCs w:val="21"/>
      </w:rPr>
      <w:t xml:space="preserve">82253743         </w:t>
    </w:r>
    <w:r>
      <w:rPr>
        <w:rFonts w:ascii="Arial" w:hAnsi="Arial" w:eastAsia="黑体" w:cs="Arial"/>
        <w:sz w:val="21"/>
        <w:szCs w:val="21"/>
      </w:rPr>
      <w:t xml:space="preserve">         </w:t>
    </w:r>
    <w:r>
      <w:rPr>
        <w:rStyle w:val="133"/>
        <w:rFonts w:hint="eastAsia" w:ascii="宋体" w:hAnsi="宋体" w:cs="宋体"/>
        <w:sz w:val="21"/>
        <w:szCs w:val="21"/>
      </w:rPr>
      <w:t>报告第</w:t>
    </w:r>
    <w:r>
      <w:rPr>
        <w:rStyle w:val="133"/>
        <w:rFonts w:ascii="宋体" w:hAnsi="宋体" w:cs="宋体"/>
        <w:sz w:val="21"/>
        <w:szCs w:val="21"/>
      </w:rPr>
      <w:fldChar w:fldCharType="begin"/>
    </w:r>
    <w:r>
      <w:rPr>
        <w:rStyle w:val="133"/>
        <w:rFonts w:ascii="宋体" w:hAnsi="宋体" w:cs="宋体"/>
        <w:sz w:val="21"/>
        <w:szCs w:val="21"/>
      </w:rPr>
      <w:instrText xml:space="preserve">PAGE   \* MERGEFORMAT</w:instrText>
    </w:r>
    <w:r>
      <w:rPr>
        <w:rStyle w:val="133"/>
        <w:rFonts w:ascii="宋体" w:hAnsi="宋体" w:cs="宋体"/>
        <w:sz w:val="21"/>
        <w:szCs w:val="21"/>
      </w:rPr>
      <w:fldChar w:fldCharType="separate"/>
    </w:r>
    <w:r>
      <w:rPr>
        <w:rStyle w:val="133"/>
        <w:rFonts w:ascii="宋体" w:hAnsi="宋体" w:cs="宋体"/>
        <w:sz w:val="21"/>
        <w:szCs w:val="21"/>
        <w:lang w:val="zh-CN"/>
      </w:rPr>
      <w:t>1</w:t>
    </w:r>
    <w:r>
      <w:rPr>
        <w:rStyle w:val="133"/>
        <w:rFonts w:ascii="宋体" w:hAnsi="宋体" w:cs="宋体"/>
        <w:sz w:val="21"/>
        <w:szCs w:val="21"/>
      </w:rPr>
      <w:fldChar w:fldCharType="end"/>
    </w:r>
    <w:r>
      <w:rPr>
        <w:rStyle w:val="133"/>
        <w:rFonts w:hint="eastAsia" w:ascii="宋体" w:hAnsi="宋体" w:cs="宋体"/>
        <w:sz w:val="21"/>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9214"/>
        <w:tab w:val="clear" w:pos="8306"/>
      </w:tabs>
      <w:ind w:right="-142"/>
      <w:rPr>
        <w:u w:val="single"/>
      </w:rPr>
    </w:pPr>
    <w:r>
      <w:rPr>
        <w:rFonts w:hint="eastAsia" w:cs="宋体"/>
        <w:u w:val="single"/>
      </w:rPr>
      <w:t>　　　　　　　　　　　　　　　　　　　　　　　　　　　　　　　</w:t>
    </w:r>
    <w:r>
      <w:rPr>
        <w:u w:val="single"/>
      </w:rPr>
      <w:t xml:space="preserve">                          </w:t>
    </w:r>
    <w:r>
      <w:rPr>
        <w:rFonts w:hint="eastAsia" w:cs="宋体"/>
        <w:u w:val="single"/>
      </w:rPr>
      <w:t>　　</w:t>
    </w:r>
    <w:r>
      <w:rPr>
        <w:u w:val="single"/>
      </w:rPr>
      <w:t xml:space="preserve"> </w:t>
    </w:r>
    <w:r>
      <w:rPr>
        <w:rFonts w:hint="eastAsia" w:cs="宋体"/>
        <w:u w:val="single"/>
      </w:rPr>
      <w:t>　</w:t>
    </w:r>
    <w:r>
      <w:rPr>
        <w:u w:val="single"/>
      </w:rPr>
      <w:t xml:space="preserve">      </w:t>
    </w:r>
  </w:p>
  <w:p>
    <w:pPr>
      <w:pStyle w:val="22"/>
      <w:pBdr>
        <w:top w:val="single" w:color="auto" w:sz="4" w:space="1"/>
      </w:pBdr>
      <w:rPr>
        <w:rFonts w:cs="Times New Roman"/>
        <w:sz w:val="21"/>
        <w:szCs w:val="21"/>
      </w:rPr>
    </w:pPr>
    <w:r>
      <w:rPr>
        <w:rFonts w:hint="eastAsia" w:cs="宋体"/>
        <w:sz w:val="21"/>
        <w:szCs w:val="21"/>
      </w:rPr>
      <w:t>北京国融兴华资产评估有限责任公司</w:t>
    </w:r>
    <w:r>
      <w:rPr>
        <w:sz w:val="21"/>
        <w:szCs w:val="21"/>
      </w:rPr>
      <w:t xml:space="preserve">   </w:t>
    </w:r>
    <w:r>
      <w:rPr>
        <w:rFonts w:hint="eastAsia" w:cs="宋体"/>
        <w:sz w:val="21"/>
        <w:szCs w:val="21"/>
      </w:rPr>
      <w:t>地址：北京市西城区裕民路</w:t>
    </w:r>
    <w:r>
      <w:rPr>
        <w:sz w:val="21"/>
        <w:szCs w:val="21"/>
      </w:rPr>
      <w:t>18</w:t>
    </w:r>
    <w:r>
      <w:rPr>
        <w:rFonts w:hint="eastAsia" w:cs="宋体"/>
        <w:sz w:val="21"/>
        <w:szCs w:val="21"/>
      </w:rPr>
      <w:t>号北环中心</w:t>
    </w:r>
    <w:r>
      <w:rPr>
        <w:sz w:val="21"/>
        <w:szCs w:val="21"/>
      </w:rPr>
      <w:t>25</w:t>
    </w:r>
    <w:r>
      <w:rPr>
        <w:rFonts w:hint="eastAsia" w:cs="宋体"/>
        <w:sz w:val="21"/>
        <w:szCs w:val="21"/>
      </w:rPr>
      <w:t>层</w:t>
    </w:r>
  </w:p>
  <w:p>
    <w:pPr>
      <w:pStyle w:val="22"/>
      <w:pBdr>
        <w:top w:val="single" w:color="auto" w:sz="4" w:space="1"/>
      </w:pBdr>
      <w:rPr>
        <w:rFonts w:ascii="宋体" w:cs="宋体"/>
        <w:sz w:val="21"/>
        <w:szCs w:val="21"/>
      </w:rPr>
    </w:pPr>
    <w:r>
      <w:rPr>
        <w:rFonts w:hint="eastAsia" w:cs="宋体"/>
        <w:sz w:val="21"/>
        <w:szCs w:val="21"/>
      </w:rPr>
      <w:t>电话：</w:t>
    </w:r>
    <w:r>
      <w:rPr>
        <w:sz w:val="21"/>
        <w:szCs w:val="21"/>
      </w:rPr>
      <w:t xml:space="preserve">010-51667811 13311200162      </w:t>
    </w:r>
    <w:r>
      <w:rPr>
        <w:rFonts w:hint="eastAsia" w:cs="宋体"/>
        <w:sz w:val="21"/>
        <w:szCs w:val="21"/>
      </w:rPr>
      <w:t>传真：</w:t>
    </w:r>
    <w:r>
      <w:rPr>
        <w:sz w:val="21"/>
        <w:szCs w:val="21"/>
      </w:rPr>
      <w:t xml:space="preserve">82253743         </w:t>
    </w:r>
    <w:r>
      <w:rPr>
        <w:rFonts w:ascii="Arial" w:hAnsi="Arial" w:eastAsia="黑体" w:cs="Arial"/>
        <w:sz w:val="21"/>
        <w:szCs w:val="21"/>
      </w:rPr>
      <w:t xml:space="preserve">         </w:t>
    </w:r>
    <w:r>
      <w:rPr>
        <w:rStyle w:val="133"/>
        <w:rFonts w:hint="eastAsia" w:ascii="宋体" w:hAnsi="宋体" w:cs="宋体"/>
        <w:sz w:val="21"/>
        <w:szCs w:val="21"/>
      </w:rPr>
      <w:t>报告第</w:t>
    </w:r>
    <w:r>
      <w:rPr>
        <w:rStyle w:val="133"/>
        <w:rFonts w:ascii="宋体" w:hAnsi="宋体" w:cs="宋体"/>
        <w:sz w:val="21"/>
        <w:szCs w:val="21"/>
      </w:rPr>
      <w:fldChar w:fldCharType="begin"/>
    </w:r>
    <w:r>
      <w:rPr>
        <w:rStyle w:val="133"/>
        <w:rFonts w:ascii="宋体" w:hAnsi="宋体" w:cs="宋体"/>
        <w:sz w:val="21"/>
        <w:szCs w:val="21"/>
      </w:rPr>
      <w:instrText xml:space="preserve">PAGE  </w:instrText>
    </w:r>
    <w:r>
      <w:rPr>
        <w:rStyle w:val="133"/>
        <w:rFonts w:ascii="宋体" w:hAnsi="宋体" w:cs="宋体"/>
        <w:sz w:val="21"/>
        <w:szCs w:val="21"/>
      </w:rPr>
      <w:fldChar w:fldCharType="separate"/>
    </w:r>
    <w:r>
      <w:rPr>
        <w:rStyle w:val="133"/>
        <w:rFonts w:ascii="宋体" w:hAnsi="宋体" w:cs="宋体"/>
        <w:sz w:val="21"/>
        <w:szCs w:val="21"/>
      </w:rPr>
      <w:t>14</w:t>
    </w:r>
    <w:r>
      <w:rPr>
        <w:rStyle w:val="133"/>
        <w:rFonts w:ascii="宋体" w:hAnsi="宋体" w:cs="宋体"/>
        <w:sz w:val="21"/>
        <w:szCs w:val="21"/>
      </w:rPr>
      <w:fldChar w:fldCharType="end"/>
    </w:r>
    <w:r>
      <w:rPr>
        <w:rStyle w:val="133"/>
        <w:rFonts w:hint="eastAsia" w:ascii="宋体" w:hAnsi="宋体" w:cs="宋体"/>
        <w:sz w:val="21"/>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jc w:val="right"/>
      <w:rPr>
        <w:rFonts w:ascii="宋体" w:cs="宋体"/>
        <w:sz w:val="21"/>
        <w:szCs w:val="21"/>
      </w:rPr>
    </w:pPr>
    <w:r>
      <w:pict>
        <v:shape id="_x0000_s4097" o:spid="_x0000_s4097" o:spt="75" type="#_x0000_t75" style="position:absolute;left:0pt;margin-left:-0.05pt;margin-top:-1.5pt;height:18.4pt;width:64.4pt;z-index:251659264;mso-width-relative:page;mso-height-relative:page;" filled="f" o:preferrelative="t" stroked="f" coordsize="21600,21600">
          <v:path/>
          <v:fill on="f" focussize="0,0"/>
          <v:stroke on="f" joinstyle="miter"/>
          <v:imagedata r:id="rId1" o:title=""/>
          <o:lock v:ext="edit" aspectratio="t"/>
        </v:shape>
      </w:pict>
    </w:r>
    <w:r>
      <w:rPr>
        <w:rFonts w:hint="eastAsia" w:ascii="宋体" w:hAnsi="宋体" w:cs="宋体"/>
        <w:sz w:val="21"/>
        <w:szCs w:val="21"/>
      </w:rPr>
      <w:t>广东省湛江市遂溪县遂城镇洪家村矿区</w:t>
    </w:r>
  </w:p>
  <w:p>
    <w:pPr>
      <w:pStyle w:val="23"/>
      <w:spacing w:after="120"/>
      <w:jc w:val="right"/>
      <w:rPr>
        <w:rFonts w:ascii="宋体" w:cs="宋体"/>
        <w:sz w:val="21"/>
        <w:szCs w:val="21"/>
      </w:rPr>
    </w:pPr>
    <w:r>
      <w:rPr>
        <w:rFonts w:hint="eastAsia" w:ascii="宋体" w:hAnsi="宋体" w:cs="宋体"/>
        <w:sz w:val="21"/>
        <w:szCs w:val="21"/>
      </w:rPr>
      <w:t>建筑用玄武岩矿采矿权出让收益评估报告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after="120"/>
      <w:ind w:right="210"/>
      <w:jc w:val="right"/>
      <w:rPr>
        <w:rFonts w:ascii="宋体" w:cs="宋体"/>
      </w:rPr>
    </w:pPr>
    <w:r>
      <w:pict>
        <v:shape id="图片 3" o:spid="_x0000_s4098" o:spt="75" type="#_x0000_t75" style="position:absolute;left:0pt;margin-left:-0.1pt;margin-top:-6.8pt;height:18.4pt;width:64.4pt;z-index:251660288;mso-width-relative:page;mso-height-relative:page;" filled="f" o:preferrelative="t" stroked="f" coordsize="21600,21600">
          <v:path/>
          <v:fill on="f" focussize="0,0"/>
          <v:stroke on="f" joinstyle="miter"/>
          <v:imagedata r:id="rId1" o:title=""/>
          <o:lock v:ext="edit" aspectratio="t"/>
        </v:shape>
      </w:pict>
    </w:r>
    <w:r>
      <w:rPr>
        <w:rFonts w:hint="eastAsia" w:ascii="宋体" w:hAnsi="宋体" w:cs="宋体"/>
      </w:rPr>
      <w:t>广东省湛江市遂溪县遂城镇洪家村矿区</w:t>
    </w:r>
  </w:p>
  <w:p>
    <w:pPr>
      <w:pBdr>
        <w:bottom w:val="single" w:color="auto" w:sz="6" w:space="1"/>
      </w:pBdr>
      <w:tabs>
        <w:tab w:val="center" w:pos="4153"/>
        <w:tab w:val="right" w:pos="8306"/>
      </w:tabs>
      <w:snapToGrid w:val="0"/>
      <w:spacing w:after="120"/>
      <w:ind w:right="210"/>
      <w:jc w:val="right"/>
      <w:rPr>
        <w:rFonts w:ascii="宋体" w:cs="宋体"/>
      </w:rPr>
    </w:pPr>
    <w:r>
      <w:rPr>
        <w:rFonts w:hint="eastAsia" w:ascii="宋体" w:hAnsi="宋体" w:cs="宋体"/>
      </w:rPr>
      <w:t>建筑用玄武岩矿采矿权出让收益评估报告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jc w:val="right"/>
      <w:rPr>
        <w:rFonts w:ascii="宋体" w:cs="宋体"/>
        <w:sz w:val="21"/>
        <w:szCs w:val="21"/>
      </w:rPr>
    </w:pPr>
    <w:r>
      <w:pict>
        <v:shape id="图片 4" o:spid="_x0000_s4099" o:spt="75" type="#_x0000_t75" style="position:absolute;left:0pt;margin-left:-0.05pt;margin-top:-0.75pt;height:18.4pt;width:64.4pt;z-index:251660288;mso-width-relative:page;mso-height-relative:page;" filled="f" o:preferrelative="t" stroked="f" coordsize="21600,21600">
          <v:path/>
          <v:fill on="f" focussize="0,0"/>
          <v:stroke on="f" joinstyle="miter"/>
          <v:imagedata r:id="rId1" o:title=""/>
          <o:lock v:ext="edit" aspectratio="t"/>
        </v:shape>
      </w:pict>
    </w:r>
    <w:r>
      <w:rPr>
        <w:rFonts w:hint="eastAsia" w:ascii="宋体" w:hAnsi="宋体" w:cs="宋体"/>
        <w:sz w:val="21"/>
        <w:szCs w:val="21"/>
      </w:rPr>
      <w:t>广东省湛江市遂溪县遂城镇洪家村矿区</w:t>
    </w:r>
  </w:p>
  <w:p>
    <w:pPr>
      <w:pStyle w:val="23"/>
      <w:spacing w:after="120"/>
      <w:jc w:val="right"/>
      <w:rPr>
        <w:rFonts w:ascii="宋体" w:cs="宋体"/>
        <w:sz w:val="21"/>
        <w:szCs w:val="21"/>
      </w:rPr>
    </w:pPr>
    <w:r>
      <w:rPr>
        <w:rFonts w:hint="eastAsia" w:ascii="宋体" w:hAnsi="宋体" w:cs="宋体"/>
        <w:sz w:val="21"/>
        <w:szCs w:val="21"/>
      </w:rPr>
      <w:t>建筑用玄武岩矿采矿权出让收益评估报告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13C8A"/>
    <w:multiLevelType w:val="multilevel"/>
    <w:tmpl w:val="22013C8A"/>
    <w:lvl w:ilvl="0" w:tentative="0">
      <w:start w:val="1"/>
      <w:numFmt w:val="decimal"/>
      <w:pStyle w:val="183"/>
      <w:lvlText w:val="表3-%1"/>
      <w:lvlJc w:val="center"/>
      <w:pPr>
        <w:tabs>
          <w:tab w:val="left" w:pos="0"/>
        </w:tabs>
      </w:pPr>
      <w:rPr>
        <w:rFonts w:hint="default" w:ascii="Arial" w:hAnsi="Arial" w:eastAsia="宋体"/>
        <w:b/>
        <w:bCs/>
        <w:i w:val="0"/>
        <w:iCs w:val="0"/>
        <w:color w:val="auto"/>
        <w:sz w:val="21"/>
        <w:szCs w:val="21"/>
        <w:u w:val="doubl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56F6763"/>
    <w:multiLevelType w:val="multilevel"/>
    <w:tmpl w:val="456F6763"/>
    <w:lvl w:ilvl="0" w:tentative="0">
      <w:start w:val="1"/>
      <w:numFmt w:val="decimal"/>
      <w:pStyle w:val="189"/>
      <w:lvlText w:val="%1."/>
      <w:lvlJc w:val="left"/>
      <w:pPr>
        <w:tabs>
          <w:tab w:val="left" w:pos="0"/>
        </w:tabs>
        <w:ind w:left="851" w:hanging="397"/>
      </w:pPr>
      <w:rPr>
        <w:rFonts w:hint="default" w:ascii="Arial" w:hAnsi="Arial" w:eastAsia="宋体"/>
        <w:b/>
        <w:bCs/>
        <w:i w:val="0"/>
        <w:iCs w:val="0"/>
        <w:color w:val="auto"/>
        <w:sz w:val="21"/>
        <w:szCs w:val="21"/>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ViMTU2NGNlNjNmYTRkY2U0ZWMyZDhiOWI1YTdmM2QifQ=="/>
  </w:docVars>
  <w:rsids>
    <w:rsidRoot w:val="00082CFF"/>
    <w:rsid w:val="00000018"/>
    <w:rsid w:val="0000153D"/>
    <w:rsid w:val="00001EDC"/>
    <w:rsid w:val="000023DD"/>
    <w:rsid w:val="000027C5"/>
    <w:rsid w:val="00002EA9"/>
    <w:rsid w:val="00006D95"/>
    <w:rsid w:val="00007485"/>
    <w:rsid w:val="000100DD"/>
    <w:rsid w:val="000104C9"/>
    <w:rsid w:val="0001344A"/>
    <w:rsid w:val="00020C34"/>
    <w:rsid w:val="0002343F"/>
    <w:rsid w:val="000254D1"/>
    <w:rsid w:val="000262AC"/>
    <w:rsid w:val="00033F7F"/>
    <w:rsid w:val="00037609"/>
    <w:rsid w:val="00037A7F"/>
    <w:rsid w:val="000449C6"/>
    <w:rsid w:val="00044C94"/>
    <w:rsid w:val="0004608D"/>
    <w:rsid w:val="00046C27"/>
    <w:rsid w:val="00046EB6"/>
    <w:rsid w:val="00052121"/>
    <w:rsid w:val="0005229A"/>
    <w:rsid w:val="0005636E"/>
    <w:rsid w:val="00064DE8"/>
    <w:rsid w:val="00071867"/>
    <w:rsid w:val="000722C9"/>
    <w:rsid w:val="000731DF"/>
    <w:rsid w:val="0007470A"/>
    <w:rsid w:val="00076A81"/>
    <w:rsid w:val="00077046"/>
    <w:rsid w:val="00081EAD"/>
    <w:rsid w:val="000826A5"/>
    <w:rsid w:val="00082CFF"/>
    <w:rsid w:val="00087BDF"/>
    <w:rsid w:val="000910C2"/>
    <w:rsid w:val="00097AB6"/>
    <w:rsid w:val="000A26F7"/>
    <w:rsid w:val="000A4051"/>
    <w:rsid w:val="000A7076"/>
    <w:rsid w:val="000B0578"/>
    <w:rsid w:val="000B13A7"/>
    <w:rsid w:val="000B7776"/>
    <w:rsid w:val="000C2D92"/>
    <w:rsid w:val="000C31BE"/>
    <w:rsid w:val="000C3580"/>
    <w:rsid w:val="000C52E2"/>
    <w:rsid w:val="000C56F4"/>
    <w:rsid w:val="000C7A8D"/>
    <w:rsid w:val="000D05B0"/>
    <w:rsid w:val="000D3FD8"/>
    <w:rsid w:val="000E0B78"/>
    <w:rsid w:val="000E122F"/>
    <w:rsid w:val="000E3E36"/>
    <w:rsid w:val="000E4EDB"/>
    <w:rsid w:val="000E52EC"/>
    <w:rsid w:val="000E6395"/>
    <w:rsid w:val="000E653E"/>
    <w:rsid w:val="000E70A1"/>
    <w:rsid w:val="000F04E2"/>
    <w:rsid w:val="000F0DB2"/>
    <w:rsid w:val="000F175D"/>
    <w:rsid w:val="000F4B35"/>
    <w:rsid w:val="000F6F9F"/>
    <w:rsid w:val="0010242E"/>
    <w:rsid w:val="00105528"/>
    <w:rsid w:val="00107E76"/>
    <w:rsid w:val="00107F9B"/>
    <w:rsid w:val="00107FDC"/>
    <w:rsid w:val="001104F6"/>
    <w:rsid w:val="00110CB8"/>
    <w:rsid w:val="00111791"/>
    <w:rsid w:val="0012375E"/>
    <w:rsid w:val="00124A96"/>
    <w:rsid w:val="0012502D"/>
    <w:rsid w:val="001309F4"/>
    <w:rsid w:val="00136924"/>
    <w:rsid w:val="001369DE"/>
    <w:rsid w:val="00137FA9"/>
    <w:rsid w:val="001416C8"/>
    <w:rsid w:val="00147BB6"/>
    <w:rsid w:val="00150324"/>
    <w:rsid w:val="00153829"/>
    <w:rsid w:val="00154E67"/>
    <w:rsid w:val="00161119"/>
    <w:rsid w:val="00162F0C"/>
    <w:rsid w:val="00164D23"/>
    <w:rsid w:val="00170F5B"/>
    <w:rsid w:val="00171D01"/>
    <w:rsid w:val="001728AF"/>
    <w:rsid w:val="00175D8D"/>
    <w:rsid w:val="001775C0"/>
    <w:rsid w:val="00183366"/>
    <w:rsid w:val="00183E06"/>
    <w:rsid w:val="00184E41"/>
    <w:rsid w:val="001872D6"/>
    <w:rsid w:val="00192118"/>
    <w:rsid w:val="00194216"/>
    <w:rsid w:val="00195A4E"/>
    <w:rsid w:val="001965E2"/>
    <w:rsid w:val="00197B09"/>
    <w:rsid w:val="001A1135"/>
    <w:rsid w:val="001A122E"/>
    <w:rsid w:val="001A1390"/>
    <w:rsid w:val="001A165B"/>
    <w:rsid w:val="001A3A55"/>
    <w:rsid w:val="001A63E9"/>
    <w:rsid w:val="001B26AB"/>
    <w:rsid w:val="001B4A76"/>
    <w:rsid w:val="001B573A"/>
    <w:rsid w:val="001B59C5"/>
    <w:rsid w:val="001C07D6"/>
    <w:rsid w:val="001D046B"/>
    <w:rsid w:val="001D2AF6"/>
    <w:rsid w:val="001D3CD0"/>
    <w:rsid w:val="001D5497"/>
    <w:rsid w:val="001E2A47"/>
    <w:rsid w:val="001E2E71"/>
    <w:rsid w:val="001E328E"/>
    <w:rsid w:val="001E672D"/>
    <w:rsid w:val="001E6E9E"/>
    <w:rsid w:val="001E7662"/>
    <w:rsid w:val="001F155A"/>
    <w:rsid w:val="001F29E6"/>
    <w:rsid w:val="001F4852"/>
    <w:rsid w:val="001F5DA7"/>
    <w:rsid w:val="001F5FFB"/>
    <w:rsid w:val="002033CE"/>
    <w:rsid w:val="00203D5B"/>
    <w:rsid w:val="0021145E"/>
    <w:rsid w:val="00211BC5"/>
    <w:rsid w:val="00215AA1"/>
    <w:rsid w:val="0022154D"/>
    <w:rsid w:val="002229B3"/>
    <w:rsid w:val="00225E40"/>
    <w:rsid w:val="00234439"/>
    <w:rsid w:val="00235B19"/>
    <w:rsid w:val="00236256"/>
    <w:rsid w:val="0023627F"/>
    <w:rsid w:val="002362BE"/>
    <w:rsid w:val="00247ACB"/>
    <w:rsid w:val="00250D9A"/>
    <w:rsid w:val="00253F5E"/>
    <w:rsid w:val="00254958"/>
    <w:rsid w:val="002576DB"/>
    <w:rsid w:val="00257C2C"/>
    <w:rsid w:val="00260C0E"/>
    <w:rsid w:val="0026382C"/>
    <w:rsid w:val="002665AB"/>
    <w:rsid w:val="002705F7"/>
    <w:rsid w:val="00273103"/>
    <w:rsid w:val="00273EF9"/>
    <w:rsid w:val="002746BA"/>
    <w:rsid w:val="00275304"/>
    <w:rsid w:val="00280285"/>
    <w:rsid w:val="002821ED"/>
    <w:rsid w:val="00282DCE"/>
    <w:rsid w:val="00283165"/>
    <w:rsid w:val="002864F6"/>
    <w:rsid w:val="002871B4"/>
    <w:rsid w:val="00290638"/>
    <w:rsid w:val="0029112B"/>
    <w:rsid w:val="00293F88"/>
    <w:rsid w:val="0029651F"/>
    <w:rsid w:val="0029710F"/>
    <w:rsid w:val="002A06A4"/>
    <w:rsid w:val="002A5BE3"/>
    <w:rsid w:val="002A6490"/>
    <w:rsid w:val="002B1B1B"/>
    <w:rsid w:val="002B2367"/>
    <w:rsid w:val="002B447C"/>
    <w:rsid w:val="002B554E"/>
    <w:rsid w:val="002C03C3"/>
    <w:rsid w:val="002C0AEE"/>
    <w:rsid w:val="002C2CB0"/>
    <w:rsid w:val="002C5ADB"/>
    <w:rsid w:val="002D1CAE"/>
    <w:rsid w:val="002D226D"/>
    <w:rsid w:val="002D64B6"/>
    <w:rsid w:val="002E106D"/>
    <w:rsid w:val="002E1DAF"/>
    <w:rsid w:val="002E3B49"/>
    <w:rsid w:val="002E5AEA"/>
    <w:rsid w:val="002E732E"/>
    <w:rsid w:val="002F1040"/>
    <w:rsid w:val="002F2E6D"/>
    <w:rsid w:val="002F3884"/>
    <w:rsid w:val="002F721D"/>
    <w:rsid w:val="002F7E74"/>
    <w:rsid w:val="003039D1"/>
    <w:rsid w:val="00311246"/>
    <w:rsid w:val="0031198C"/>
    <w:rsid w:val="00313C1A"/>
    <w:rsid w:val="0031415E"/>
    <w:rsid w:val="00320371"/>
    <w:rsid w:val="0032042E"/>
    <w:rsid w:val="003235C6"/>
    <w:rsid w:val="00325375"/>
    <w:rsid w:val="00326C98"/>
    <w:rsid w:val="00327D5C"/>
    <w:rsid w:val="003302F7"/>
    <w:rsid w:val="00330B66"/>
    <w:rsid w:val="003357CC"/>
    <w:rsid w:val="00340DFD"/>
    <w:rsid w:val="0034127F"/>
    <w:rsid w:val="00342275"/>
    <w:rsid w:val="00345E6B"/>
    <w:rsid w:val="00346655"/>
    <w:rsid w:val="0035289E"/>
    <w:rsid w:val="00356E12"/>
    <w:rsid w:val="00361961"/>
    <w:rsid w:val="00362912"/>
    <w:rsid w:val="00364D08"/>
    <w:rsid w:val="003662F1"/>
    <w:rsid w:val="00366920"/>
    <w:rsid w:val="00371BD5"/>
    <w:rsid w:val="00372350"/>
    <w:rsid w:val="00373CE7"/>
    <w:rsid w:val="00377A59"/>
    <w:rsid w:val="00383BD7"/>
    <w:rsid w:val="00384553"/>
    <w:rsid w:val="00385ADC"/>
    <w:rsid w:val="003906E4"/>
    <w:rsid w:val="003914A1"/>
    <w:rsid w:val="003A3525"/>
    <w:rsid w:val="003A6EE4"/>
    <w:rsid w:val="003A71E2"/>
    <w:rsid w:val="003B4A9C"/>
    <w:rsid w:val="003B5167"/>
    <w:rsid w:val="003B5438"/>
    <w:rsid w:val="003B65B4"/>
    <w:rsid w:val="003C0302"/>
    <w:rsid w:val="003C0EFD"/>
    <w:rsid w:val="003C18B1"/>
    <w:rsid w:val="003C2EC8"/>
    <w:rsid w:val="003C3950"/>
    <w:rsid w:val="003D0121"/>
    <w:rsid w:val="003D1233"/>
    <w:rsid w:val="003D4268"/>
    <w:rsid w:val="003D4F04"/>
    <w:rsid w:val="003E03F1"/>
    <w:rsid w:val="003E792A"/>
    <w:rsid w:val="003F1055"/>
    <w:rsid w:val="003F3F5F"/>
    <w:rsid w:val="00402D3B"/>
    <w:rsid w:val="00407800"/>
    <w:rsid w:val="00407BDD"/>
    <w:rsid w:val="00414E60"/>
    <w:rsid w:val="00420CD3"/>
    <w:rsid w:val="00423D5E"/>
    <w:rsid w:val="00426F32"/>
    <w:rsid w:val="004309CB"/>
    <w:rsid w:val="00435219"/>
    <w:rsid w:val="004365FB"/>
    <w:rsid w:val="0043686D"/>
    <w:rsid w:val="00442E3E"/>
    <w:rsid w:val="00454B3A"/>
    <w:rsid w:val="00454C64"/>
    <w:rsid w:val="00457191"/>
    <w:rsid w:val="004607DA"/>
    <w:rsid w:val="004620BA"/>
    <w:rsid w:val="004645C4"/>
    <w:rsid w:val="00464D11"/>
    <w:rsid w:val="0047209D"/>
    <w:rsid w:val="00473878"/>
    <w:rsid w:val="00474E8F"/>
    <w:rsid w:val="00475C14"/>
    <w:rsid w:val="0047664A"/>
    <w:rsid w:val="004861D2"/>
    <w:rsid w:val="0048644D"/>
    <w:rsid w:val="00487820"/>
    <w:rsid w:val="00487B90"/>
    <w:rsid w:val="00490038"/>
    <w:rsid w:val="00495FA6"/>
    <w:rsid w:val="004A2F40"/>
    <w:rsid w:val="004A44C4"/>
    <w:rsid w:val="004A492B"/>
    <w:rsid w:val="004B0CFE"/>
    <w:rsid w:val="004B2337"/>
    <w:rsid w:val="004B2753"/>
    <w:rsid w:val="004B3761"/>
    <w:rsid w:val="004B3FA5"/>
    <w:rsid w:val="004B478B"/>
    <w:rsid w:val="004C0C42"/>
    <w:rsid w:val="004C23B8"/>
    <w:rsid w:val="004C5047"/>
    <w:rsid w:val="004D1AD3"/>
    <w:rsid w:val="004D49BB"/>
    <w:rsid w:val="004D5144"/>
    <w:rsid w:val="004D5E40"/>
    <w:rsid w:val="004D5F3A"/>
    <w:rsid w:val="004E16D8"/>
    <w:rsid w:val="004E5AA4"/>
    <w:rsid w:val="004F0549"/>
    <w:rsid w:val="004F132D"/>
    <w:rsid w:val="004F646A"/>
    <w:rsid w:val="00502315"/>
    <w:rsid w:val="005067F0"/>
    <w:rsid w:val="005076CF"/>
    <w:rsid w:val="00511AFE"/>
    <w:rsid w:val="00513581"/>
    <w:rsid w:val="00513692"/>
    <w:rsid w:val="00514367"/>
    <w:rsid w:val="00514E5A"/>
    <w:rsid w:val="005169F7"/>
    <w:rsid w:val="00516E6D"/>
    <w:rsid w:val="005175B2"/>
    <w:rsid w:val="00527013"/>
    <w:rsid w:val="00527B96"/>
    <w:rsid w:val="00532A08"/>
    <w:rsid w:val="005341DB"/>
    <w:rsid w:val="00534817"/>
    <w:rsid w:val="005367EE"/>
    <w:rsid w:val="00540976"/>
    <w:rsid w:val="00540FC2"/>
    <w:rsid w:val="00546503"/>
    <w:rsid w:val="00550425"/>
    <w:rsid w:val="00550B30"/>
    <w:rsid w:val="005570AA"/>
    <w:rsid w:val="005600D7"/>
    <w:rsid w:val="00560543"/>
    <w:rsid w:val="00565277"/>
    <w:rsid w:val="00566DE9"/>
    <w:rsid w:val="00566F38"/>
    <w:rsid w:val="00570542"/>
    <w:rsid w:val="00572173"/>
    <w:rsid w:val="00572A32"/>
    <w:rsid w:val="00573B1B"/>
    <w:rsid w:val="005767B4"/>
    <w:rsid w:val="00580641"/>
    <w:rsid w:val="00581360"/>
    <w:rsid w:val="005867A0"/>
    <w:rsid w:val="00590771"/>
    <w:rsid w:val="005927D8"/>
    <w:rsid w:val="00592844"/>
    <w:rsid w:val="005A1534"/>
    <w:rsid w:val="005A5121"/>
    <w:rsid w:val="005B1852"/>
    <w:rsid w:val="005B6085"/>
    <w:rsid w:val="005B71A9"/>
    <w:rsid w:val="005B7A9C"/>
    <w:rsid w:val="005C1469"/>
    <w:rsid w:val="005C25A9"/>
    <w:rsid w:val="005C5B83"/>
    <w:rsid w:val="005C5F61"/>
    <w:rsid w:val="005C67D1"/>
    <w:rsid w:val="005C74DE"/>
    <w:rsid w:val="005D52B8"/>
    <w:rsid w:val="005D60BA"/>
    <w:rsid w:val="005E03CF"/>
    <w:rsid w:val="005E0831"/>
    <w:rsid w:val="005E1828"/>
    <w:rsid w:val="005E424C"/>
    <w:rsid w:val="005E6077"/>
    <w:rsid w:val="005F11A1"/>
    <w:rsid w:val="005F56ED"/>
    <w:rsid w:val="00600F33"/>
    <w:rsid w:val="00604579"/>
    <w:rsid w:val="00604A8D"/>
    <w:rsid w:val="00606EBA"/>
    <w:rsid w:val="00610EFC"/>
    <w:rsid w:val="00617BA1"/>
    <w:rsid w:val="00617FA8"/>
    <w:rsid w:val="00620E89"/>
    <w:rsid w:val="00623CF1"/>
    <w:rsid w:val="006325F5"/>
    <w:rsid w:val="00634911"/>
    <w:rsid w:val="00636888"/>
    <w:rsid w:val="00636D4D"/>
    <w:rsid w:val="00637488"/>
    <w:rsid w:val="006418F9"/>
    <w:rsid w:val="006419F9"/>
    <w:rsid w:val="00641EC4"/>
    <w:rsid w:val="00642777"/>
    <w:rsid w:val="00647211"/>
    <w:rsid w:val="00651B48"/>
    <w:rsid w:val="00655FA2"/>
    <w:rsid w:val="006628AC"/>
    <w:rsid w:val="00663FDB"/>
    <w:rsid w:val="00667B54"/>
    <w:rsid w:val="00670310"/>
    <w:rsid w:val="00670A59"/>
    <w:rsid w:val="00671AB8"/>
    <w:rsid w:val="0067787A"/>
    <w:rsid w:val="00684387"/>
    <w:rsid w:val="00686B39"/>
    <w:rsid w:val="00693497"/>
    <w:rsid w:val="00694055"/>
    <w:rsid w:val="00694D9A"/>
    <w:rsid w:val="006960F1"/>
    <w:rsid w:val="006A2A94"/>
    <w:rsid w:val="006A3211"/>
    <w:rsid w:val="006A34E1"/>
    <w:rsid w:val="006A6167"/>
    <w:rsid w:val="006A70E0"/>
    <w:rsid w:val="006A7C5B"/>
    <w:rsid w:val="006B149B"/>
    <w:rsid w:val="006B2472"/>
    <w:rsid w:val="006B3041"/>
    <w:rsid w:val="006B5339"/>
    <w:rsid w:val="006B5F15"/>
    <w:rsid w:val="006C0D12"/>
    <w:rsid w:val="006C153B"/>
    <w:rsid w:val="006C6557"/>
    <w:rsid w:val="006C7BBF"/>
    <w:rsid w:val="006D0A17"/>
    <w:rsid w:val="006D3879"/>
    <w:rsid w:val="006D4E44"/>
    <w:rsid w:val="006D5320"/>
    <w:rsid w:val="006D6051"/>
    <w:rsid w:val="006D60B9"/>
    <w:rsid w:val="006D6351"/>
    <w:rsid w:val="006E26C4"/>
    <w:rsid w:val="006E3C33"/>
    <w:rsid w:val="006E48CD"/>
    <w:rsid w:val="006E57B8"/>
    <w:rsid w:val="006E6E10"/>
    <w:rsid w:val="006F5D6A"/>
    <w:rsid w:val="006F76AC"/>
    <w:rsid w:val="006F770A"/>
    <w:rsid w:val="00701A49"/>
    <w:rsid w:val="00703809"/>
    <w:rsid w:val="00703A87"/>
    <w:rsid w:val="00704E79"/>
    <w:rsid w:val="00706C5E"/>
    <w:rsid w:val="007102EF"/>
    <w:rsid w:val="007144AC"/>
    <w:rsid w:val="00714D1F"/>
    <w:rsid w:val="0071566E"/>
    <w:rsid w:val="00715D02"/>
    <w:rsid w:val="00720B86"/>
    <w:rsid w:val="00722B4F"/>
    <w:rsid w:val="0072422C"/>
    <w:rsid w:val="00732047"/>
    <w:rsid w:val="007324B7"/>
    <w:rsid w:val="007420DC"/>
    <w:rsid w:val="0074729E"/>
    <w:rsid w:val="00754171"/>
    <w:rsid w:val="007549BF"/>
    <w:rsid w:val="00757366"/>
    <w:rsid w:val="00760B21"/>
    <w:rsid w:val="0076665E"/>
    <w:rsid w:val="007763E5"/>
    <w:rsid w:val="00780079"/>
    <w:rsid w:val="007802BF"/>
    <w:rsid w:val="00780B20"/>
    <w:rsid w:val="00786042"/>
    <w:rsid w:val="00791D03"/>
    <w:rsid w:val="00792006"/>
    <w:rsid w:val="00793136"/>
    <w:rsid w:val="00796FC4"/>
    <w:rsid w:val="007A142B"/>
    <w:rsid w:val="007A219D"/>
    <w:rsid w:val="007A74DE"/>
    <w:rsid w:val="007B1201"/>
    <w:rsid w:val="007B2BB1"/>
    <w:rsid w:val="007B4E4C"/>
    <w:rsid w:val="007C0D77"/>
    <w:rsid w:val="007C1621"/>
    <w:rsid w:val="007C6EBC"/>
    <w:rsid w:val="007D1285"/>
    <w:rsid w:val="007D2121"/>
    <w:rsid w:val="007D2296"/>
    <w:rsid w:val="007D2C61"/>
    <w:rsid w:val="007D3E5C"/>
    <w:rsid w:val="007D7FDA"/>
    <w:rsid w:val="007E1C6C"/>
    <w:rsid w:val="007E247C"/>
    <w:rsid w:val="007E37EB"/>
    <w:rsid w:val="007E43BD"/>
    <w:rsid w:val="007E4F10"/>
    <w:rsid w:val="007F1ED5"/>
    <w:rsid w:val="007F239C"/>
    <w:rsid w:val="007F24F8"/>
    <w:rsid w:val="007F27C9"/>
    <w:rsid w:val="007F4C68"/>
    <w:rsid w:val="007F679E"/>
    <w:rsid w:val="007F6AE4"/>
    <w:rsid w:val="007F76C9"/>
    <w:rsid w:val="00807319"/>
    <w:rsid w:val="008125D6"/>
    <w:rsid w:val="0081402C"/>
    <w:rsid w:val="00814D29"/>
    <w:rsid w:val="008156C9"/>
    <w:rsid w:val="00820CE0"/>
    <w:rsid w:val="00823C05"/>
    <w:rsid w:val="00823F59"/>
    <w:rsid w:val="0082795B"/>
    <w:rsid w:val="00827B85"/>
    <w:rsid w:val="00832252"/>
    <w:rsid w:val="008343E8"/>
    <w:rsid w:val="00836801"/>
    <w:rsid w:val="00836FF3"/>
    <w:rsid w:val="008425BB"/>
    <w:rsid w:val="00844B0D"/>
    <w:rsid w:val="00845AC5"/>
    <w:rsid w:val="00845E9D"/>
    <w:rsid w:val="00847C68"/>
    <w:rsid w:val="00850220"/>
    <w:rsid w:val="008507C6"/>
    <w:rsid w:val="0085502A"/>
    <w:rsid w:val="00860C94"/>
    <w:rsid w:val="008649C5"/>
    <w:rsid w:val="00865111"/>
    <w:rsid w:val="00865586"/>
    <w:rsid w:val="00867A88"/>
    <w:rsid w:val="00867DC6"/>
    <w:rsid w:val="00871161"/>
    <w:rsid w:val="00873B42"/>
    <w:rsid w:val="008801DA"/>
    <w:rsid w:val="008837A3"/>
    <w:rsid w:val="00885FA7"/>
    <w:rsid w:val="00892E32"/>
    <w:rsid w:val="00893DD9"/>
    <w:rsid w:val="008943BD"/>
    <w:rsid w:val="008947E3"/>
    <w:rsid w:val="008A4595"/>
    <w:rsid w:val="008A7DE8"/>
    <w:rsid w:val="008B18F8"/>
    <w:rsid w:val="008B202A"/>
    <w:rsid w:val="008B3876"/>
    <w:rsid w:val="008B599B"/>
    <w:rsid w:val="008C148A"/>
    <w:rsid w:val="008C547D"/>
    <w:rsid w:val="008C7E1E"/>
    <w:rsid w:val="008E748C"/>
    <w:rsid w:val="008F0812"/>
    <w:rsid w:val="008F2B97"/>
    <w:rsid w:val="008F6597"/>
    <w:rsid w:val="009015E9"/>
    <w:rsid w:val="00901BDE"/>
    <w:rsid w:val="00901CE7"/>
    <w:rsid w:val="00903937"/>
    <w:rsid w:val="009046D5"/>
    <w:rsid w:val="009069DB"/>
    <w:rsid w:val="009109CA"/>
    <w:rsid w:val="009153C7"/>
    <w:rsid w:val="00917235"/>
    <w:rsid w:val="009176C5"/>
    <w:rsid w:val="00920324"/>
    <w:rsid w:val="0092174E"/>
    <w:rsid w:val="00922575"/>
    <w:rsid w:val="0092428C"/>
    <w:rsid w:val="009253CF"/>
    <w:rsid w:val="009256F1"/>
    <w:rsid w:val="00930588"/>
    <w:rsid w:val="009319EF"/>
    <w:rsid w:val="00934458"/>
    <w:rsid w:val="00935088"/>
    <w:rsid w:val="009367C4"/>
    <w:rsid w:val="00937BB5"/>
    <w:rsid w:val="00942426"/>
    <w:rsid w:val="00943DC3"/>
    <w:rsid w:val="0094415E"/>
    <w:rsid w:val="009539BE"/>
    <w:rsid w:val="009556B3"/>
    <w:rsid w:val="0096027C"/>
    <w:rsid w:val="00962E73"/>
    <w:rsid w:val="009631A7"/>
    <w:rsid w:val="0096334A"/>
    <w:rsid w:val="00964C7E"/>
    <w:rsid w:val="00964E2D"/>
    <w:rsid w:val="00965437"/>
    <w:rsid w:val="0097276F"/>
    <w:rsid w:val="00974E92"/>
    <w:rsid w:val="0097556F"/>
    <w:rsid w:val="009756DB"/>
    <w:rsid w:val="00977CD2"/>
    <w:rsid w:val="00980158"/>
    <w:rsid w:val="00981D06"/>
    <w:rsid w:val="00983308"/>
    <w:rsid w:val="00983644"/>
    <w:rsid w:val="00985E65"/>
    <w:rsid w:val="009878DF"/>
    <w:rsid w:val="00992455"/>
    <w:rsid w:val="00993E52"/>
    <w:rsid w:val="00994FA6"/>
    <w:rsid w:val="0099551D"/>
    <w:rsid w:val="0099707A"/>
    <w:rsid w:val="009A04A6"/>
    <w:rsid w:val="009A19FD"/>
    <w:rsid w:val="009A2D45"/>
    <w:rsid w:val="009A4126"/>
    <w:rsid w:val="009A53AC"/>
    <w:rsid w:val="009A619E"/>
    <w:rsid w:val="009B22D4"/>
    <w:rsid w:val="009B2576"/>
    <w:rsid w:val="009B445C"/>
    <w:rsid w:val="009B76F4"/>
    <w:rsid w:val="009C355C"/>
    <w:rsid w:val="009C3A16"/>
    <w:rsid w:val="009C52B1"/>
    <w:rsid w:val="009C64B2"/>
    <w:rsid w:val="009C72DD"/>
    <w:rsid w:val="009D609F"/>
    <w:rsid w:val="009E317B"/>
    <w:rsid w:val="009E5E0C"/>
    <w:rsid w:val="009F4E86"/>
    <w:rsid w:val="009F5384"/>
    <w:rsid w:val="009F7F62"/>
    <w:rsid w:val="00A00DF5"/>
    <w:rsid w:val="00A0326B"/>
    <w:rsid w:val="00A04D62"/>
    <w:rsid w:val="00A05CD0"/>
    <w:rsid w:val="00A2436A"/>
    <w:rsid w:val="00A25121"/>
    <w:rsid w:val="00A25CC6"/>
    <w:rsid w:val="00A27ED9"/>
    <w:rsid w:val="00A3260D"/>
    <w:rsid w:val="00A36662"/>
    <w:rsid w:val="00A4122E"/>
    <w:rsid w:val="00A44C5E"/>
    <w:rsid w:val="00A44FAD"/>
    <w:rsid w:val="00A57022"/>
    <w:rsid w:val="00A61B6C"/>
    <w:rsid w:val="00A6676B"/>
    <w:rsid w:val="00A74028"/>
    <w:rsid w:val="00A766A9"/>
    <w:rsid w:val="00A80FB2"/>
    <w:rsid w:val="00A820D2"/>
    <w:rsid w:val="00A827ED"/>
    <w:rsid w:val="00A84E0B"/>
    <w:rsid w:val="00A9078D"/>
    <w:rsid w:val="00A94C8E"/>
    <w:rsid w:val="00A95218"/>
    <w:rsid w:val="00A9627E"/>
    <w:rsid w:val="00AA1817"/>
    <w:rsid w:val="00AA4E2F"/>
    <w:rsid w:val="00AA563F"/>
    <w:rsid w:val="00AA61ED"/>
    <w:rsid w:val="00AA758C"/>
    <w:rsid w:val="00AB3EF9"/>
    <w:rsid w:val="00AC2735"/>
    <w:rsid w:val="00AC3613"/>
    <w:rsid w:val="00AC5E71"/>
    <w:rsid w:val="00AD090E"/>
    <w:rsid w:val="00AD207A"/>
    <w:rsid w:val="00AE3E92"/>
    <w:rsid w:val="00AE561E"/>
    <w:rsid w:val="00AE731B"/>
    <w:rsid w:val="00AF5FFB"/>
    <w:rsid w:val="00AF691A"/>
    <w:rsid w:val="00B00047"/>
    <w:rsid w:val="00B01A72"/>
    <w:rsid w:val="00B01F52"/>
    <w:rsid w:val="00B02114"/>
    <w:rsid w:val="00B02CAC"/>
    <w:rsid w:val="00B13652"/>
    <w:rsid w:val="00B143F6"/>
    <w:rsid w:val="00B16064"/>
    <w:rsid w:val="00B17793"/>
    <w:rsid w:val="00B20B55"/>
    <w:rsid w:val="00B26439"/>
    <w:rsid w:val="00B268C2"/>
    <w:rsid w:val="00B26E8D"/>
    <w:rsid w:val="00B30E41"/>
    <w:rsid w:val="00B31E87"/>
    <w:rsid w:val="00B3306D"/>
    <w:rsid w:val="00B33F27"/>
    <w:rsid w:val="00B36A0D"/>
    <w:rsid w:val="00B36FB4"/>
    <w:rsid w:val="00B37B51"/>
    <w:rsid w:val="00B42355"/>
    <w:rsid w:val="00B4496B"/>
    <w:rsid w:val="00B46B16"/>
    <w:rsid w:val="00B50CD2"/>
    <w:rsid w:val="00B50E19"/>
    <w:rsid w:val="00B510DA"/>
    <w:rsid w:val="00B53337"/>
    <w:rsid w:val="00B536ED"/>
    <w:rsid w:val="00B6132A"/>
    <w:rsid w:val="00B615CB"/>
    <w:rsid w:val="00B64A55"/>
    <w:rsid w:val="00B65247"/>
    <w:rsid w:val="00B70082"/>
    <w:rsid w:val="00B70306"/>
    <w:rsid w:val="00B73DFC"/>
    <w:rsid w:val="00B740BD"/>
    <w:rsid w:val="00B8034F"/>
    <w:rsid w:val="00B874B6"/>
    <w:rsid w:val="00B9134E"/>
    <w:rsid w:val="00B94AE4"/>
    <w:rsid w:val="00B95054"/>
    <w:rsid w:val="00B9505B"/>
    <w:rsid w:val="00B95D43"/>
    <w:rsid w:val="00B96969"/>
    <w:rsid w:val="00BA2535"/>
    <w:rsid w:val="00BA512D"/>
    <w:rsid w:val="00BA7774"/>
    <w:rsid w:val="00BA7FBB"/>
    <w:rsid w:val="00BB1546"/>
    <w:rsid w:val="00BB20A7"/>
    <w:rsid w:val="00BB2211"/>
    <w:rsid w:val="00BB29DD"/>
    <w:rsid w:val="00BB5BEA"/>
    <w:rsid w:val="00BC403A"/>
    <w:rsid w:val="00BC43E4"/>
    <w:rsid w:val="00BC6091"/>
    <w:rsid w:val="00BC74DC"/>
    <w:rsid w:val="00BC7840"/>
    <w:rsid w:val="00BD2744"/>
    <w:rsid w:val="00BD56DD"/>
    <w:rsid w:val="00BE2B7F"/>
    <w:rsid w:val="00BF158D"/>
    <w:rsid w:val="00BF4B24"/>
    <w:rsid w:val="00BF7068"/>
    <w:rsid w:val="00BF7231"/>
    <w:rsid w:val="00C000B4"/>
    <w:rsid w:val="00C023D1"/>
    <w:rsid w:val="00C04D60"/>
    <w:rsid w:val="00C068B8"/>
    <w:rsid w:val="00C06ED8"/>
    <w:rsid w:val="00C12603"/>
    <w:rsid w:val="00C141B4"/>
    <w:rsid w:val="00C20C2C"/>
    <w:rsid w:val="00C23BB8"/>
    <w:rsid w:val="00C23EF3"/>
    <w:rsid w:val="00C343FA"/>
    <w:rsid w:val="00C35187"/>
    <w:rsid w:val="00C35A19"/>
    <w:rsid w:val="00C361F0"/>
    <w:rsid w:val="00C37E9F"/>
    <w:rsid w:val="00C40996"/>
    <w:rsid w:val="00C41191"/>
    <w:rsid w:val="00C42098"/>
    <w:rsid w:val="00C422A3"/>
    <w:rsid w:val="00C47FB0"/>
    <w:rsid w:val="00C53EF6"/>
    <w:rsid w:val="00C6012E"/>
    <w:rsid w:val="00C60232"/>
    <w:rsid w:val="00C62292"/>
    <w:rsid w:val="00C623B3"/>
    <w:rsid w:val="00C66218"/>
    <w:rsid w:val="00C73552"/>
    <w:rsid w:val="00C74FBF"/>
    <w:rsid w:val="00C76162"/>
    <w:rsid w:val="00C762CF"/>
    <w:rsid w:val="00C775C2"/>
    <w:rsid w:val="00C77807"/>
    <w:rsid w:val="00C81E31"/>
    <w:rsid w:val="00C8216D"/>
    <w:rsid w:val="00C82393"/>
    <w:rsid w:val="00C84814"/>
    <w:rsid w:val="00C84A62"/>
    <w:rsid w:val="00C86671"/>
    <w:rsid w:val="00C90E07"/>
    <w:rsid w:val="00C91F1A"/>
    <w:rsid w:val="00C93F30"/>
    <w:rsid w:val="00C94501"/>
    <w:rsid w:val="00CA630B"/>
    <w:rsid w:val="00CA6F96"/>
    <w:rsid w:val="00CA7E31"/>
    <w:rsid w:val="00CB3B46"/>
    <w:rsid w:val="00CB7BBF"/>
    <w:rsid w:val="00CB7EC0"/>
    <w:rsid w:val="00CC2547"/>
    <w:rsid w:val="00CC3B5F"/>
    <w:rsid w:val="00CC561D"/>
    <w:rsid w:val="00CC6B78"/>
    <w:rsid w:val="00CD11B8"/>
    <w:rsid w:val="00CD68FE"/>
    <w:rsid w:val="00CE017D"/>
    <w:rsid w:val="00CE07B5"/>
    <w:rsid w:val="00CE389E"/>
    <w:rsid w:val="00CE4A9B"/>
    <w:rsid w:val="00CE5246"/>
    <w:rsid w:val="00CF0A11"/>
    <w:rsid w:val="00CF2104"/>
    <w:rsid w:val="00CF71DB"/>
    <w:rsid w:val="00D00EDE"/>
    <w:rsid w:val="00D01A80"/>
    <w:rsid w:val="00D01C94"/>
    <w:rsid w:val="00D01DE4"/>
    <w:rsid w:val="00D02C2A"/>
    <w:rsid w:val="00D03806"/>
    <w:rsid w:val="00D10881"/>
    <w:rsid w:val="00D11F33"/>
    <w:rsid w:val="00D12660"/>
    <w:rsid w:val="00D1530A"/>
    <w:rsid w:val="00D15612"/>
    <w:rsid w:val="00D174FF"/>
    <w:rsid w:val="00D17E7A"/>
    <w:rsid w:val="00D2018A"/>
    <w:rsid w:val="00D2188B"/>
    <w:rsid w:val="00D2217A"/>
    <w:rsid w:val="00D22ADC"/>
    <w:rsid w:val="00D24C5C"/>
    <w:rsid w:val="00D31CE2"/>
    <w:rsid w:val="00D33294"/>
    <w:rsid w:val="00D33F0B"/>
    <w:rsid w:val="00D34056"/>
    <w:rsid w:val="00D3424D"/>
    <w:rsid w:val="00D35D24"/>
    <w:rsid w:val="00D364DC"/>
    <w:rsid w:val="00D4045E"/>
    <w:rsid w:val="00D41663"/>
    <w:rsid w:val="00D43893"/>
    <w:rsid w:val="00D438E7"/>
    <w:rsid w:val="00D51E7A"/>
    <w:rsid w:val="00D54363"/>
    <w:rsid w:val="00D547FC"/>
    <w:rsid w:val="00D6234B"/>
    <w:rsid w:val="00D62643"/>
    <w:rsid w:val="00D64C0D"/>
    <w:rsid w:val="00D7028B"/>
    <w:rsid w:val="00D72260"/>
    <w:rsid w:val="00D760CE"/>
    <w:rsid w:val="00D804E9"/>
    <w:rsid w:val="00D8163B"/>
    <w:rsid w:val="00D81FD6"/>
    <w:rsid w:val="00D8562D"/>
    <w:rsid w:val="00D8584D"/>
    <w:rsid w:val="00D8657E"/>
    <w:rsid w:val="00D91120"/>
    <w:rsid w:val="00D91CCF"/>
    <w:rsid w:val="00D91EFE"/>
    <w:rsid w:val="00D922D2"/>
    <w:rsid w:val="00D922D3"/>
    <w:rsid w:val="00D975D2"/>
    <w:rsid w:val="00DA00FF"/>
    <w:rsid w:val="00DA0AFA"/>
    <w:rsid w:val="00DA2817"/>
    <w:rsid w:val="00DA2EFE"/>
    <w:rsid w:val="00DA34B3"/>
    <w:rsid w:val="00DA38B2"/>
    <w:rsid w:val="00DA5E9A"/>
    <w:rsid w:val="00DB29D9"/>
    <w:rsid w:val="00DB3F28"/>
    <w:rsid w:val="00DB54CD"/>
    <w:rsid w:val="00DC1FBB"/>
    <w:rsid w:val="00DD0739"/>
    <w:rsid w:val="00DD6C0C"/>
    <w:rsid w:val="00DE03E3"/>
    <w:rsid w:val="00DE1AD8"/>
    <w:rsid w:val="00DE43CD"/>
    <w:rsid w:val="00DE4F4E"/>
    <w:rsid w:val="00E00E3E"/>
    <w:rsid w:val="00E024D7"/>
    <w:rsid w:val="00E055E0"/>
    <w:rsid w:val="00E07931"/>
    <w:rsid w:val="00E10855"/>
    <w:rsid w:val="00E17054"/>
    <w:rsid w:val="00E20324"/>
    <w:rsid w:val="00E2247F"/>
    <w:rsid w:val="00E239BA"/>
    <w:rsid w:val="00E23EF9"/>
    <w:rsid w:val="00E24D96"/>
    <w:rsid w:val="00E26E5B"/>
    <w:rsid w:val="00E27FBD"/>
    <w:rsid w:val="00E327F1"/>
    <w:rsid w:val="00E36A5E"/>
    <w:rsid w:val="00E43A80"/>
    <w:rsid w:val="00E472C1"/>
    <w:rsid w:val="00E472FF"/>
    <w:rsid w:val="00E504C7"/>
    <w:rsid w:val="00E50E41"/>
    <w:rsid w:val="00E5106B"/>
    <w:rsid w:val="00E5388D"/>
    <w:rsid w:val="00E563F3"/>
    <w:rsid w:val="00E604D8"/>
    <w:rsid w:val="00E6123D"/>
    <w:rsid w:val="00E61A97"/>
    <w:rsid w:val="00E621C2"/>
    <w:rsid w:val="00E6314F"/>
    <w:rsid w:val="00E6317D"/>
    <w:rsid w:val="00E65C94"/>
    <w:rsid w:val="00E65D4B"/>
    <w:rsid w:val="00E66EB0"/>
    <w:rsid w:val="00E70DB5"/>
    <w:rsid w:val="00E710D1"/>
    <w:rsid w:val="00E72643"/>
    <w:rsid w:val="00E7761A"/>
    <w:rsid w:val="00E77CFD"/>
    <w:rsid w:val="00E84A8B"/>
    <w:rsid w:val="00E87138"/>
    <w:rsid w:val="00E8755C"/>
    <w:rsid w:val="00E90B28"/>
    <w:rsid w:val="00E91BAD"/>
    <w:rsid w:val="00E927A8"/>
    <w:rsid w:val="00E94BE5"/>
    <w:rsid w:val="00E96EE0"/>
    <w:rsid w:val="00EA1AE1"/>
    <w:rsid w:val="00EA3EF6"/>
    <w:rsid w:val="00EA59A5"/>
    <w:rsid w:val="00EA7B24"/>
    <w:rsid w:val="00EB52A0"/>
    <w:rsid w:val="00EB58E1"/>
    <w:rsid w:val="00EB66D1"/>
    <w:rsid w:val="00EB6D5D"/>
    <w:rsid w:val="00EC0E39"/>
    <w:rsid w:val="00EC3500"/>
    <w:rsid w:val="00EC35F4"/>
    <w:rsid w:val="00EC4B26"/>
    <w:rsid w:val="00EC4BF2"/>
    <w:rsid w:val="00EC6521"/>
    <w:rsid w:val="00EC6E1C"/>
    <w:rsid w:val="00ED29DD"/>
    <w:rsid w:val="00ED4F85"/>
    <w:rsid w:val="00ED5F1D"/>
    <w:rsid w:val="00EE0A7E"/>
    <w:rsid w:val="00EE1C98"/>
    <w:rsid w:val="00EF0955"/>
    <w:rsid w:val="00EF1DE3"/>
    <w:rsid w:val="00EF3E01"/>
    <w:rsid w:val="00EF44EE"/>
    <w:rsid w:val="00EF6287"/>
    <w:rsid w:val="00F0109A"/>
    <w:rsid w:val="00F0410F"/>
    <w:rsid w:val="00F06389"/>
    <w:rsid w:val="00F114D0"/>
    <w:rsid w:val="00F11A7A"/>
    <w:rsid w:val="00F11FF6"/>
    <w:rsid w:val="00F13AAC"/>
    <w:rsid w:val="00F17499"/>
    <w:rsid w:val="00F22EE3"/>
    <w:rsid w:val="00F27316"/>
    <w:rsid w:val="00F274A7"/>
    <w:rsid w:val="00F2791F"/>
    <w:rsid w:val="00F30349"/>
    <w:rsid w:val="00F3177D"/>
    <w:rsid w:val="00F33C91"/>
    <w:rsid w:val="00F35754"/>
    <w:rsid w:val="00F35A50"/>
    <w:rsid w:val="00F41F64"/>
    <w:rsid w:val="00F42BC0"/>
    <w:rsid w:val="00F42D3D"/>
    <w:rsid w:val="00F475DE"/>
    <w:rsid w:val="00F53E38"/>
    <w:rsid w:val="00F54698"/>
    <w:rsid w:val="00F549CF"/>
    <w:rsid w:val="00F558D5"/>
    <w:rsid w:val="00F57599"/>
    <w:rsid w:val="00F61820"/>
    <w:rsid w:val="00F62128"/>
    <w:rsid w:val="00F704E2"/>
    <w:rsid w:val="00F724D3"/>
    <w:rsid w:val="00F80D82"/>
    <w:rsid w:val="00F83FEB"/>
    <w:rsid w:val="00F86204"/>
    <w:rsid w:val="00F91245"/>
    <w:rsid w:val="00F93995"/>
    <w:rsid w:val="00F94084"/>
    <w:rsid w:val="00F952EB"/>
    <w:rsid w:val="00F95C41"/>
    <w:rsid w:val="00FA0AED"/>
    <w:rsid w:val="00FA23F5"/>
    <w:rsid w:val="00FA3818"/>
    <w:rsid w:val="00FB07A4"/>
    <w:rsid w:val="00FB0F44"/>
    <w:rsid w:val="00FB371D"/>
    <w:rsid w:val="00FD0396"/>
    <w:rsid w:val="00FD05B6"/>
    <w:rsid w:val="00FD1370"/>
    <w:rsid w:val="00FD3576"/>
    <w:rsid w:val="00FD39EF"/>
    <w:rsid w:val="00FD65EE"/>
    <w:rsid w:val="00FD7944"/>
    <w:rsid w:val="00FE1234"/>
    <w:rsid w:val="00FE17A1"/>
    <w:rsid w:val="00FE5EB2"/>
    <w:rsid w:val="00FE733F"/>
    <w:rsid w:val="00FF465B"/>
    <w:rsid w:val="00FF4820"/>
    <w:rsid w:val="00FF5BC3"/>
    <w:rsid w:val="01B50626"/>
    <w:rsid w:val="15E5200E"/>
    <w:rsid w:val="25037B2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3"/>
    <w:link w:val="41"/>
    <w:qFormat/>
    <w:uiPriority w:val="99"/>
    <w:pPr>
      <w:snapToGrid w:val="0"/>
      <w:spacing w:beforeLines="50" w:after="100" w:afterAutospacing="1"/>
      <w:jc w:val="center"/>
      <w:outlineLvl w:val="0"/>
    </w:pPr>
    <w:rPr>
      <w:rFonts w:ascii="黑体" w:hAnsi="Times New Roman" w:eastAsia="黑体" w:cs="黑体"/>
      <w:b/>
      <w:bCs/>
      <w:kern w:val="44"/>
      <w:sz w:val="24"/>
      <w:szCs w:val="24"/>
    </w:rPr>
  </w:style>
  <w:style w:type="paragraph" w:styleId="3">
    <w:name w:val="heading 2"/>
    <w:basedOn w:val="1"/>
    <w:next w:val="4"/>
    <w:link w:val="42"/>
    <w:qFormat/>
    <w:uiPriority w:val="99"/>
    <w:pPr>
      <w:snapToGrid w:val="0"/>
      <w:spacing w:before="260" w:after="260"/>
      <w:jc w:val="center"/>
      <w:outlineLvl w:val="1"/>
    </w:pPr>
    <w:rPr>
      <w:rFonts w:ascii="仿宋_GB2312" w:hAnsi="Times New Roman" w:eastAsia="仿宋_GB2312" w:cs="仿宋_GB2312"/>
      <w:b/>
      <w:bCs/>
      <w:sz w:val="24"/>
      <w:szCs w:val="24"/>
    </w:rPr>
  </w:style>
  <w:style w:type="paragraph" w:styleId="5">
    <w:name w:val="heading 3"/>
    <w:basedOn w:val="1"/>
    <w:next w:val="1"/>
    <w:link w:val="43"/>
    <w:qFormat/>
    <w:uiPriority w:val="99"/>
    <w:pPr>
      <w:keepNext/>
      <w:keepLines/>
      <w:spacing w:before="260" w:after="260" w:line="416" w:lineRule="auto"/>
      <w:outlineLvl w:val="2"/>
    </w:pPr>
    <w:rPr>
      <w:rFonts w:eastAsia="黑体"/>
      <w:b/>
      <w:bCs/>
      <w:sz w:val="24"/>
      <w:szCs w:val="24"/>
    </w:rPr>
  </w:style>
  <w:style w:type="paragraph" w:styleId="6">
    <w:name w:val="heading 4"/>
    <w:basedOn w:val="4"/>
    <w:next w:val="4"/>
    <w:link w:val="44"/>
    <w:qFormat/>
    <w:uiPriority w:val="99"/>
    <w:pPr>
      <w:ind w:firstLine="200"/>
      <w:jc w:val="left"/>
      <w:outlineLvl w:val="3"/>
    </w:pPr>
    <w:rPr>
      <w:rFonts w:eastAsia="宋体"/>
      <w:b/>
      <w:bCs/>
    </w:rPr>
  </w:style>
  <w:style w:type="paragraph" w:styleId="7">
    <w:name w:val="heading 5"/>
    <w:basedOn w:val="1"/>
    <w:next w:val="1"/>
    <w:link w:val="45"/>
    <w:qFormat/>
    <w:uiPriority w:val="99"/>
    <w:pPr>
      <w:keepNext/>
      <w:keepLines/>
      <w:spacing w:before="280" w:after="290" w:line="376" w:lineRule="auto"/>
      <w:outlineLvl w:val="4"/>
    </w:pPr>
    <w:rPr>
      <w:b/>
      <w:bCs/>
      <w:sz w:val="28"/>
      <w:szCs w:val="28"/>
    </w:rPr>
  </w:style>
  <w:style w:type="paragraph" w:styleId="8">
    <w:name w:val="heading 6"/>
    <w:basedOn w:val="1"/>
    <w:next w:val="1"/>
    <w:link w:val="46"/>
    <w:qFormat/>
    <w:uiPriority w:val="99"/>
    <w:pPr>
      <w:keepNext/>
      <w:spacing w:line="360" w:lineRule="auto"/>
      <w:jc w:val="center"/>
      <w:outlineLvl w:val="5"/>
    </w:pPr>
    <w:rPr>
      <w:rFonts w:ascii="宋体" w:hAnsi="宋体" w:cs="宋体"/>
      <w:sz w:val="28"/>
      <w:szCs w:val="28"/>
    </w:rPr>
  </w:style>
  <w:style w:type="character" w:default="1" w:styleId="36">
    <w:name w:val="Default Paragraph Font"/>
    <w:semiHidden/>
    <w:qFormat/>
    <w:uiPriority w:val="99"/>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4">
    <w:name w:val="文字"/>
    <w:basedOn w:val="1"/>
    <w:link w:val="60"/>
    <w:qFormat/>
    <w:uiPriority w:val="99"/>
    <w:pPr>
      <w:snapToGrid w:val="0"/>
      <w:spacing w:afterLines="50" w:line="360" w:lineRule="auto"/>
      <w:ind w:left="120" w:leftChars="57"/>
    </w:pPr>
    <w:rPr>
      <w:rFonts w:ascii="Times New Roman" w:hAnsi="Times New Roman" w:eastAsia="仿宋_GB2312" w:cs="Times New Roman"/>
      <w:kern w:val="0"/>
      <w:sz w:val="24"/>
      <w:szCs w:val="24"/>
      <w:lang w:val="zh-CN"/>
    </w:rPr>
  </w:style>
  <w:style w:type="paragraph" w:styleId="9">
    <w:name w:val="toc 7"/>
    <w:basedOn w:val="1"/>
    <w:next w:val="1"/>
    <w:semiHidden/>
    <w:qFormat/>
    <w:uiPriority w:val="99"/>
    <w:pPr>
      <w:ind w:left="2520" w:leftChars="1200"/>
    </w:pPr>
  </w:style>
  <w:style w:type="paragraph" w:styleId="10">
    <w:name w:val="Normal Indent"/>
    <w:basedOn w:val="1"/>
    <w:link w:val="161"/>
    <w:qFormat/>
    <w:uiPriority w:val="99"/>
    <w:pPr>
      <w:widowControl/>
      <w:ind w:firstLine="420"/>
      <w:jc w:val="distribute"/>
    </w:pPr>
    <w:rPr>
      <w:rFonts w:ascii="宋体" w:hAnsi="宋体" w:cs="宋体"/>
      <w:kern w:val="0"/>
      <w:sz w:val="28"/>
      <w:szCs w:val="28"/>
    </w:rPr>
  </w:style>
  <w:style w:type="paragraph" w:styleId="11">
    <w:name w:val="Document Map"/>
    <w:basedOn w:val="1"/>
    <w:link w:val="49"/>
    <w:semiHidden/>
    <w:qFormat/>
    <w:uiPriority w:val="99"/>
    <w:rPr>
      <w:rFonts w:ascii="宋体" w:cs="宋体"/>
      <w:sz w:val="18"/>
      <w:szCs w:val="18"/>
    </w:rPr>
  </w:style>
  <w:style w:type="paragraph" w:styleId="12">
    <w:name w:val="annotation text"/>
    <w:basedOn w:val="1"/>
    <w:link w:val="47"/>
    <w:semiHidden/>
    <w:qFormat/>
    <w:uiPriority w:val="99"/>
    <w:pPr>
      <w:jc w:val="left"/>
    </w:pPr>
    <w:rPr>
      <w:kern w:val="0"/>
      <w:sz w:val="24"/>
      <w:szCs w:val="24"/>
    </w:rPr>
  </w:style>
  <w:style w:type="paragraph" w:styleId="13">
    <w:name w:val="Body Text"/>
    <w:basedOn w:val="1"/>
    <w:link w:val="50"/>
    <w:qFormat/>
    <w:uiPriority w:val="99"/>
    <w:pPr>
      <w:spacing w:after="120"/>
    </w:pPr>
    <w:rPr>
      <w:rFonts w:ascii="Times New Roman" w:hAnsi="Times New Roman" w:cs="Times New Roman"/>
      <w:kern w:val="0"/>
      <w:sz w:val="24"/>
      <w:szCs w:val="24"/>
      <w:lang w:val="zh-CN"/>
    </w:rPr>
  </w:style>
  <w:style w:type="paragraph" w:styleId="14">
    <w:name w:val="Body Text Indent"/>
    <w:basedOn w:val="1"/>
    <w:link w:val="51"/>
    <w:qFormat/>
    <w:uiPriority w:val="99"/>
    <w:pPr>
      <w:spacing w:line="440" w:lineRule="exact"/>
      <w:ind w:firstLine="480" w:firstLineChars="200"/>
    </w:pPr>
    <w:rPr>
      <w:rFonts w:ascii="Times New Roman" w:hAnsi="Times New Roman" w:cs="Times New Roman"/>
      <w:sz w:val="24"/>
      <w:szCs w:val="24"/>
    </w:rPr>
  </w:style>
  <w:style w:type="paragraph" w:styleId="15">
    <w:name w:val="toc 5"/>
    <w:basedOn w:val="1"/>
    <w:next w:val="1"/>
    <w:semiHidden/>
    <w:qFormat/>
    <w:uiPriority w:val="99"/>
    <w:pPr>
      <w:ind w:left="1680" w:leftChars="800"/>
    </w:pPr>
  </w:style>
  <w:style w:type="paragraph" w:styleId="16">
    <w:name w:val="toc 3"/>
    <w:basedOn w:val="1"/>
    <w:next w:val="1"/>
    <w:semiHidden/>
    <w:qFormat/>
    <w:uiPriority w:val="99"/>
    <w:pPr>
      <w:ind w:left="840" w:leftChars="400"/>
    </w:pPr>
  </w:style>
  <w:style w:type="paragraph" w:styleId="17">
    <w:name w:val="Plain Text"/>
    <w:basedOn w:val="1"/>
    <w:link w:val="52"/>
    <w:qFormat/>
    <w:uiPriority w:val="99"/>
    <w:rPr>
      <w:rFonts w:ascii="宋体" w:hAnsi="Courier New" w:cs="宋体"/>
    </w:rPr>
  </w:style>
  <w:style w:type="paragraph" w:styleId="18">
    <w:name w:val="toc 8"/>
    <w:basedOn w:val="1"/>
    <w:next w:val="1"/>
    <w:semiHidden/>
    <w:qFormat/>
    <w:uiPriority w:val="99"/>
    <w:pPr>
      <w:ind w:left="2940" w:leftChars="1400"/>
    </w:pPr>
  </w:style>
  <w:style w:type="paragraph" w:styleId="19">
    <w:name w:val="Date"/>
    <w:basedOn w:val="1"/>
    <w:next w:val="1"/>
    <w:link w:val="53"/>
    <w:qFormat/>
    <w:uiPriority w:val="99"/>
    <w:pPr>
      <w:ind w:left="100" w:leftChars="2500"/>
    </w:pPr>
  </w:style>
  <w:style w:type="paragraph" w:styleId="20">
    <w:name w:val="Body Text Indent 2"/>
    <w:basedOn w:val="1"/>
    <w:link w:val="54"/>
    <w:qFormat/>
    <w:uiPriority w:val="99"/>
    <w:pPr>
      <w:spacing w:after="120" w:line="480" w:lineRule="auto"/>
      <w:ind w:left="420" w:leftChars="200"/>
    </w:pPr>
  </w:style>
  <w:style w:type="paragraph" w:styleId="21">
    <w:name w:val="Balloon Text"/>
    <w:basedOn w:val="1"/>
    <w:link w:val="55"/>
    <w:semiHidden/>
    <w:qFormat/>
    <w:uiPriority w:val="99"/>
    <w:rPr>
      <w:sz w:val="18"/>
      <w:szCs w:val="18"/>
    </w:rPr>
  </w:style>
  <w:style w:type="paragraph" w:styleId="22">
    <w:name w:val="footer"/>
    <w:basedOn w:val="1"/>
    <w:link w:val="56"/>
    <w:qFormat/>
    <w:uiPriority w:val="99"/>
    <w:pPr>
      <w:tabs>
        <w:tab w:val="center" w:pos="4153"/>
        <w:tab w:val="right" w:pos="8306"/>
      </w:tabs>
      <w:snapToGrid w:val="0"/>
      <w:jc w:val="left"/>
    </w:pPr>
    <w:rPr>
      <w:sz w:val="18"/>
      <w:szCs w:val="18"/>
    </w:rPr>
  </w:style>
  <w:style w:type="paragraph" w:styleId="23">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9179"/>
      </w:tabs>
      <w:snapToGrid w:val="0"/>
      <w:spacing w:after="120" w:line="360" w:lineRule="auto"/>
      <w:ind w:left="119" w:leftChars="50" w:hanging="14" w:hangingChars="6"/>
    </w:pPr>
    <w:rPr>
      <w:rFonts w:ascii="黑体" w:hAnsi="Times New Roman" w:cs="黑体"/>
      <w:b/>
      <w:bCs/>
      <w:sz w:val="24"/>
      <w:szCs w:val="24"/>
    </w:rPr>
  </w:style>
  <w:style w:type="paragraph" w:styleId="25">
    <w:name w:val="toc 4"/>
    <w:basedOn w:val="1"/>
    <w:next w:val="1"/>
    <w:semiHidden/>
    <w:qFormat/>
    <w:uiPriority w:val="99"/>
    <w:pPr>
      <w:ind w:left="1260" w:leftChars="600"/>
    </w:pPr>
  </w:style>
  <w:style w:type="paragraph" w:styleId="26">
    <w:name w:val="toc 6"/>
    <w:basedOn w:val="1"/>
    <w:next w:val="1"/>
    <w:semiHidden/>
    <w:qFormat/>
    <w:uiPriority w:val="99"/>
    <w:pPr>
      <w:ind w:left="2100" w:leftChars="1000"/>
    </w:pPr>
  </w:style>
  <w:style w:type="paragraph" w:styleId="27">
    <w:name w:val="Body Text Indent 3"/>
    <w:basedOn w:val="1"/>
    <w:link w:val="58"/>
    <w:qFormat/>
    <w:uiPriority w:val="99"/>
    <w:pPr>
      <w:spacing w:line="440" w:lineRule="exact"/>
      <w:ind w:firstLine="480"/>
    </w:pPr>
    <w:rPr>
      <w:rFonts w:ascii="Times New Roman" w:hAnsi="Times New Roman" w:cs="Times New Roman"/>
      <w:color w:val="FF0000"/>
      <w:sz w:val="24"/>
      <w:szCs w:val="24"/>
    </w:rPr>
  </w:style>
  <w:style w:type="paragraph" w:styleId="28">
    <w:name w:val="toc 2"/>
    <w:basedOn w:val="1"/>
    <w:next w:val="1"/>
    <w:semiHidden/>
    <w:qFormat/>
    <w:uiPriority w:val="99"/>
    <w:pPr>
      <w:tabs>
        <w:tab w:val="right" w:leader="dot" w:pos="9179"/>
      </w:tabs>
      <w:snapToGrid w:val="0"/>
      <w:spacing w:line="300" w:lineRule="auto"/>
      <w:ind w:firstLine="240" w:firstLineChars="100"/>
    </w:pPr>
    <w:rPr>
      <w:rFonts w:ascii="Times New Roman" w:hAnsi="Times New Roman" w:eastAsia="黑体" w:cs="Times New Roman"/>
      <w:smallCaps/>
      <w:sz w:val="24"/>
      <w:szCs w:val="24"/>
    </w:rPr>
  </w:style>
  <w:style w:type="paragraph" w:styleId="29">
    <w:name w:val="toc 9"/>
    <w:basedOn w:val="1"/>
    <w:next w:val="1"/>
    <w:semiHidden/>
    <w:qFormat/>
    <w:uiPriority w:val="99"/>
    <w:pPr>
      <w:ind w:left="3360" w:leftChars="1600"/>
    </w:pPr>
  </w:style>
  <w:style w:type="paragraph" w:styleId="30">
    <w:name w:val="Body Text 2"/>
    <w:basedOn w:val="1"/>
    <w:link w:val="59"/>
    <w:qFormat/>
    <w:uiPriority w:val="99"/>
    <w:rPr>
      <w:rFonts w:ascii="Arial Narrow" w:hAnsi="Arial Narrow" w:eastAsia="黑体" w:cs="Arial Narrow"/>
      <w:kern w:val="0"/>
      <w:sz w:val="18"/>
      <w:szCs w:val="18"/>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index 1"/>
    <w:basedOn w:val="1"/>
    <w:next w:val="1"/>
    <w:semiHidden/>
    <w:qFormat/>
    <w:uiPriority w:val="99"/>
    <w:pPr>
      <w:widowControl/>
      <w:ind w:left="210" w:hanging="210"/>
      <w:jc w:val="left"/>
    </w:pPr>
    <w:rPr>
      <w:rFonts w:ascii="宋体" w:hAnsi="宋体" w:cs="宋体"/>
      <w:kern w:val="0"/>
      <w:sz w:val="20"/>
      <w:szCs w:val="20"/>
    </w:rPr>
  </w:style>
  <w:style w:type="paragraph" w:styleId="33">
    <w:name w:val="annotation subject"/>
    <w:basedOn w:val="12"/>
    <w:next w:val="12"/>
    <w:link w:val="48"/>
    <w:semiHidden/>
    <w:qFormat/>
    <w:uiPriority w:val="99"/>
    <w:rPr>
      <w:b/>
      <w:bCs/>
      <w:sz w:val="22"/>
      <w:szCs w:val="22"/>
    </w:rPr>
  </w:style>
  <w:style w:type="table" w:styleId="35">
    <w:name w:val="Table Grid"/>
    <w:basedOn w:val="34"/>
    <w:qFormat/>
    <w:uiPriority w:val="99"/>
    <w:rPr>
      <w:rFonts w:ascii="Times New Roman" w:hAnsi="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page number"/>
    <w:basedOn w:val="36"/>
    <w:qFormat/>
    <w:uiPriority w:val="99"/>
  </w:style>
  <w:style w:type="character" w:styleId="38">
    <w:name w:val="FollowedHyperlink"/>
    <w:basedOn w:val="36"/>
    <w:qFormat/>
    <w:uiPriority w:val="99"/>
    <w:rPr>
      <w:color w:val="800080"/>
      <w:u w:val="single"/>
    </w:rPr>
  </w:style>
  <w:style w:type="character" w:styleId="39">
    <w:name w:val="Hyperlink"/>
    <w:basedOn w:val="36"/>
    <w:qFormat/>
    <w:uiPriority w:val="99"/>
    <w:rPr>
      <w:color w:val="0000FF"/>
      <w:u w:val="single"/>
    </w:rPr>
  </w:style>
  <w:style w:type="character" w:styleId="40">
    <w:name w:val="annotation reference"/>
    <w:basedOn w:val="36"/>
    <w:semiHidden/>
    <w:qFormat/>
    <w:uiPriority w:val="99"/>
    <w:rPr>
      <w:sz w:val="21"/>
      <w:szCs w:val="21"/>
    </w:rPr>
  </w:style>
  <w:style w:type="character" w:customStyle="1" w:styleId="41">
    <w:name w:val="Heading 1 Char"/>
    <w:basedOn w:val="36"/>
    <w:link w:val="2"/>
    <w:qFormat/>
    <w:locked/>
    <w:uiPriority w:val="99"/>
    <w:rPr>
      <w:rFonts w:ascii="黑体" w:hAnsi="Times New Roman" w:eastAsia="黑体" w:cs="黑体"/>
      <w:b/>
      <w:bCs/>
      <w:kern w:val="44"/>
      <w:sz w:val="24"/>
      <w:szCs w:val="24"/>
    </w:rPr>
  </w:style>
  <w:style w:type="character" w:customStyle="1" w:styleId="42">
    <w:name w:val="Heading 2 Char"/>
    <w:basedOn w:val="36"/>
    <w:link w:val="3"/>
    <w:qFormat/>
    <w:locked/>
    <w:uiPriority w:val="99"/>
    <w:rPr>
      <w:rFonts w:ascii="仿宋_GB2312" w:hAnsi="Times New Roman" w:eastAsia="仿宋_GB2312" w:cs="仿宋_GB2312"/>
      <w:b/>
      <w:bCs/>
      <w:sz w:val="24"/>
      <w:szCs w:val="24"/>
    </w:rPr>
  </w:style>
  <w:style w:type="character" w:customStyle="1" w:styleId="43">
    <w:name w:val="Heading 3 Char"/>
    <w:basedOn w:val="36"/>
    <w:link w:val="5"/>
    <w:qFormat/>
    <w:locked/>
    <w:uiPriority w:val="99"/>
    <w:rPr>
      <w:rFonts w:ascii="Calibri" w:hAnsi="Calibri" w:eastAsia="黑体" w:cs="Calibri"/>
      <w:b/>
      <w:bCs/>
      <w:sz w:val="32"/>
      <w:szCs w:val="32"/>
    </w:rPr>
  </w:style>
  <w:style w:type="character" w:customStyle="1" w:styleId="44">
    <w:name w:val="Heading 4 Char"/>
    <w:basedOn w:val="36"/>
    <w:link w:val="6"/>
    <w:qFormat/>
    <w:locked/>
    <w:uiPriority w:val="99"/>
    <w:rPr>
      <w:rFonts w:ascii="Times New Roman" w:hAnsi="Times New Roman" w:eastAsia="宋体" w:cs="Times New Roman"/>
      <w:b/>
      <w:bCs/>
      <w:kern w:val="0"/>
      <w:sz w:val="20"/>
      <w:szCs w:val="20"/>
      <w:lang w:val="zh-CN" w:eastAsia="zh-CN"/>
    </w:rPr>
  </w:style>
  <w:style w:type="character" w:customStyle="1" w:styleId="45">
    <w:name w:val="Heading 5 Char"/>
    <w:basedOn w:val="36"/>
    <w:link w:val="7"/>
    <w:semiHidden/>
    <w:qFormat/>
    <w:locked/>
    <w:uiPriority w:val="99"/>
    <w:rPr>
      <w:rFonts w:ascii="Calibri" w:hAnsi="Calibri" w:eastAsia="宋体" w:cs="Calibri"/>
      <w:b/>
      <w:bCs/>
      <w:sz w:val="28"/>
      <w:szCs w:val="28"/>
    </w:rPr>
  </w:style>
  <w:style w:type="character" w:customStyle="1" w:styleId="46">
    <w:name w:val="Heading 6 Char"/>
    <w:basedOn w:val="36"/>
    <w:link w:val="8"/>
    <w:qFormat/>
    <w:locked/>
    <w:uiPriority w:val="99"/>
    <w:rPr>
      <w:rFonts w:ascii="宋体" w:hAnsi="宋体" w:eastAsia="宋体" w:cs="宋体"/>
      <w:sz w:val="24"/>
      <w:szCs w:val="24"/>
    </w:rPr>
  </w:style>
  <w:style w:type="character" w:customStyle="1" w:styleId="47">
    <w:name w:val="Comment Text Char"/>
    <w:basedOn w:val="36"/>
    <w:link w:val="12"/>
    <w:qFormat/>
    <w:locked/>
    <w:uiPriority w:val="99"/>
    <w:rPr>
      <w:sz w:val="24"/>
      <w:szCs w:val="24"/>
    </w:rPr>
  </w:style>
  <w:style w:type="character" w:customStyle="1" w:styleId="48">
    <w:name w:val="Comment Subject Char"/>
    <w:basedOn w:val="47"/>
    <w:link w:val="33"/>
    <w:qFormat/>
    <w:locked/>
    <w:uiPriority w:val="99"/>
    <w:rPr>
      <w:rFonts w:ascii="Calibri" w:hAnsi="Calibri" w:cs="Calibri"/>
      <w:b/>
      <w:bCs/>
      <w:sz w:val="22"/>
      <w:szCs w:val="22"/>
    </w:rPr>
  </w:style>
  <w:style w:type="character" w:customStyle="1" w:styleId="49">
    <w:name w:val="Document Map Char"/>
    <w:basedOn w:val="36"/>
    <w:link w:val="11"/>
    <w:qFormat/>
    <w:locked/>
    <w:uiPriority w:val="99"/>
    <w:rPr>
      <w:rFonts w:ascii="宋体" w:hAnsi="Calibri" w:eastAsia="宋体" w:cs="宋体"/>
      <w:sz w:val="18"/>
      <w:szCs w:val="18"/>
    </w:rPr>
  </w:style>
  <w:style w:type="character" w:customStyle="1" w:styleId="50">
    <w:name w:val="Body Text Char"/>
    <w:basedOn w:val="36"/>
    <w:link w:val="13"/>
    <w:qFormat/>
    <w:locked/>
    <w:uiPriority w:val="99"/>
    <w:rPr>
      <w:rFonts w:ascii="Times New Roman" w:hAnsi="Times New Roman" w:eastAsia="宋体" w:cs="Times New Roman"/>
      <w:kern w:val="0"/>
      <w:sz w:val="20"/>
      <w:szCs w:val="20"/>
      <w:lang w:val="zh-CN" w:eastAsia="zh-CN"/>
    </w:rPr>
  </w:style>
  <w:style w:type="character" w:customStyle="1" w:styleId="51">
    <w:name w:val="Body Text Indent Char"/>
    <w:basedOn w:val="36"/>
    <w:link w:val="14"/>
    <w:qFormat/>
    <w:locked/>
    <w:uiPriority w:val="99"/>
    <w:rPr>
      <w:rFonts w:ascii="Times New Roman" w:hAnsi="Times New Roman" w:eastAsia="宋体" w:cs="Times New Roman"/>
      <w:sz w:val="20"/>
      <w:szCs w:val="20"/>
    </w:rPr>
  </w:style>
  <w:style w:type="character" w:customStyle="1" w:styleId="52">
    <w:name w:val="Plain Text Char"/>
    <w:basedOn w:val="36"/>
    <w:link w:val="17"/>
    <w:qFormat/>
    <w:locked/>
    <w:uiPriority w:val="99"/>
    <w:rPr>
      <w:rFonts w:ascii="宋体" w:hAnsi="Courier New" w:eastAsia="宋体" w:cs="宋体"/>
      <w:sz w:val="20"/>
      <w:szCs w:val="20"/>
    </w:rPr>
  </w:style>
  <w:style w:type="character" w:customStyle="1" w:styleId="53">
    <w:name w:val="Date Char"/>
    <w:basedOn w:val="36"/>
    <w:link w:val="19"/>
    <w:qFormat/>
    <w:locked/>
    <w:uiPriority w:val="99"/>
    <w:rPr>
      <w:rFonts w:ascii="Calibri" w:hAnsi="Calibri" w:eastAsia="宋体" w:cs="Calibri"/>
    </w:rPr>
  </w:style>
  <w:style w:type="character" w:customStyle="1" w:styleId="54">
    <w:name w:val="Body Text Indent 2 Char"/>
    <w:basedOn w:val="36"/>
    <w:link w:val="20"/>
    <w:qFormat/>
    <w:locked/>
    <w:uiPriority w:val="99"/>
    <w:rPr>
      <w:rFonts w:ascii="Calibri" w:hAnsi="Calibri" w:eastAsia="宋体" w:cs="Calibri"/>
    </w:rPr>
  </w:style>
  <w:style w:type="character" w:customStyle="1" w:styleId="55">
    <w:name w:val="Balloon Text Char"/>
    <w:basedOn w:val="36"/>
    <w:link w:val="21"/>
    <w:qFormat/>
    <w:locked/>
    <w:uiPriority w:val="99"/>
    <w:rPr>
      <w:rFonts w:ascii="Calibri" w:hAnsi="Calibri" w:eastAsia="宋体" w:cs="Calibri"/>
      <w:sz w:val="18"/>
      <w:szCs w:val="18"/>
    </w:rPr>
  </w:style>
  <w:style w:type="character" w:customStyle="1" w:styleId="56">
    <w:name w:val="Footer Char"/>
    <w:basedOn w:val="36"/>
    <w:link w:val="22"/>
    <w:qFormat/>
    <w:locked/>
    <w:uiPriority w:val="99"/>
    <w:rPr>
      <w:sz w:val="18"/>
      <w:szCs w:val="18"/>
    </w:rPr>
  </w:style>
  <w:style w:type="character" w:customStyle="1" w:styleId="57">
    <w:name w:val="Header Char"/>
    <w:basedOn w:val="36"/>
    <w:link w:val="23"/>
    <w:qFormat/>
    <w:locked/>
    <w:uiPriority w:val="99"/>
    <w:rPr>
      <w:sz w:val="18"/>
      <w:szCs w:val="18"/>
    </w:rPr>
  </w:style>
  <w:style w:type="character" w:customStyle="1" w:styleId="58">
    <w:name w:val="Body Text Indent 3 Char"/>
    <w:basedOn w:val="36"/>
    <w:link w:val="27"/>
    <w:qFormat/>
    <w:locked/>
    <w:uiPriority w:val="99"/>
    <w:rPr>
      <w:rFonts w:ascii="Times New Roman" w:hAnsi="Times New Roman" w:eastAsia="宋体" w:cs="Times New Roman"/>
      <w:color w:val="FF0000"/>
      <w:sz w:val="20"/>
      <w:szCs w:val="20"/>
    </w:rPr>
  </w:style>
  <w:style w:type="character" w:customStyle="1" w:styleId="59">
    <w:name w:val="Body Text 2 Char"/>
    <w:basedOn w:val="36"/>
    <w:link w:val="30"/>
    <w:qFormat/>
    <w:locked/>
    <w:uiPriority w:val="99"/>
    <w:rPr>
      <w:rFonts w:ascii="Arial Narrow" w:hAnsi="Arial Narrow" w:eastAsia="黑体" w:cs="Arial Narrow"/>
      <w:sz w:val="18"/>
      <w:szCs w:val="18"/>
    </w:rPr>
  </w:style>
  <w:style w:type="character" w:customStyle="1" w:styleId="60">
    <w:name w:val="文字 Char Char"/>
    <w:link w:val="4"/>
    <w:qFormat/>
    <w:locked/>
    <w:uiPriority w:val="99"/>
    <w:rPr>
      <w:rFonts w:ascii="Times New Roman" w:hAnsi="Times New Roman" w:eastAsia="仿宋_GB2312" w:cs="Times New Roman"/>
      <w:kern w:val="0"/>
      <w:sz w:val="20"/>
      <w:szCs w:val="20"/>
      <w:lang w:val="zh-CN" w:eastAsia="zh-CN"/>
    </w:rPr>
  </w:style>
  <w:style w:type="character" w:customStyle="1" w:styleId="61">
    <w:name w:val="批注主题 Char"/>
    <w:qFormat/>
    <w:locked/>
    <w:uiPriority w:val="99"/>
    <w:rPr>
      <w:rFonts w:ascii="Calibri" w:hAnsi="Calibri" w:cs="Calibri"/>
      <w:b/>
      <w:bCs/>
      <w:kern w:val="2"/>
      <w:sz w:val="22"/>
      <w:szCs w:val="22"/>
    </w:rPr>
  </w:style>
  <w:style w:type="character" w:customStyle="1" w:styleId="62">
    <w:name w:val="批注文字 Char1"/>
    <w:basedOn w:val="36"/>
    <w:semiHidden/>
    <w:qFormat/>
    <w:uiPriority w:val="99"/>
    <w:rPr>
      <w:rFonts w:ascii="Calibri" w:hAnsi="Calibri" w:eastAsia="宋体" w:cs="Calibri"/>
    </w:rPr>
  </w:style>
  <w:style w:type="paragraph" w:customStyle="1" w:styleId="63">
    <w:name w:val="批注主题1"/>
    <w:basedOn w:val="12"/>
    <w:next w:val="12"/>
    <w:link w:val="64"/>
    <w:qFormat/>
    <w:uiPriority w:val="99"/>
    <w:rPr>
      <w:b/>
      <w:bCs/>
    </w:rPr>
  </w:style>
  <w:style w:type="character" w:customStyle="1" w:styleId="64">
    <w:name w:val="批注主题 Char1"/>
    <w:link w:val="63"/>
    <w:qFormat/>
    <w:locked/>
    <w:uiPriority w:val="99"/>
    <w:rPr>
      <w:b/>
      <w:bCs/>
      <w:sz w:val="24"/>
      <w:szCs w:val="24"/>
    </w:rPr>
  </w:style>
  <w:style w:type="character" w:customStyle="1" w:styleId="65">
    <w:name w:val="文档结构图 Char"/>
    <w:semiHidden/>
    <w:qFormat/>
    <w:locked/>
    <w:uiPriority w:val="99"/>
    <w:rPr>
      <w:rFonts w:ascii="宋体" w:hAnsi="Calibri" w:cs="宋体"/>
      <w:kern w:val="2"/>
      <w:sz w:val="18"/>
      <w:szCs w:val="18"/>
    </w:rPr>
  </w:style>
  <w:style w:type="paragraph" w:customStyle="1" w:styleId="66">
    <w:name w:val="文档结构图1"/>
    <w:basedOn w:val="1"/>
    <w:link w:val="67"/>
    <w:qFormat/>
    <w:uiPriority w:val="99"/>
    <w:rPr>
      <w:rFonts w:ascii="宋体" w:cs="宋体"/>
      <w:kern w:val="0"/>
      <w:sz w:val="18"/>
      <w:szCs w:val="18"/>
    </w:rPr>
  </w:style>
  <w:style w:type="character" w:customStyle="1" w:styleId="67">
    <w:name w:val="文档结构图 Char2"/>
    <w:link w:val="66"/>
    <w:qFormat/>
    <w:locked/>
    <w:uiPriority w:val="99"/>
    <w:rPr>
      <w:rFonts w:ascii="宋体" w:hAnsi="Calibri" w:eastAsia="宋体" w:cs="宋体"/>
      <w:sz w:val="18"/>
      <w:szCs w:val="18"/>
    </w:rPr>
  </w:style>
  <w:style w:type="character" w:customStyle="1" w:styleId="68">
    <w:name w:val="日期 Char"/>
    <w:link w:val="69"/>
    <w:qFormat/>
    <w:locked/>
    <w:uiPriority w:val="99"/>
    <w:rPr>
      <w:sz w:val="24"/>
      <w:szCs w:val="24"/>
    </w:rPr>
  </w:style>
  <w:style w:type="paragraph" w:customStyle="1" w:styleId="69">
    <w:name w:val="Date1"/>
    <w:basedOn w:val="1"/>
    <w:next w:val="1"/>
    <w:link w:val="68"/>
    <w:qFormat/>
    <w:uiPriority w:val="99"/>
    <w:pPr>
      <w:ind w:left="100" w:leftChars="2500"/>
    </w:pPr>
    <w:rPr>
      <w:kern w:val="0"/>
      <w:sz w:val="24"/>
      <w:szCs w:val="24"/>
    </w:rPr>
  </w:style>
  <w:style w:type="character" w:customStyle="1" w:styleId="70">
    <w:name w:val="正文文本缩进 2 Char"/>
    <w:link w:val="71"/>
    <w:qFormat/>
    <w:locked/>
    <w:uiPriority w:val="99"/>
    <w:rPr>
      <w:rFonts w:ascii="Times New Roman" w:hAnsi="Times New Roman" w:eastAsia="宋体" w:cs="Times New Roman"/>
      <w:kern w:val="0"/>
      <w:sz w:val="20"/>
      <w:szCs w:val="20"/>
    </w:rPr>
  </w:style>
  <w:style w:type="paragraph" w:customStyle="1" w:styleId="71">
    <w:name w:val="正文文本缩进 21"/>
    <w:basedOn w:val="1"/>
    <w:link w:val="70"/>
    <w:qFormat/>
    <w:uiPriority w:val="99"/>
    <w:pPr>
      <w:adjustRightInd w:val="0"/>
      <w:snapToGrid w:val="0"/>
      <w:spacing w:after="120" w:line="312" w:lineRule="auto"/>
      <w:ind w:firstLine="539"/>
      <w:textAlignment w:val="baseline"/>
      <w:outlineLvl w:val="0"/>
    </w:pPr>
    <w:rPr>
      <w:rFonts w:ascii="Times New Roman" w:hAnsi="Times New Roman" w:cs="Times New Roman"/>
      <w:kern w:val="0"/>
      <w:sz w:val="20"/>
      <w:szCs w:val="20"/>
    </w:rPr>
  </w:style>
  <w:style w:type="paragraph" w:customStyle="1" w:styleId="72">
    <w:name w:val="批注框文本 Char Char"/>
    <w:basedOn w:val="1"/>
    <w:link w:val="73"/>
    <w:qFormat/>
    <w:uiPriority w:val="99"/>
    <w:rPr>
      <w:rFonts w:ascii="Times New Roman" w:hAnsi="Times New Roman" w:cs="Times New Roman"/>
      <w:kern w:val="0"/>
      <w:sz w:val="18"/>
      <w:szCs w:val="18"/>
      <w:lang w:val="zh-CN"/>
    </w:rPr>
  </w:style>
  <w:style w:type="character" w:customStyle="1" w:styleId="73">
    <w:name w:val="批注框文本 Char Char Char Char"/>
    <w:link w:val="72"/>
    <w:qFormat/>
    <w:locked/>
    <w:uiPriority w:val="99"/>
    <w:rPr>
      <w:rFonts w:ascii="Times New Roman" w:hAnsi="Times New Roman" w:eastAsia="宋体" w:cs="Times New Roman"/>
      <w:kern w:val="0"/>
      <w:sz w:val="20"/>
      <w:szCs w:val="20"/>
      <w:lang w:val="zh-CN" w:eastAsia="zh-CN"/>
    </w:rPr>
  </w:style>
  <w:style w:type="paragraph" w:customStyle="1" w:styleId="74">
    <w:name w:val="日期1"/>
    <w:basedOn w:val="1"/>
    <w:next w:val="1"/>
    <w:link w:val="75"/>
    <w:qFormat/>
    <w:uiPriority w:val="99"/>
    <w:pPr>
      <w:ind w:left="100" w:leftChars="2500"/>
    </w:pPr>
    <w:rPr>
      <w:kern w:val="0"/>
      <w:sz w:val="20"/>
      <w:szCs w:val="20"/>
    </w:rPr>
  </w:style>
  <w:style w:type="character" w:customStyle="1" w:styleId="75">
    <w:name w:val="日期 Char1"/>
    <w:link w:val="74"/>
    <w:qFormat/>
    <w:locked/>
    <w:uiPriority w:val="99"/>
    <w:rPr>
      <w:rFonts w:ascii="Calibri" w:hAnsi="Calibri" w:eastAsia="宋体" w:cs="Calibri"/>
    </w:rPr>
  </w:style>
  <w:style w:type="paragraph" w:customStyle="1" w:styleId="76">
    <w:name w:val="引文目录标题1"/>
    <w:basedOn w:val="1"/>
    <w:next w:val="1"/>
    <w:qFormat/>
    <w:uiPriority w:val="99"/>
    <w:pPr>
      <w:spacing w:before="240" w:after="120"/>
      <w:jc w:val="center"/>
    </w:pPr>
    <w:rPr>
      <w:rFonts w:ascii="Times New Roman" w:hAnsi="Times New Roman" w:cs="Times New Roman"/>
      <w:smallCaps/>
      <w:u w:val="single"/>
    </w:rPr>
  </w:style>
  <w:style w:type="paragraph" w:customStyle="1" w:styleId="77">
    <w:name w:val="A1"/>
    <w:basedOn w:val="2"/>
    <w:link w:val="78"/>
    <w:qFormat/>
    <w:uiPriority w:val="99"/>
    <w:pPr>
      <w:keepNext/>
      <w:keepLines/>
      <w:widowControl/>
      <w:tabs>
        <w:tab w:val="left" w:pos="360"/>
      </w:tabs>
      <w:snapToGrid/>
      <w:spacing w:after="0" w:afterAutospacing="0"/>
      <w:ind w:left="1296"/>
      <w:jc w:val="left"/>
    </w:pPr>
    <w:rPr>
      <w:rFonts w:ascii="Arial" w:hAnsi="Arial" w:eastAsia="华文仿宋" w:cs="Arial"/>
      <w:kern w:val="0"/>
      <w:sz w:val="28"/>
      <w:szCs w:val="28"/>
      <w:lang w:val="zh-CN" w:eastAsia="en-US"/>
    </w:rPr>
  </w:style>
  <w:style w:type="character" w:customStyle="1" w:styleId="78">
    <w:name w:val="A1 Char Char"/>
    <w:link w:val="77"/>
    <w:qFormat/>
    <w:locked/>
    <w:uiPriority w:val="99"/>
    <w:rPr>
      <w:rFonts w:ascii="Arial" w:hAnsi="Arial" w:eastAsia="华文仿宋" w:cs="Arial"/>
      <w:b/>
      <w:bCs/>
      <w:kern w:val="0"/>
      <w:sz w:val="20"/>
      <w:szCs w:val="20"/>
      <w:lang w:val="zh-CN" w:eastAsia="en-US"/>
    </w:rPr>
  </w:style>
  <w:style w:type="paragraph" w:customStyle="1" w:styleId="79">
    <w:name w:val="索引 11"/>
    <w:basedOn w:val="1"/>
    <w:next w:val="1"/>
    <w:qFormat/>
    <w:uiPriority w:val="99"/>
    <w:rPr>
      <w:rFonts w:ascii="Times New Roman" w:hAnsi="Times New Roman" w:cs="Times New Roman"/>
    </w:rPr>
  </w:style>
  <w:style w:type="paragraph" w:customStyle="1" w:styleId="80">
    <w:name w:val="居中文号"/>
    <w:basedOn w:val="1"/>
    <w:qFormat/>
    <w:uiPriority w:val="99"/>
    <w:pPr>
      <w:spacing w:before="312" w:after="312"/>
      <w:jc w:val="center"/>
    </w:pPr>
    <w:rPr>
      <w:rFonts w:ascii="Times New Roman" w:hAnsi="宋体" w:cs="Times New Roman"/>
      <w:sz w:val="28"/>
      <w:szCs w:val="28"/>
    </w:rPr>
  </w:style>
  <w:style w:type="paragraph" w:customStyle="1" w:styleId="81">
    <w:name w:val="插表表题"/>
    <w:basedOn w:val="82"/>
    <w:qFormat/>
    <w:uiPriority w:val="99"/>
  </w:style>
  <w:style w:type="paragraph" w:customStyle="1" w:styleId="82">
    <w:name w:val="文本"/>
    <w:basedOn w:val="1"/>
    <w:link w:val="83"/>
    <w:qFormat/>
    <w:uiPriority w:val="99"/>
    <w:pPr>
      <w:snapToGrid w:val="0"/>
      <w:spacing w:beforeLines="50" w:afterLines="50" w:line="360" w:lineRule="auto"/>
      <w:ind w:firstLine="480" w:firstLineChars="200"/>
    </w:pPr>
    <w:rPr>
      <w:rFonts w:ascii="Times New Roman" w:hAnsi="Times New Roman" w:eastAsia="仿宋_GB2312" w:cs="Times New Roman"/>
      <w:kern w:val="0"/>
      <w:sz w:val="24"/>
      <w:szCs w:val="24"/>
      <w:lang w:val="zh-CN"/>
    </w:rPr>
  </w:style>
  <w:style w:type="character" w:customStyle="1" w:styleId="83">
    <w:name w:val="文本 Char Char"/>
    <w:link w:val="82"/>
    <w:qFormat/>
    <w:locked/>
    <w:uiPriority w:val="99"/>
    <w:rPr>
      <w:rFonts w:ascii="Times New Roman" w:hAnsi="Times New Roman" w:eastAsia="仿宋_GB2312" w:cs="Times New Roman"/>
      <w:kern w:val="0"/>
      <w:sz w:val="20"/>
      <w:szCs w:val="20"/>
      <w:lang w:val="zh-CN" w:eastAsia="zh-CN"/>
    </w:rPr>
  </w:style>
  <w:style w:type="paragraph" w:customStyle="1" w:styleId="84">
    <w:name w:val="文本无缩进"/>
    <w:basedOn w:val="1"/>
    <w:qFormat/>
    <w:uiPriority w:val="99"/>
    <w:pPr>
      <w:tabs>
        <w:tab w:val="left" w:leader="dot" w:pos="9083"/>
      </w:tabs>
      <w:adjustRightInd w:val="0"/>
      <w:snapToGrid w:val="0"/>
      <w:spacing w:line="360" w:lineRule="auto"/>
    </w:pPr>
    <w:rPr>
      <w:rFonts w:ascii="Times New Roman" w:hAnsi="Times New Roman" w:eastAsia="仿宋_GB2312" w:cs="Times New Roman"/>
      <w:sz w:val="24"/>
      <w:szCs w:val="24"/>
    </w:rPr>
  </w:style>
  <w:style w:type="paragraph" w:customStyle="1" w:styleId="85">
    <w:name w:val="Default"/>
    <w:qFormat/>
    <w:uiPriority w:val="99"/>
    <w:pPr>
      <w:widowControl w:val="0"/>
      <w:autoSpaceDE w:val="0"/>
      <w:autoSpaceDN w:val="0"/>
      <w:adjustRightInd w:val="0"/>
    </w:pPr>
    <w:rPr>
      <w:rFonts w:ascii="Arial Unicode MS" w:hAnsi="Times New Roman" w:eastAsia="Times New Roman" w:cs="Arial Unicode MS"/>
      <w:color w:val="000000"/>
      <w:kern w:val="0"/>
      <w:sz w:val="24"/>
      <w:szCs w:val="24"/>
      <w:lang w:val="en-US" w:eastAsia="zh-CN" w:bidi="ar-SA"/>
    </w:rPr>
  </w:style>
  <w:style w:type="paragraph" w:customStyle="1" w:styleId="86">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正文表名"/>
    <w:basedOn w:val="1"/>
    <w:next w:val="1"/>
    <w:qFormat/>
    <w:uiPriority w:val="99"/>
    <w:pPr>
      <w:snapToGrid w:val="0"/>
      <w:spacing w:beforeLines="50" w:afterLines="50" w:line="360" w:lineRule="auto"/>
    </w:pPr>
    <w:rPr>
      <w:rFonts w:ascii="黑体" w:hAnsi="黑体" w:eastAsia="黑体" w:cs="黑体"/>
      <w:kern w:val="0"/>
      <w:sz w:val="24"/>
      <w:szCs w:val="24"/>
      <w:lang w:val="zh-CN"/>
    </w:rPr>
  </w:style>
  <w:style w:type="paragraph" w:customStyle="1" w:styleId="88">
    <w:name w:val="附件名"/>
    <w:basedOn w:val="1"/>
    <w:qFormat/>
    <w:uiPriority w:val="99"/>
    <w:pPr>
      <w:snapToGrid w:val="0"/>
      <w:spacing w:line="360" w:lineRule="auto"/>
      <w:jc w:val="left"/>
    </w:pPr>
    <w:rPr>
      <w:rFonts w:ascii="Times New Roman" w:hAnsi="Times New Roman" w:eastAsia="仿宋_GB2312" w:cs="Times New Roman"/>
      <w:b/>
      <w:bCs/>
      <w:sz w:val="32"/>
      <w:szCs w:val="32"/>
    </w:rPr>
  </w:style>
  <w:style w:type="paragraph" w:customStyle="1" w:styleId="89">
    <w:name w:val="附表名"/>
    <w:basedOn w:val="1"/>
    <w:next w:val="1"/>
    <w:link w:val="90"/>
    <w:qFormat/>
    <w:uiPriority w:val="99"/>
    <w:pPr>
      <w:snapToGrid w:val="0"/>
      <w:jc w:val="center"/>
    </w:pPr>
    <w:rPr>
      <w:rFonts w:ascii="Times New Roman" w:hAnsi="Times New Roman" w:eastAsia="黑体" w:cs="Times New Roman"/>
      <w:kern w:val="0"/>
      <w:sz w:val="28"/>
      <w:szCs w:val="28"/>
      <w:lang w:val="zh-CN"/>
    </w:rPr>
  </w:style>
  <w:style w:type="character" w:customStyle="1" w:styleId="90">
    <w:name w:val="附表名 Char Char"/>
    <w:link w:val="89"/>
    <w:qFormat/>
    <w:locked/>
    <w:uiPriority w:val="99"/>
    <w:rPr>
      <w:rFonts w:ascii="Times New Roman" w:hAnsi="Times New Roman" w:eastAsia="黑体" w:cs="Times New Roman"/>
      <w:kern w:val="0"/>
      <w:sz w:val="20"/>
      <w:szCs w:val="20"/>
      <w:lang w:val="zh-CN" w:eastAsia="zh-CN"/>
    </w:rPr>
  </w:style>
  <w:style w:type="paragraph" w:customStyle="1" w:styleId="91">
    <w:name w:val="封面机构"/>
    <w:basedOn w:val="1"/>
    <w:next w:val="1"/>
    <w:qFormat/>
    <w:uiPriority w:val="99"/>
    <w:pPr>
      <w:spacing w:line="240" w:lineRule="atLeast"/>
      <w:jc w:val="center"/>
    </w:pPr>
    <w:rPr>
      <w:rFonts w:ascii="黑体" w:hAnsi="黑体" w:eastAsia="黑体" w:cs="黑体"/>
      <w:sz w:val="28"/>
      <w:szCs w:val="28"/>
    </w:rPr>
  </w:style>
  <w:style w:type="paragraph" w:customStyle="1" w:styleId="92">
    <w:name w:val="封面标题"/>
    <w:basedOn w:val="1"/>
    <w:qFormat/>
    <w:uiPriority w:val="99"/>
    <w:pPr>
      <w:snapToGrid w:val="0"/>
      <w:spacing w:line="360" w:lineRule="auto"/>
      <w:jc w:val="center"/>
    </w:pPr>
    <w:rPr>
      <w:rFonts w:ascii="黑体" w:hAnsi="黑体" w:eastAsia="黑体" w:cs="黑体"/>
      <w:sz w:val="48"/>
      <w:szCs w:val="48"/>
    </w:rPr>
  </w:style>
  <w:style w:type="paragraph" w:customStyle="1" w:styleId="93">
    <w:name w:val="正文文本缩进1"/>
    <w:basedOn w:val="1"/>
    <w:link w:val="94"/>
    <w:qFormat/>
    <w:uiPriority w:val="99"/>
    <w:pPr>
      <w:ind w:firstLine="435"/>
    </w:pPr>
    <w:rPr>
      <w:rFonts w:ascii="宋体" w:hAnsi="宋体" w:cs="宋体"/>
      <w:kern w:val="0"/>
      <w:sz w:val="28"/>
      <w:szCs w:val="28"/>
    </w:rPr>
  </w:style>
  <w:style w:type="character" w:customStyle="1" w:styleId="94">
    <w:name w:val="正文文本缩进 Char Char"/>
    <w:link w:val="93"/>
    <w:qFormat/>
    <w:locked/>
    <w:uiPriority w:val="99"/>
    <w:rPr>
      <w:rFonts w:ascii="宋体" w:hAnsi="宋体" w:eastAsia="宋体" w:cs="宋体"/>
      <w:sz w:val="28"/>
      <w:szCs w:val="28"/>
    </w:rPr>
  </w:style>
  <w:style w:type="paragraph" w:customStyle="1" w:styleId="95">
    <w:name w:val="A2"/>
    <w:basedOn w:val="3"/>
    <w:qFormat/>
    <w:uiPriority w:val="99"/>
    <w:pPr>
      <w:keepNext/>
      <w:keepLines/>
      <w:widowControl/>
      <w:tabs>
        <w:tab w:val="left" w:pos="360"/>
      </w:tabs>
      <w:snapToGrid/>
      <w:spacing w:before="240" w:after="0"/>
      <w:jc w:val="left"/>
    </w:pPr>
    <w:rPr>
      <w:rFonts w:ascii="Arial" w:hAnsi="Arial" w:eastAsia="华文仿宋" w:cs="Arial"/>
      <w:b w:val="0"/>
      <w:bCs w:val="0"/>
      <w:kern w:val="0"/>
      <w:sz w:val="28"/>
      <w:szCs w:val="28"/>
      <w:lang w:eastAsia="en-US"/>
    </w:rPr>
  </w:style>
  <w:style w:type="paragraph" w:customStyle="1" w:styleId="96">
    <w:name w:val="文本居中"/>
    <w:basedOn w:val="1"/>
    <w:link w:val="97"/>
    <w:qFormat/>
    <w:uiPriority w:val="99"/>
    <w:pPr>
      <w:snapToGrid w:val="0"/>
      <w:spacing w:line="300" w:lineRule="auto"/>
      <w:jc w:val="center"/>
    </w:pPr>
    <w:rPr>
      <w:rFonts w:ascii="Times New Roman" w:hAnsi="Times New Roman" w:eastAsia="仿宋_GB2312" w:cs="Times New Roman"/>
      <w:kern w:val="0"/>
      <w:sz w:val="24"/>
      <w:szCs w:val="24"/>
      <w:lang w:val="zh-CN"/>
    </w:rPr>
  </w:style>
  <w:style w:type="character" w:customStyle="1" w:styleId="97">
    <w:name w:val="文本居中 Char Char"/>
    <w:link w:val="96"/>
    <w:qFormat/>
    <w:locked/>
    <w:uiPriority w:val="99"/>
    <w:rPr>
      <w:rFonts w:ascii="Times New Roman" w:hAnsi="Times New Roman" w:eastAsia="仿宋_GB2312" w:cs="Times New Roman"/>
      <w:kern w:val="0"/>
      <w:sz w:val="20"/>
      <w:szCs w:val="20"/>
      <w:lang w:val="zh-CN" w:eastAsia="zh-CN"/>
    </w:rPr>
  </w:style>
  <w:style w:type="paragraph" w:customStyle="1" w:styleId="98">
    <w:name w:val="附表号"/>
    <w:basedOn w:val="1"/>
    <w:next w:val="89"/>
    <w:qFormat/>
    <w:uiPriority w:val="99"/>
    <w:pPr>
      <w:widowControl/>
      <w:snapToGrid w:val="0"/>
    </w:pPr>
    <w:rPr>
      <w:rFonts w:ascii="Times New Roman" w:hAnsi="Times New Roman" w:eastAsia="仿宋_GB2312" w:cs="Times New Roman"/>
      <w:b/>
      <w:bCs/>
      <w:kern w:val="0"/>
      <w:sz w:val="24"/>
      <w:szCs w:val="24"/>
    </w:rPr>
  </w:style>
  <w:style w:type="paragraph" w:customStyle="1" w:styleId="99">
    <w:name w:val="封面编号"/>
    <w:basedOn w:val="1"/>
    <w:next w:val="1"/>
    <w:qFormat/>
    <w:uiPriority w:val="99"/>
    <w:pPr>
      <w:spacing w:line="360" w:lineRule="auto"/>
      <w:jc w:val="center"/>
    </w:pPr>
    <w:rPr>
      <w:rFonts w:ascii="Times New Roman" w:hAnsi="Times New Roman" w:eastAsia="黑体" w:cs="Times New Roman"/>
      <w:w w:val="90"/>
      <w:sz w:val="28"/>
      <w:szCs w:val="28"/>
    </w:rPr>
  </w:style>
  <w:style w:type="paragraph" w:customStyle="1" w:styleId="100">
    <w:name w:val="样式2"/>
    <w:basedOn w:val="22"/>
    <w:qFormat/>
    <w:uiPriority w:val="99"/>
    <w:pPr>
      <w:pBdr>
        <w:top w:val="thickThinSmallGap" w:color="auto" w:sz="24" w:space="1"/>
      </w:pBdr>
    </w:pPr>
    <w:rPr>
      <w:rFonts w:ascii="楷体_GB2312" w:hAnsi="Times New Roman" w:eastAsia="楷体_GB2312" w:cs="楷体_GB2312"/>
      <w:b/>
      <w:bCs/>
      <w:sz w:val="24"/>
      <w:szCs w:val="24"/>
    </w:rPr>
  </w:style>
  <w:style w:type="paragraph" w:customStyle="1" w:styleId="101">
    <w:name w:val="样式1"/>
    <w:basedOn w:val="23"/>
    <w:qFormat/>
    <w:uiPriority w:val="99"/>
  </w:style>
  <w:style w:type="paragraph" w:customStyle="1" w:styleId="102">
    <w:name w:val="修订1"/>
    <w:qFormat/>
    <w:uiPriority w:val="99"/>
    <w:rPr>
      <w:rFonts w:ascii="Times New Roman" w:hAnsi="Times New Roman" w:eastAsia="宋体" w:cs="Times New Roman"/>
      <w:kern w:val="0"/>
      <w:sz w:val="20"/>
      <w:szCs w:val="20"/>
      <w:lang w:val="en-US" w:eastAsia="zh-CN" w:bidi="ar-SA"/>
    </w:rPr>
  </w:style>
  <w:style w:type="paragraph" w:customStyle="1" w:styleId="103">
    <w:name w:val="图号"/>
    <w:basedOn w:val="1"/>
    <w:link w:val="104"/>
    <w:qFormat/>
    <w:uiPriority w:val="99"/>
    <w:pPr>
      <w:jc w:val="center"/>
    </w:pPr>
    <w:rPr>
      <w:rFonts w:ascii="Times New Roman" w:hAnsi="Times New Roman" w:cs="Times New Roman"/>
      <w:b/>
      <w:bCs/>
      <w:kern w:val="0"/>
      <w:sz w:val="24"/>
      <w:szCs w:val="24"/>
      <w:lang w:val="zh-CN"/>
    </w:rPr>
  </w:style>
  <w:style w:type="character" w:customStyle="1" w:styleId="104">
    <w:name w:val="图号 Char Char"/>
    <w:link w:val="103"/>
    <w:qFormat/>
    <w:locked/>
    <w:uiPriority w:val="99"/>
    <w:rPr>
      <w:rFonts w:ascii="Times New Roman" w:hAnsi="Times New Roman" w:eastAsia="宋体" w:cs="Times New Roman"/>
      <w:b/>
      <w:bCs/>
      <w:kern w:val="0"/>
      <w:sz w:val="20"/>
      <w:szCs w:val="20"/>
      <w:lang w:val="zh-CN" w:eastAsia="zh-CN"/>
    </w:rPr>
  </w:style>
  <w:style w:type="paragraph" w:customStyle="1" w:styleId="105">
    <w:name w:val="HTML 预设格式1"/>
    <w:basedOn w:val="1"/>
    <w:qFormat/>
    <w:uiPriority w:val="99"/>
    <w:rPr>
      <w:rFonts w:ascii="Courier New" w:hAnsi="Courier New" w:cs="Courier New"/>
      <w:sz w:val="20"/>
      <w:szCs w:val="20"/>
    </w:rPr>
  </w:style>
  <w:style w:type="paragraph" w:customStyle="1" w:styleId="106">
    <w:name w:val="正文缩进1"/>
    <w:basedOn w:val="1"/>
    <w:qFormat/>
    <w:uiPriority w:val="99"/>
    <w:pPr>
      <w:adjustRightInd w:val="0"/>
      <w:spacing w:line="480" w:lineRule="auto"/>
      <w:ind w:firstLine="420"/>
      <w:jc w:val="left"/>
      <w:textAlignment w:val="baseline"/>
    </w:pPr>
    <w:rPr>
      <w:rFonts w:ascii="Times New Roman" w:hAnsi="Times New Roman" w:cs="Times New Roman"/>
      <w:kern w:val="0"/>
      <w:sz w:val="28"/>
      <w:szCs w:val="28"/>
    </w:rPr>
  </w:style>
  <w:style w:type="paragraph" w:customStyle="1" w:styleId="107">
    <w:name w:val="文字加粗"/>
    <w:basedOn w:val="4"/>
    <w:next w:val="4"/>
    <w:link w:val="108"/>
    <w:qFormat/>
    <w:uiPriority w:val="99"/>
    <w:pPr>
      <w:ind w:firstLine="482"/>
    </w:pPr>
    <w:rPr>
      <w:b/>
      <w:bCs/>
    </w:rPr>
  </w:style>
  <w:style w:type="character" w:customStyle="1" w:styleId="108">
    <w:name w:val="文字加粗 Char Char"/>
    <w:link w:val="107"/>
    <w:qFormat/>
    <w:locked/>
    <w:uiPriority w:val="99"/>
    <w:rPr>
      <w:rFonts w:ascii="Times New Roman" w:hAnsi="Times New Roman" w:eastAsia="仿宋_GB2312" w:cs="Times New Roman"/>
      <w:b/>
      <w:bCs/>
      <w:kern w:val="0"/>
      <w:sz w:val="20"/>
      <w:szCs w:val="20"/>
      <w:lang w:val="zh-CN" w:eastAsia="zh-CN"/>
    </w:rPr>
  </w:style>
  <w:style w:type="paragraph" w:customStyle="1" w:styleId="109">
    <w:name w:val="表格文字"/>
    <w:basedOn w:val="1"/>
    <w:qFormat/>
    <w:uiPriority w:val="99"/>
    <w:pPr>
      <w:widowControl/>
      <w:snapToGrid w:val="0"/>
      <w:spacing w:line="300" w:lineRule="auto"/>
      <w:jc w:val="center"/>
    </w:pPr>
    <w:rPr>
      <w:rFonts w:ascii="Times New Roman" w:hAnsi="Times New Roman" w:eastAsia="仿宋_GB2312" w:cs="Times New Roman"/>
      <w:kern w:val="0"/>
      <w:sz w:val="24"/>
      <w:szCs w:val="24"/>
    </w:rPr>
  </w:style>
  <w:style w:type="paragraph" w:customStyle="1" w:styleId="110">
    <w:name w:val="正文题名"/>
    <w:basedOn w:val="1"/>
    <w:qFormat/>
    <w:uiPriority w:val="99"/>
    <w:pPr>
      <w:jc w:val="center"/>
    </w:pPr>
    <w:rPr>
      <w:rFonts w:ascii="黑体" w:hAnsi="Times New Roman" w:eastAsia="黑体" w:cs="黑体"/>
      <w:sz w:val="44"/>
      <w:szCs w:val="44"/>
    </w:rPr>
  </w:style>
  <w:style w:type="paragraph" w:customStyle="1" w:styleId="111">
    <w:name w:val="_Style 36"/>
    <w:basedOn w:val="1"/>
    <w:qFormat/>
    <w:uiPriority w:val="99"/>
    <w:rPr>
      <w:rFonts w:ascii="Times New Roman" w:hAnsi="Times New Roman" w:cs="Times New Roman"/>
    </w:rPr>
  </w:style>
  <w:style w:type="paragraph" w:customStyle="1" w:styleId="112">
    <w:name w:val="文字无缩进"/>
    <w:basedOn w:val="113"/>
    <w:link w:val="115"/>
    <w:qFormat/>
    <w:uiPriority w:val="99"/>
  </w:style>
  <w:style w:type="paragraph" w:customStyle="1" w:styleId="113">
    <w:name w:val="文本无段距"/>
    <w:basedOn w:val="1"/>
    <w:next w:val="1"/>
    <w:link w:val="114"/>
    <w:qFormat/>
    <w:uiPriority w:val="99"/>
    <w:pPr>
      <w:snapToGrid w:val="0"/>
      <w:spacing w:line="360" w:lineRule="auto"/>
      <w:ind w:firstLine="480" w:firstLineChars="200"/>
    </w:pPr>
    <w:rPr>
      <w:rFonts w:ascii="Times New Roman" w:hAnsi="Times New Roman" w:eastAsia="仿宋_GB2312" w:cs="Times New Roman"/>
      <w:kern w:val="0"/>
      <w:sz w:val="24"/>
      <w:szCs w:val="24"/>
      <w:lang w:val="zh-CN"/>
    </w:rPr>
  </w:style>
  <w:style w:type="character" w:customStyle="1" w:styleId="114">
    <w:name w:val="文本无段距 Char Char"/>
    <w:link w:val="113"/>
    <w:qFormat/>
    <w:locked/>
    <w:uiPriority w:val="99"/>
    <w:rPr>
      <w:rFonts w:ascii="Times New Roman" w:hAnsi="Times New Roman" w:eastAsia="仿宋_GB2312" w:cs="Times New Roman"/>
      <w:kern w:val="0"/>
      <w:sz w:val="20"/>
      <w:szCs w:val="20"/>
      <w:lang w:val="zh-CN" w:eastAsia="zh-CN"/>
    </w:rPr>
  </w:style>
  <w:style w:type="character" w:customStyle="1" w:styleId="115">
    <w:name w:val="文字无缩进 Char Char"/>
    <w:link w:val="112"/>
    <w:qFormat/>
    <w:locked/>
    <w:uiPriority w:val="99"/>
    <w:rPr>
      <w:rFonts w:ascii="Times New Roman" w:hAnsi="Times New Roman" w:eastAsia="仿宋_GB2312" w:cs="Times New Roman"/>
      <w:kern w:val="0"/>
      <w:sz w:val="20"/>
      <w:szCs w:val="20"/>
      <w:lang w:val="zh-CN" w:eastAsia="zh-CN"/>
    </w:rPr>
  </w:style>
  <w:style w:type="paragraph" w:customStyle="1" w:styleId="116">
    <w:name w:val="文字无段距"/>
    <w:basedOn w:val="4"/>
    <w:next w:val="4"/>
    <w:link w:val="117"/>
    <w:qFormat/>
    <w:uiPriority w:val="99"/>
    <w:pPr>
      <w:ind w:firstLine="200"/>
    </w:pPr>
  </w:style>
  <w:style w:type="character" w:customStyle="1" w:styleId="117">
    <w:name w:val="文字无段距 Char Char"/>
    <w:link w:val="116"/>
    <w:qFormat/>
    <w:locked/>
    <w:uiPriority w:val="99"/>
    <w:rPr>
      <w:rFonts w:ascii="Times New Roman" w:hAnsi="Times New Roman" w:eastAsia="仿宋_GB2312" w:cs="Times New Roman"/>
      <w:kern w:val="0"/>
      <w:sz w:val="20"/>
      <w:szCs w:val="20"/>
      <w:lang w:val="zh-CN" w:eastAsia="zh-CN"/>
    </w:rPr>
  </w:style>
  <w:style w:type="paragraph" w:customStyle="1" w:styleId="118">
    <w:name w:val="目录标题"/>
    <w:basedOn w:val="1"/>
    <w:next w:val="84"/>
    <w:qFormat/>
    <w:uiPriority w:val="99"/>
    <w:pPr>
      <w:tabs>
        <w:tab w:val="left" w:pos="780"/>
        <w:tab w:val="left" w:pos="1485"/>
      </w:tabs>
      <w:ind w:firstLine="120" w:firstLineChars="50"/>
      <w:jc w:val="center"/>
    </w:pPr>
    <w:rPr>
      <w:rFonts w:ascii="Times New Roman" w:hAnsi="Times New Roman" w:eastAsia="黑体" w:cs="Times New Roman"/>
      <w:sz w:val="24"/>
      <w:szCs w:val="24"/>
    </w:rPr>
  </w:style>
  <w:style w:type="paragraph" w:customStyle="1" w:styleId="119">
    <w:name w:val="机构地址"/>
    <w:basedOn w:val="1"/>
    <w:qFormat/>
    <w:uiPriority w:val="99"/>
    <w:pPr>
      <w:spacing w:line="240" w:lineRule="atLeast"/>
      <w:jc w:val="center"/>
    </w:pPr>
    <w:rPr>
      <w:rFonts w:ascii="Times New Roman" w:hAnsi="Times New Roman" w:eastAsia="黑体" w:cs="Times New Roman"/>
      <w:sz w:val="18"/>
      <w:szCs w:val="18"/>
    </w:rPr>
  </w:style>
  <w:style w:type="paragraph" w:customStyle="1" w:styleId="120">
    <w:name w:val="列出段落1"/>
    <w:basedOn w:val="1"/>
    <w:qFormat/>
    <w:uiPriority w:val="99"/>
    <w:pPr>
      <w:ind w:firstLine="420" w:firstLineChars="200"/>
    </w:pPr>
  </w:style>
  <w:style w:type="paragraph" w:customStyle="1" w:styleId="121">
    <w:name w:val="修订2"/>
    <w:qFormat/>
    <w:uiPriority w:val="99"/>
    <w:rPr>
      <w:rFonts w:ascii="Calibri" w:hAnsi="Calibri" w:eastAsia="宋体" w:cs="Calibri"/>
      <w:kern w:val="2"/>
      <w:sz w:val="21"/>
      <w:szCs w:val="21"/>
      <w:lang w:val="en-US" w:eastAsia="zh-CN" w:bidi="ar-SA"/>
    </w:rPr>
  </w:style>
  <w:style w:type="paragraph" w:customStyle="1" w:styleId="122">
    <w:name w:val="Document Map1"/>
    <w:basedOn w:val="1"/>
    <w:link w:val="123"/>
    <w:qFormat/>
    <w:uiPriority w:val="99"/>
    <w:rPr>
      <w:rFonts w:ascii="宋体" w:cs="宋体"/>
      <w:kern w:val="0"/>
      <w:sz w:val="18"/>
      <w:szCs w:val="18"/>
    </w:rPr>
  </w:style>
  <w:style w:type="character" w:customStyle="1" w:styleId="123">
    <w:name w:val="文档结构图 Char3"/>
    <w:link w:val="122"/>
    <w:qFormat/>
    <w:locked/>
    <w:uiPriority w:val="99"/>
    <w:rPr>
      <w:rFonts w:ascii="宋体" w:hAnsi="Calibri" w:eastAsia="宋体" w:cs="宋体"/>
      <w:sz w:val="18"/>
      <w:szCs w:val="18"/>
    </w:rPr>
  </w:style>
  <w:style w:type="character" w:customStyle="1" w:styleId="124">
    <w:name w:val="批注主题 Char3"/>
    <w:basedOn w:val="62"/>
    <w:qFormat/>
    <w:uiPriority w:val="99"/>
    <w:rPr>
      <w:b/>
      <w:bCs/>
    </w:rPr>
  </w:style>
  <w:style w:type="character" w:customStyle="1" w:styleId="125">
    <w:name w:val="批注引用2"/>
    <w:qFormat/>
    <w:uiPriority w:val="99"/>
    <w:rPr>
      <w:sz w:val="21"/>
      <w:szCs w:val="21"/>
    </w:rPr>
  </w:style>
  <w:style w:type="character" w:customStyle="1" w:styleId="126">
    <w:name w:val="文档结构图 Char Char"/>
    <w:semiHidden/>
    <w:qFormat/>
    <w:locked/>
    <w:uiPriority w:val="99"/>
    <w:rPr>
      <w:rFonts w:ascii="宋体" w:cs="宋体"/>
      <w:sz w:val="18"/>
      <w:szCs w:val="18"/>
    </w:rPr>
  </w:style>
  <w:style w:type="character" w:customStyle="1" w:styleId="127">
    <w:name w:val="文档结构图 Char1"/>
    <w:link w:val="128"/>
    <w:qFormat/>
    <w:locked/>
    <w:uiPriority w:val="99"/>
    <w:rPr>
      <w:rFonts w:ascii="宋体" w:eastAsia="宋体" w:cs="宋体"/>
      <w:sz w:val="18"/>
      <w:szCs w:val="18"/>
    </w:rPr>
  </w:style>
  <w:style w:type="paragraph" w:customStyle="1" w:styleId="128">
    <w:name w:val="文档结构图2"/>
    <w:basedOn w:val="1"/>
    <w:link w:val="127"/>
    <w:qFormat/>
    <w:uiPriority w:val="99"/>
    <w:rPr>
      <w:rFonts w:ascii="宋体" w:cs="宋体"/>
      <w:kern w:val="0"/>
      <w:sz w:val="18"/>
      <w:szCs w:val="18"/>
    </w:rPr>
  </w:style>
  <w:style w:type="character" w:customStyle="1" w:styleId="129">
    <w:name w:val="正文文本 Char1"/>
    <w:semiHidden/>
    <w:qFormat/>
    <w:locked/>
    <w:uiPriority w:val="99"/>
  </w:style>
  <w:style w:type="character" w:customStyle="1" w:styleId="130">
    <w:name w:val="批注主题 Char Char"/>
    <w:qFormat/>
    <w:uiPriority w:val="99"/>
    <w:rPr>
      <w:b/>
      <w:bCs/>
      <w:sz w:val="24"/>
      <w:szCs w:val="24"/>
    </w:rPr>
  </w:style>
  <w:style w:type="character" w:customStyle="1" w:styleId="131">
    <w:name w:val="批注引用1"/>
    <w:qFormat/>
    <w:uiPriority w:val="99"/>
    <w:rPr>
      <w:sz w:val="21"/>
      <w:szCs w:val="21"/>
    </w:rPr>
  </w:style>
  <w:style w:type="character" w:customStyle="1" w:styleId="132">
    <w:name w:val="批注框文本 Char1"/>
    <w:semiHidden/>
    <w:qFormat/>
    <w:locked/>
    <w:uiPriority w:val="99"/>
    <w:rPr>
      <w:sz w:val="18"/>
      <w:szCs w:val="18"/>
    </w:rPr>
  </w:style>
  <w:style w:type="character" w:customStyle="1" w:styleId="133">
    <w:name w:val="页码1"/>
    <w:qFormat/>
    <w:uiPriority w:val="99"/>
  </w:style>
  <w:style w:type="character" w:customStyle="1" w:styleId="134">
    <w:name w:val="批注引用3"/>
    <w:qFormat/>
    <w:uiPriority w:val="99"/>
    <w:rPr>
      <w:sz w:val="21"/>
      <w:szCs w:val="21"/>
    </w:rPr>
  </w:style>
  <w:style w:type="character" w:customStyle="1" w:styleId="135">
    <w:name w:val="批注引用4"/>
    <w:qFormat/>
    <w:uiPriority w:val="99"/>
    <w:rPr>
      <w:sz w:val="21"/>
      <w:szCs w:val="21"/>
    </w:rPr>
  </w:style>
  <w:style w:type="character" w:customStyle="1" w:styleId="136">
    <w:name w:val="Comment Reference1"/>
    <w:qFormat/>
    <w:uiPriority w:val="99"/>
    <w:rPr>
      <w:sz w:val="21"/>
      <w:szCs w:val="21"/>
    </w:rPr>
  </w:style>
  <w:style w:type="character" w:customStyle="1" w:styleId="137">
    <w:name w:val="批注引用5"/>
    <w:qFormat/>
    <w:uiPriority w:val="99"/>
    <w:rPr>
      <w:sz w:val="21"/>
      <w:szCs w:val="21"/>
    </w:rPr>
  </w:style>
  <w:style w:type="character" w:customStyle="1" w:styleId="138">
    <w:name w:val="批注文字 Char Char"/>
    <w:qFormat/>
    <w:uiPriority w:val="99"/>
    <w:rPr>
      <w:rFonts w:ascii="Calibri" w:hAnsi="Calibri" w:cs="Calibri"/>
      <w:kern w:val="2"/>
      <w:sz w:val="24"/>
      <w:szCs w:val="24"/>
    </w:rPr>
  </w:style>
  <w:style w:type="paragraph" w:customStyle="1" w:styleId="139">
    <w:name w:val="TOC 标题1"/>
    <w:basedOn w:val="2"/>
    <w:next w:val="1"/>
    <w:qFormat/>
    <w:uiPriority w:val="99"/>
    <w:pPr>
      <w:keepNext/>
      <w:keepLines/>
      <w:widowControl/>
      <w:snapToGrid/>
      <w:spacing w:before="156" w:after="0" w:afterAutospacing="0" w:line="276" w:lineRule="auto"/>
      <w:jc w:val="left"/>
      <w:outlineLvl w:val="9"/>
    </w:pPr>
    <w:rPr>
      <w:rFonts w:ascii="Cambria" w:hAnsi="Cambria" w:eastAsia="宋体" w:cs="Cambria"/>
      <w:color w:val="365F90"/>
      <w:kern w:val="0"/>
      <w:sz w:val="28"/>
      <w:szCs w:val="28"/>
    </w:rPr>
  </w:style>
  <w:style w:type="paragraph" w:customStyle="1" w:styleId="140">
    <w:name w:val="p15"/>
    <w:basedOn w:val="1"/>
    <w:qFormat/>
    <w:uiPriority w:val="99"/>
    <w:pPr>
      <w:widowControl/>
      <w:spacing w:line="300" w:lineRule="auto"/>
      <w:jc w:val="center"/>
    </w:pPr>
    <w:rPr>
      <w:rFonts w:ascii="Times New Roman" w:hAnsi="Times New Roman" w:cs="Times New Roman"/>
      <w:kern w:val="0"/>
      <w:sz w:val="24"/>
      <w:szCs w:val="24"/>
    </w:rPr>
  </w:style>
  <w:style w:type="paragraph" w:customStyle="1" w:styleId="141">
    <w:name w:val="文档结构图3"/>
    <w:basedOn w:val="1"/>
    <w:qFormat/>
    <w:uiPriority w:val="99"/>
    <w:rPr>
      <w:rFonts w:ascii="宋体" w:cs="宋体"/>
      <w:sz w:val="18"/>
      <w:szCs w:val="18"/>
    </w:rPr>
  </w:style>
  <w:style w:type="paragraph" w:customStyle="1" w:styleId="142">
    <w:name w:val="批注主题2"/>
    <w:basedOn w:val="12"/>
    <w:next w:val="12"/>
    <w:qFormat/>
    <w:uiPriority w:val="99"/>
    <w:rPr>
      <w:b/>
      <w:bCs/>
    </w:rPr>
  </w:style>
  <w:style w:type="paragraph" w:customStyle="1" w:styleId="143">
    <w:name w:val="列出段落2"/>
    <w:basedOn w:val="1"/>
    <w:qFormat/>
    <w:uiPriority w:val="99"/>
    <w:pPr>
      <w:ind w:firstLine="420" w:firstLineChars="200"/>
    </w:pPr>
  </w:style>
  <w:style w:type="paragraph" w:customStyle="1" w:styleId="144">
    <w:name w:val="Char Char Char2 Char"/>
    <w:basedOn w:val="1"/>
    <w:qFormat/>
    <w:uiPriority w:val="99"/>
    <w:pPr>
      <w:spacing w:line="360" w:lineRule="auto"/>
      <w:ind w:firstLine="200" w:firstLineChars="200"/>
    </w:pPr>
  </w:style>
  <w:style w:type="paragraph" w:customStyle="1" w:styleId="145">
    <w:name w:val="规范号"/>
    <w:basedOn w:val="1"/>
    <w:qFormat/>
    <w:uiPriority w:val="99"/>
    <w:pPr>
      <w:snapToGrid w:val="0"/>
      <w:spacing w:afterLines="100" w:line="300" w:lineRule="auto"/>
      <w:jc w:val="center"/>
    </w:pPr>
    <w:rPr>
      <w:rFonts w:ascii="仿宋_GB2312" w:hAnsi="宋体" w:eastAsia="仿宋_GB2312" w:cs="仿宋_GB2312"/>
      <w:sz w:val="28"/>
      <w:szCs w:val="28"/>
    </w:rPr>
  </w:style>
  <w:style w:type="paragraph" w:customStyle="1" w:styleId="146">
    <w:name w:val="p0"/>
    <w:basedOn w:val="1"/>
    <w:qFormat/>
    <w:uiPriority w:val="99"/>
    <w:pPr>
      <w:widowControl/>
    </w:pPr>
    <w:rPr>
      <w:kern w:val="0"/>
    </w:rPr>
  </w:style>
  <w:style w:type="paragraph" w:customStyle="1" w:styleId="147">
    <w:name w:val="文档结构图4"/>
    <w:basedOn w:val="1"/>
    <w:qFormat/>
    <w:uiPriority w:val="99"/>
    <w:rPr>
      <w:rFonts w:ascii="宋体" w:cs="宋体"/>
      <w:sz w:val="18"/>
      <w:szCs w:val="18"/>
    </w:rPr>
  </w:style>
  <w:style w:type="paragraph" w:customStyle="1" w:styleId="148">
    <w:name w:val="Char Char Char Char Char Char1 Char Char Char Char"/>
    <w:basedOn w:val="1"/>
    <w:semiHidden/>
    <w:qFormat/>
    <w:uiPriority w:val="99"/>
    <w:rPr>
      <w:rFonts w:ascii="Times New Roman" w:hAnsi="Times New Roman" w:cs="Times New Roman"/>
    </w:rPr>
  </w:style>
  <w:style w:type="paragraph" w:customStyle="1" w:styleId="149">
    <w:name w:val="Char Char Char"/>
    <w:basedOn w:val="1"/>
    <w:next w:val="1"/>
    <w:semiHidden/>
    <w:qFormat/>
    <w:uiPriority w:val="99"/>
    <w:pPr>
      <w:widowControl/>
      <w:wordWrap w:val="0"/>
      <w:spacing w:beforeLines="100" w:afterLines="50" w:line="360" w:lineRule="auto"/>
      <w:ind w:firstLine="560" w:firstLineChars="200"/>
      <w:jc w:val="left"/>
    </w:pPr>
    <w:rPr>
      <w:rFonts w:ascii="宋体" w:hAnsi="宋体" w:cs="宋体"/>
      <w:kern w:val="10"/>
      <w:position w:val="6"/>
      <w:sz w:val="24"/>
      <w:szCs w:val="24"/>
    </w:rPr>
  </w:style>
  <w:style w:type="paragraph" w:styleId="150">
    <w:name w:val="List Paragraph"/>
    <w:basedOn w:val="1"/>
    <w:qFormat/>
    <w:uiPriority w:val="99"/>
    <w:pPr>
      <w:widowControl/>
      <w:ind w:firstLine="420" w:firstLineChars="200"/>
      <w:jc w:val="left"/>
    </w:pPr>
    <w:rPr>
      <w:rFonts w:ascii="宋体" w:hAnsi="宋体" w:cs="宋体"/>
      <w:kern w:val="0"/>
      <w:sz w:val="24"/>
      <w:szCs w:val="24"/>
    </w:rPr>
  </w:style>
  <w:style w:type="paragraph" w:customStyle="1" w:styleId="151">
    <w:name w:val="列出段落21"/>
    <w:basedOn w:val="1"/>
    <w:qFormat/>
    <w:uiPriority w:val="99"/>
    <w:pPr>
      <w:ind w:firstLine="420" w:firstLineChars="200"/>
    </w:pPr>
  </w:style>
  <w:style w:type="character" w:customStyle="1" w:styleId="152">
    <w:name w:val="articlebody3"/>
    <w:qFormat/>
    <w:uiPriority w:val="99"/>
    <w:rPr>
      <w:sz w:val="21"/>
      <w:szCs w:val="21"/>
    </w:rPr>
  </w:style>
  <w:style w:type="character" w:customStyle="1" w:styleId="153">
    <w:name w:val="官寨正文 Char Char"/>
    <w:link w:val="154"/>
    <w:qFormat/>
    <w:locked/>
    <w:uiPriority w:val="99"/>
    <w:rPr>
      <w:rFonts w:eastAsia="仿宋_GB2312"/>
      <w:snapToGrid w:val="0"/>
      <w:color w:val="000000"/>
      <w:sz w:val="30"/>
      <w:szCs w:val="30"/>
    </w:rPr>
  </w:style>
  <w:style w:type="paragraph" w:customStyle="1" w:styleId="154">
    <w:name w:val="官寨正文"/>
    <w:basedOn w:val="20"/>
    <w:link w:val="153"/>
    <w:qFormat/>
    <w:uiPriority w:val="99"/>
    <w:pPr>
      <w:spacing w:after="0" w:line="240" w:lineRule="auto"/>
      <w:ind w:left="0" w:leftChars="0" w:firstLine="643"/>
      <w:jc w:val="left"/>
    </w:pPr>
    <w:rPr>
      <w:rFonts w:eastAsia="仿宋_GB2312"/>
      <w:color w:val="000000"/>
      <w:kern w:val="0"/>
      <w:sz w:val="30"/>
      <w:szCs w:val="30"/>
    </w:rPr>
  </w:style>
  <w:style w:type="character" w:customStyle="1" w:styleId="155">
    <w:name w:val="表头 Char Char"/>
    <w:link w:val="156"/>
    <w:qFormat/>
    <w:locked/>
    <w:uiPriority w:val="99"/>
    <w:rPr>
      <w:rFonts w:eastAsia="黑体"/>
      <w:kern w:val="2"/>
      <w:sz w:val="22"/>
      <w:szCs w:val="22"/>
      <w:lang w:val="en-US" w:eastAsia="zh-CN"/>
    </w:rPr>
  </w:style>
  <w:style w:type="paragraph" w:customStyle="1" w:styleId="156">
    <w:name w:val="表头"/>
    <w:link w:val="155"/>
    <w:qFormat/>
    <w:uiPriority w:val="99"/>
    <w:pPr>
      <w:spacing w:beforeLines="100" w:afterLines="80"/>
      <w:jc w:val="center"/>
    </w:pPr>
    <w:rPr>
      <w:rFonts w:ascii="Calibri" w:hAnsi="Calibri" w:eastAsia="黑体" w:cs="Calibri"/>
      <w:kern w:val="2"/>
      <w:sz w:val="30"/>
      <w:szCs w:val="30"/>
      <w:lang w:val="en-US" w:eastAsia="zh-CN" w:bidi="ar-SA"/>
    </w:rPr>
  </w:style>
  <w:style w:type="character" w:customStyle="1" w:styleId="157">
    <w:name w:val="标题 1 Char Char"/>
    <w:qFormat/>
    <w:uiPriority w:val="99"/>
    <w:rPr>
      <w:rFonts w:eastAsia="宋体"/>
      <w:b/>
      <w:bCs/>
      <w:kern w:val="44"/>
      <w:sz w:val="44"/>
      <w:szCs w:val="44"/>
      <w:lang w:val="en-US" w:eastAsia="zh-CN"/>
    </w:rPr>
  </w:style>
  <w:style w:type="character" w:customStyle="1" w:styleId="158">
    <w:name w:val="正文样式 Char Char"/>
    <w:link w:val="159"/>
    <w:qFormat/>
    <w:locked/>
    <w:uiPriority w:val="99"/>
    <w:rPr>
      <w:sz w:val="24"/>
      <w:szCs w:val="24"/>
    </w:rPr>
  </w:style>
  <w:style w:type="paragraph" w:customStyle="1" w:styleId="159">
    <w:name w:val="正文样式"/>
    <w:basedOn w:val="1"/>
    <w:next w:val="1"/>
    <w:link w:val="158"/>
    <w:qFormat/>
    <w:uiPriority w:val="99"/>
    <w:pPr>
      <w:spacing w:line="440" w:lineRule="exact"/>
      <w:ind w:firstLine="510"/>
    </w:pPr>
    <w:rPr>
      <w:kern w:val="0"/>
      <w:sz w:val="24"/>
      <w:szCs w:val="24"/>
    </w:rPr>
  </w:style>
  <w:style w:type="paragraph" w:customStyle="1" w:styleId="160">
    <w:name w:val="_Style 146"/>
    <w:qFormat/>
    <w:uiPriority w:val="99"/>
    <w:pPr>
      <w:widowControl w:val="0"/>
      <w:jc w:val="both"/>
    </w:pPr>
    <w:rPr>
      <w:rFonts w:ascii="Calibri" w:hAnsi="Calibri" w:eastAsia="宋体" w:cs="Calibri"/>
      <w:kern w:val="2"/>
      <w:sz w:val="21"/>
      <w:szCs w:val="21"/>
      <w:lang w:val="en-US" w:eastAsia="zh-CN" w:bidi="ar-SA"/>
    </w:rPr>
  </w:style>
  <w:style w:type="character" w:customStyle="1" w:styleId="161">
    <w:name w:val="Normal Indent Char"/>
    <w:link w:val="10"/>
    <w:qFormat/>
    <w:locked/>
    <w:uiPriority w:val="99"/>
    <w:rPr>
      <w:rFonts w:ascii="宋体" w:eastAsia="宋体" w:cs="宋体"/>
      <w:sz w:val="28"/>
      <w:szCs w:val="28"/>
    </w:rPr>
  </w:style>
  <w:style w:type="character" w:customStyle="1" w:styleId="162">
    <w:name w:val="正式文本 Char Char"/>
    <w:link w:val="163"/>
    <w:qFormat/>
    <w:locked/>
    <w:uiPriority w:val="99"/>
    <w:rPr>
      <w:rFonts w:ascii="Arial Narrow" w:hAnsi="Arial Narrow" w:eastAsia="汉鼎简书宋" w:cs="Arial Narrow"/>
      <w:sz w:val="24"/>
      <w:szCs w:val="24"/>
    </w:rPr>
  </w:style>
  <w:style w:type="paragraph" w:customStyle="1" w:styleId="163">
    <w:name w:val="正式文本"/>
    <w:basedOn w:val="1"/>
    <w:link w:val="162"/>
    <w:qFormat/>
    <w:uiPriority w:val="99"/>
    <w:pPr>
      <w:spacing w:line="500" w:lineRule="exact"/>
      <w:ind w:firstLine="200" w:firstLineChars="200"/>
    </w:pPr>
    <w:rPr>
      <w:rFonts w:ascii="Arial Narrow" w:hAnsi="Arial Narrow" w:eastAsia="汉鼎简书宋" w:cs="Arial Narrow"/>
      <w:kern w:val="0"/>
      <w:sz w:val="24"/>
      <w:szCs w:val="24"/>
    </w:rPr>
  </w:style>
  <w:style w:type="character" w:customStyle="1" w:styleId="164">
    <w:name w:val="a1 Char Char"/>
    <w:link w:val="165"/>
    <w:qFormat/>
    <w:locked/>
    <w:uiPriority w:val="99"/>
    <w:rPr>
      <w:rFonts w:ascii="宋体" w:eastAsia="宋体" w:cs="宋体"/>
      <w:sz w:val="28"/>
      <w:szCs w:val="28"/>
    </w:rPr>
  </w:style>
  <w:style w:type="paragraph" w:customStyle="1" w:styleId="165">
    <w:name w:val="a1"/>
    <w:basedOn w:val="1"/>
    <w:link w:val="164"/>
    <w:qFormat/>
    <w:uiPriority w:val="99"/>
    <w:pPr>
      <w:snapToGrid w:val="0"/>
      <w:spacing w:line="324" w:lineRule="auto"/>
      <w:ind w:firstLine="493"/>
    </w:pPr>
    <w:rPr>
      <w:rFonts w:ascii="宋体" w:hAnsi="宋体" w:cs="宋体"/>
      <w:kern w:val="0"/>
      <w:sz w:val="28"/>
      <w:szCs w:val="28"/>
    </w:rPr>
  </w:style>
  <w:style w:type="paragraph" w:customStyle="1" w:styleId="166">
    <w:name w:val="表1"/>
    <w:basedOn w:val="1"/>
    <w:next w:val="1"/>
    <w:qFormat/>
    <w:uiPriority w:val="99"/>
    <w:pPr>
      <w:tabs>
        <w:tab w:val="left" w:pos="0"/>
      </w:tabs>
      <w:spacing w:beforeLines="50" w:afterLines="50"/>
      <w:jc w:val="center"/>
    </w:pPr>
    <w:rPr>
      <w:rFonts w:ascii="Times New Roman" w:hAnsi="Times New Roman" w:cs="Times New Roman"/>
      <w:b/>
      <w:bCs/>
    </w:rPr>
  </w:style>
  <w:style w:type="paragraph" w:customStyle="1" w:styleId="167">
    <w:name w:val="Char4 Char Char Char"/>
    <w:basedOn w:val="1"/>
    <w:qFormat/>
    <w:uiPriority w:val="99"/>
    <w:pPr>
      <w:adjustRightInd w:val="0"/>
      <w:snapToGrid w:val="0"/>
      <w:spacing w:line="360" w:lineRule="auto"/>
      <w:ind w:firstLine="200" w:firstLineChars="200"/>
    </w:pPr>
    <w:rPr>
      <w:rFonts w:ascii="宋体" w:hAnsi="宋体" w:cs="宋体"/>
      <w:sz w:val="24"/>
      <w:szCs w:val="24"/>
    </w:rPr>
  </w:style>
  <w:style w:type="paragraph" w:customStyle="1" w:styleId="168">
    <w:name w:val="表文字"/>
    <w:qFormat/>
    <w:uiPriority w:val="99"/>
    <w:pPr>
      <w:snapToGrid w:val="0"/>
      <w:spacing w:line="260" w:lineRule="exact"/>
      <w:jc w:val="center"/>
    </w:pPr>
    <w:rPr>
      <w:rFonts w:ascii="Times New Roman" w:hAnsi="Times New Roman" w:eastAsia="宋体" w:cs="Times New Roman"/>
      <w:w w:val="95"/>
      <w:kern w:val="0"/>
      <w:sz w:val="24"/>
      <w:szCs w:val="24"/>
      <w:lang w:val="en-US" w:eastAsia="zh-CN" w:bidi="ar-SA"/>
    </w:rPr>
  </w:style>
  <w:style w:type="paragraph" w:customStyle="1" w:styleId="169">
    <w:name w:val="Char Char Char Char"/>
    <w:basedOn w:val="1"/>
    <w:next w:val="1"/>
    <w:qFormat/>
    <w:uiPriority w:val="99"/>
    <w:pPr>
      <w:spacing w:line="360" w:lineRule="auto"/>
      <w:ind w:firstLine="200" w:firstLineChars="200"/>
    </w:pPr>
    <w:rPr>
      <w:rFonts w:ascii="宋体" w:hAnsi="宋体" w:cs="宋体"/>
      <w:kern w:val="0"/>
      <w:sz w:val="24"/>
      <w:szCs w:val="24"/>
    </w:rPr>
  </w:style>
  <w:style w:type="paragraph" w:customStyle="1" w:styleId="170">
    <w:name w:val="默认段落字体 Para Char"/>
    <w:basedOn w:val="1"/>
    <w:next w:val="1"/>
    <w:qFormat/>
    <w:uiPriority w:val="99"/>
    <w:pPr>
      <w:spacing w:line="360" w:lineRule="auto"/>
      <w:ind w:firstLine="200" w:firstLineChars="200"/>
    </w:pPr>
    <w:rPr>
      <w:rFonts w:ascii="宋体" w:hAnsi="宋体" w:cs="宋体"/>
      <w:sz w:val="24"/>
      <w:szCs w:val="24"/>
    </w:rPr>
  </w:style>
  <w:style w:type="paragraph" w:customStyle="1" w:styleId="171">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character" w:customStyle="1" w:styleId="172">
    <w:name w:val="正文文本 2 Char1"/>
    <w:basedOn w:val="36"/>
    <w:qFormat/>
    <w:uiPriority w:val="99"/>
    <w:rPr>
      <w:rFonts w:ascii="Calibri" w:hAnsi="Calibri" w:eastAsia="宋体" w:cs="Calibri"/>
    </w:rPr>
  </w:style>
  <w:style w:type="paragraph" w:customStyle="1" w:styleId="173">
    <w:name w:val="Char"/>
    <w:basedOn w:val="1"/>
    <w:qFormat/>
    <w:uiPriority w:val="99"/>
    <w:rPr>
      <w:rFonts w:ascii="Times New Roman" w:hAnsi="Times New Roman" w:cs="Times New Roman"/>
    </w:rPr>
  </w:style>
  <w:style w:type="paragraph" w:customStyle="1" w:styleId="174">
    <w:name w:val="1"/>
    <w:basedOn w:val="1"/>
    <w:next w:val="27"/>
    <w:qFormat/>
    <w:uiPriority w:val="99"/>
    <w:pPr>
      <w:spacing w:line="440" w:lineRule="exact"/>
      <w:ind w:firstLine="480"/>
    </w:pPr>
    <w:rPr>
      <w:rFonts w:ascii="Times New Roman" w:hAnsi="Times New Roman" w:cs="Times New Roman"/>
      <w:color w:val="FF0000"/>
      <w:sz w:val="24"/>
      <w:szCs w:val="24"/>
    </w:rPr>
  </w:style>
  <w:style w:type="paragraph" w:customStyle="1" w:styleId="175">
    <w:name w:val="a3"/>
    <w:basedOn w:val="1"/>
    <w:qFormat/>
    <w:uiPriority w:val="99"/>
    <w:pPr>
      <w:jc w:val="center"/>
    </w:pPr>
    <w:rPr>
      <w:rFonts w:ascii="Times New Roman" w:hAnsi="Times New Roman" w:cs="Times New Roman"/>
    </w:rPr>
  </w:style>
  <w:style w:type="paragraph" w:customStyle="1" w:styleId="176">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7">
    <w:name w:val="样式3（代正文）"/>
    <w:qFormat/>
    <w:uiPriority w:val="99"/>
    <w:pPr>
      <w:widowControl w:val="0"/>
      <w:adjustRightInd w:val="0"/>
      <w:snapToGrid w:val="0"/>
      <w:spacing w:line="700" w:lineRule="exact"/>
      <w:ind w:firstLine="200" w:firstLineChars="200"/>
    </w:pPr>
    <w:rPr>
      <w:rFonts w:ascii="Times New Roman" w:hAnsi="Times New Roman" w:eastAsia="宋体" w:cs="Times New Roman"/>
      <w:kern w:val="0"/>
      <w:sz w:val="28"/>
      <w:szCs w:val="28"/>
      <w:lang w:val="en-US" w:eastAsia="zh-CN" w:bidi="ar-SA"/>
    </w:rPr>
  </w:style>
  <w:style w:type="paragraph" w:customStyle="1" w:styleId="178">
    <w:name w:val="表号"/>
    <w:qFormat/>
    <w:uiPriority w:val="99"/>
    <w:rPr>
      <w:rFonts w:ascii="Times New Roman" w:hAnsi="Times New Roman" w:eastAsia="宋体" w:cs="Times New Roman"/>
      <w:kern w:val="0"/>
      <w:sz w:val="21"/>
      <w:szCs w:val="21"/>
      <w:lang w:val="en-US" w:eastAsia="zh-CN" w:bidi="ar-SA"/>
    </w:rPr>
  </w:style>
  <w:style w:type="paragraph" w:customStyle="1" w:styleId="179">
    <w:name w:val="Char1"/>
    <w:basedOn w:val="1"/>
    <w:qFormat/>
    <w:uiPriority w:val="99"/>
    <w:rPr>
      <w:rFonts w:ascii="Times New Roman" w:hAnsi="Times New Roman" w:cs="Times New Roman"/>
      <w:sz w:val="28"/>
      <w:szCs w:val="28"/>
    </w:rPr>
  </w:style>
  <w:style w:type="paragraph" w:customStyle="1" w:styleId="180">
    <w:name w:val="Char2"/>
    <w:basedOn w:val="1"/>
    <w:qFormat/>
    <w:uiPriority w:val="99"/>
    <w:pPr>
      <w:spacing w:line="360" w:lineRule="auto"/>
      <w:ind w:firstLine="200" w:firstLineChars="200"/>
    </w:pPr>
    <w:rPr>
      <w:rFonts w:ascii="宋体" w:hAnsi="宋体" w:cs="宋体"/>
      <w:sz w:val="24"/>
      <w:szCs w:val="24"/>
    </w:rPr>
  </w:style>
  <w:style w:type="paragraph" w:customStyle="1" w:styleId="181">
    <w:name w:val="正文三"/>
    <w:basedOn w:val="1"/>
    <w:qFormat/>
    <w:uiPriority w:val="99"/>
    <w:pPr>
      <w:spacing w:line="300" w:lineRule="auto"/>
    </w:pPr>
    <w:rPr>
      <w:rFonts w:ascii="Times New Roman" w:hAnsi="Times New Roman" w:cs="Times New Roman"/>
      <w:sz w:val="24"/>
      <w:szCs w:val="24"/>
    </w:rPr>
  </w:style>
  <w:style w:type="character" w:customStyle="1" w:styleId="182">
    <w:name w:val="正文样式 Char"/>
    <w:qFormat/>
    <w:uiPriority w:val="99"/>
    <w:rPr>
      <w:rFonts w:eastAsia="宋体"/>
      <w:kern w:val="2"/>
      <w:sz w:val="24"/>
      <w:szCs w:val="24"/>
      <w:lang w:val="en-US" w:eastAsia="zh-CN"/>
    </w:rPr>
  </w:style>
  <w:style w:type="paragraph" w:customStyle="1" w:styleId="183">
    <w:name w:val="图5"/>
    <w:basedOn w:val="1"/>
    <w:qFormat/>
    <w:uiPriority w:val="99"/>
    <w:pPr>
      <w:numPr>
        <w:ilvl w:val="0"/>
        <w:numId w:val="1"/>
      </w:numPr>
      <w:adjustRightInd w:val="0"/>
      <w:snapToGrid w:val="0"/>
      <w:spacing w:line="360" w:lineRule="auto"/>
      <w:jc w:val="center"/>
    </w:pPr>
    <w:rPr>
      <w:rFonts w:ascii="Arial" w:hAnsi="Arial" w:eastAsia="黑体" w:cs="Arial"/>
      <w:b/>
      <w:bCs/>
    </w:rPr>
  </w:style>
  <w:style w:type="paragraph" w:customStyle="1" w:styleId="184">
    <w:name w:val="表3"/>
    <w:basedOn w:val="1"/>
    <w:next w:val="1"/>
    <w:link w:val="185"/>
    <w:qFormat/>
    <w:uiPriority w:val="99"/>
    <w:pPr>
      <w:keepNext/>
      <w:adjustRightInd w:val="0"/>
      <w:snapToGrid w:val="0"/>
      <w:spacing w:beforeLines="50" w:afterLines="50"/>
      <w:ind w:left="420" w:hanging="420"/>
      <w:jc w:val="center"/>
    </w:pPr>
    <w:rPr>
      <w:rFonts w:ascii="Times New Roman" w:hAnsi="Times New Roman" w:cs="Times New Roman"/>
      <w:b/>
      <w:bCs/>
      <w:kern w:val="0"/>
      <w:sz w:val="20"/>
      <w:szCs w:val="20"/>
      <w:u w:val="double"/>
    </w:rPr>
  </w:style>
  <w:style w:type="character" w:customStyle="1" w:styleId="185">
    <w:name w:val="表3 Char"/>
    <w:link w:val="184"/>
    <w:qFormat/>
    <w:locked/>
    <w:uiPriority w:val="99"/>
    <w:rPr>
      <w:rFonts w:ascii="Times New Roman" w:hAnsi="Times New Roman" w:eastAsia="宋体" w:cs="Times New Roman"/>
      <w:b/>
      <w:bCs/>
      <w:sz w:val="24"/>
      <w:szCs w:val="24"/>
      <w:u w:val="double"/>
    </w:rPr>
  </w:style>
  <w:style w:type="paragraph" w:customStyle="1" w:styleId="186">
    <w:name w:val="表2"/>
    <w:basedOn w:val="1"/>
    <w:next w:val="1"/>
    <w:qFormat/>
    <w:uiPriority w:val="99"/>
    <w:pPr>
      <w:keepNext/>
      <w:tabs>
        <w:tab w:val="left" w:pos="0"/>
      </w:tabs>
      <w:adjustRightInd w:val="0"/>
      <w:snapToGrid w:val="0"/>
      <w:spacing w:beforeLines="50" w:afterLines="50"/>
      <w:ind w:left="780" w:hanging="420"/>
      <w:jc w:val="center"/>
    </w:pPr>
    <w:rPr>
      <w:rFonts w:ascii="Times New Roman" w:hAnsi="Times New Roman" w:cs="Times New Roman"/>
      <w:b/>
      <w:bCs/>
    </w:rPr>
  </w:style>
  <w:style w:type="paragraph" w:customStyle="1" w:styleId="187">
    <w:name w:val="表4"/>
    <w:basedOn w:val="1"/>
    <w:next w:val="1"/>
    <w:link w:val="188"/>
    <w:qFormat/>
    <w:uiPriority w:val="99"/>
    <w:pPr>
      <w:keepNext/>
      <w:spacing w:before="120" w:after="120"/>
      <w:ind w:left="900" w:hanging="420"/>
      <w:jc w:val="center"/>
    </w:pPr>
    <w:rPr>
      <w:rFonts w:ascii="Times New Roman" w:hAnsi="Times New Roman" w:eastAsia="黑体" w:cs="Times New Roman"/>
      <w:b/>
      <w:bCs/>
      <w:kern w:val="0"/>
      <w:sz w:val="20"/>
      <w:szCs w:val="20"/>
      <w:u w:val="double"/>
    </w:rPr>
  </w:style>
  <w:style w:type="character" w:customStyle="1" w:styleId="188">
    <w:name w:val="表4 Char"/>
    <w:link w:val="187"/>
    <w:qFormat/>
    <w:locked/>
    <w:uiPriority w:val="99"/>
    <w:rPr>
      <w:rFonts w:ascii="Times New Roman" w:hAnsi="Times New Roman" w:eastAsia="黑体" w:cs="Times New Roman"/>
      <w:b/>
      <w:bCs/>
      <w:sz w:val="24"/>
      <w:szCs w:val="24"/>
      <w:u w:val="double"/>
    </w:rPr>
  </w:style>
  <w:style w:type="paragraph" w:customStyle="1" w:styleId="189">
    <w:name w:val="公式注解2"/>
    <w:basedOn w:val="159"/>
    <w:qFormat/>
    <w:uiPriority w:val="99"/>
    <w:pPr>
      <w:widowControl/>
      <w:numPr>
        <w:ilvl w:val="0"/>
        <w:numId w:val="2"/>
      </w:numPr>
      <w:tabs>
        <w:tab w:val="clear" w:pos="0"/>
      </w:tabs>
      <w:ind w:left="1000" w:leftChars="500" w:hanging="500" w:hangingChars="500"/>
    </w:pPr>
    <w:rPr>
      <w:rFonts w:ascii="宋体" w:hAnsi="宋体" w:cs="宋体"/>
    </w:rPr>
  </w:style>
  <w:style w:type="paragraph" w:customStyle="1" w:styleId="190">
    <w:name w:val="附件"/>
    <w:basedOn w:val="1"/>
    <w:qFormat/>
    <w:uiPriority w:val="99"/>
    <w:pPr>
      <w:spacing w:line="440" w:lineRule="exact"/>
      <w:ind w:left="1294" w:hanging="360"/>
    </w:pPr>
    <w:rPr>
      <w:rFonts w:ascii="Times New Roman" w:hAnsi="Times New Roman" w:cs="Times New Roman"/>
      <w:sz w:val="24"/>
      <w:szCs w:val="24"/>
    </w:rPr>
  </w:style>
  <w:style w:type="paragraph" w:customStyle="1" w:styleId="191">
    <w:name w:val="MTDisplayEquation"/>
    <w:basedOn w:val="1"/>
    <w:next w:val="1"/>
    <w:link w:val="192"/>
    <w:qFormat/>
    <w:uiPriority w:val="99"/>
    <w:pPr>
      <w:tabs>
        <w:tab w:val="center" w:pos="4760"/>
        <w:tab w:val="right" w:pos="9120"/>
      </w:tabs>
      <w:spacing w:line="440" w:lineRule="exact"/>
      <w:ind w:left="420" w:leftChars="200" w:firstLine="480" w:firstLineChars="200"/>
    </w:pPr>
    <w:rPr>
      <w:rFonts w:ascii="Arial" w:hAnsi="Arial" w:eastAsia="黑体" w:cs="Arial"/>
      <w:color w:val="000000"/>
      <w:kern w:val="0"/>
      <w:sz w:val="24"/>
      <w:szCs w:val="24"/>
    </w:rPr>
  </w:style>
  <w:style w:type="character" w:customStyle="1" w:styleId="192">
    <w:name w:val="MTDisplayEquation Char"/>
    <w:link w:val="191"/>
    <w:qFormat/>
    <w:locked/>
    <w:uiPriority w:val="99"/>
    <w:rPr>
      <w:rFonts w:ascii="Arial" w:hAnsi="Arial" w:eastAsia="黑体" w:cs="Arial"/>
      <w:color w:val="000000"/>
      <w:sz w:val="24"/>
      <w:szCs w:val="24"/>
    </w:rPr>
  </w:style>
  <w:style w:type="paragraph" w:customStyle="1" w:styleId="193">
    <w:name w:val="Char Char2"/>
    <w:basedOn w:val="1"/>
    <w:next w:val="1"/>
    <w:qFormat/>
    <w:uiPriority w:val="99"/>
    <w:pPr>
      <w:spacing w:line="360" w:lineRule="auto"/>
      <w:ind w:firstLine="20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56</Pages>
  <Words>4198</Words>
  <Characters>23930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2018-09-03T02:00:00Z</dcterms:created>
  <dc:creator>微软用户</dc:creator>
  <cp:lastModifiedBy>Jie</cp:lastModifiedBy>
  <cp:lastPrinted>2018-09-03T01:25:00Z</cp:lastPrinted>
  <dcterms:modified xsi:type="dcterms:W3CDTF">2024-09-30T03:06:51Z</dcterms:modified>
  <dc:title>广东省湛江市遂溪县遂城镇洪家村矿区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ADD0A4171BAC43F980AAEAB4B4077C26_12</vt:lpwstr>
  </property>
</Properties>
</file>