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hint="eastAsia" w:ascii="黑体" w:hAnsi="黑体" w:eastAsia="黑体" w:cs="黑体"/>
          <w:color w:val="000000"/>
          <w:kern w:val="0"/>
          <w:szCs w:val="32"/>
          <w:lang w:val="en-US" w:eastAsia="zh-CN" w:bidi="ar"/>
        </w:rPr>
      </w:pPr>
      <w:r>
        <w:rPr>
          <w:rFonts w:hint="eastAsia" w:ascii="黑体" w:hAnsi="黑体" w:eastAsia="黑体" w:cs="黑体"/>
          <w:color w:val="000000"/>
          <w:kern w:val="0"/>
          <w:szCs w:val="32"/>
          <w:lang w:bidi="ar"/>
        </w:rPr>
        <w:t>附件</w:t>
      </w:r>
      <w:r>
        <w:rPr>
          <w:rFonts w:hint="eastAsia" w:ascii="黑体" w:hAnsi="黑体" w:eastAsia="黑体" w:cs="黑体"/>
          <w:color w:val="000000"/>
          <w:kern w:val="0"/>
          <w:szCs w:val="32"/>
          <w:lang w:val="en-US" w:eastAsia="zh-CN" w:bidi="ar"/>
        </w:rPr>
        <w:t>2</w:t>
      </w:r>
    </w:p>
    <w:p>
      <w:pPr>
        <w:spacing w:line="0" w:lineRule="atLeas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市级创业孵化</w:t>
      </w:r>
      <w:r>
        <w:rPr>
          <w:rFonts w:hint="eastAsia" w:ascii="方正小标宋简体" w:hAnsi="方正小标宋简体" w:eastAsia="方正小标宋简体" w:cs="方正小标宋简体"/>
          <w:sz w:val="36"/>
          <w:szCs w:val="36"/>
          <w:lang w:eastAsia="zh-CN"/>
        </w:rPr>
        <w:t>（示范）</w:t>
      </w:r>
      <w:r>
        <w:rPr>
          <w:rFonts w:hint="eastAsia" w:ascii="方正小标宋简体" w:hAnsi="方正小标宋简体" w:eastAsia="方正小标宋简体" w:cs="方正小标宋简体"/>
          <w:sz w:val="36"/>
          <w:szCs w:val="36"/>
        </w:rPr>
        <w:t>基地考核指标表</w:t>
      </w:r>
    </w:p>
    <w:tbl>
      <w:tblPr>
        <w:tblStyle w:val="2"/>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27"/>
        <w:gridCol w:w="630"/>
        <w:gridCol w:w="6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227"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类别</w:t>
            </w:r>
          </w:p>
        </w:tc>
        <w:tc>
          <w:tcPr>
            <w:tcW w:w="630"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6945"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具体指标</w:t>
            </w:r>
          </w:p>
        </w:tc>
        <w:tc>
          <w:tcPr>
            <w:tcW w:w="945" w:type="dxa"/>
            <w:noWrap w:val="0"/>
            <w:tcMar>
              <w:top w:w="15" w:type="dxa"/>
              <w:left w:w="15" w:type="dxa"/>
              <w:right w:w="15" w:type="dxa"/>
            </w:tcMar>
            <w:vAlign w:val="center"/>
          </w:tcPr>
          <w:p>
            <w:pPr>
              <w:spacing w:line="0" w:lineRule="atLeas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基地设施和管理</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孵化场地面积</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孵化场地的集中情况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会议场所等公共服务设施情况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基地管理制度情况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服务管理团队情况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基地日常统计报表、材料上报的准确性和时效性</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服务</w:t>
            </w:r>
            <w:r>
              <w:rPr>
                <w:color w:val="000000"/>
                <w:kern w:val="0"/>
                <w:sz w:val="24"/>
                <w:lang w:bidi="ar"/>
              </w:rPr>
              <w:br w:type="textWrapping"/>
            </w:r>
            <w:r>
              <w:rPr>
                <w:color w:val="000000"/>
                <w:kern w:val="0"/>
                <w:sz w:val="24"/>
                <w:lang w:bidi="ar"/>
              </w:rPr>
              <w:t>能力</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7</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创业导师服务情况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8</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孵化服务内容情况（场地保障、创业辅导、商事业务代理、融资对接、扶持政策宣传等）</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9</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主办各类创业培训、项目路演和创业大赛等创业活动情况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10</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宣传人社部门创业扶持政策、协助办理一次性创业资助等创业补贴申领情况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宣传发动在孵企业参加初创企业经营者能力提升培训情况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宣传发动在孵实体参加广东“众创杯”创新创业大赛情况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参与配合各级人社部门开展统计、调查问卷等其他活动情况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孵化效果</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在孵创业实体入驻率</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16</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重点群体在孵创业实体数量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17</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年度入孵创业实体孵化成功率</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18</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吸纳就业人数超过10人的近三年在孵创业实体数量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19</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拥有与主营业务相关自主知识产权的近三年在孵创业实体数量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20</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获得投融资近三年在孵创业实体数量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21</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获得由政府部门组织的</w:t>
            </w:r>
            <w:r>
              <w:rPr>
                <w:rFonts w:hint="eastAsia"/>
                <w:color w:val="000000"/>
                <w:kern w:val="0"/>
                <w:sz w:val="24"/>
                <w:lang w:bidi="ar"/>
              </w:rPr>
              <w:t>县级</w:t>
            </w:r>
            <w:r>
              <w:rPr>
                <w:color w:val="000000"/>
                <w:kern w:val="0"/>
                <w:sz w:val="24"/>
                <w:lang w:bidi="ar"/>
              </w:rPr>
              <w:t>以上创业大赛的一、二、三等奖或金银铜奖的近三年在孵创业实体数量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restart"/>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社会</w:t>
            </w:r>
            <w:r>
              <w:rPr>
                <w:color w:val="000000"/>
                <w:kern w:val="0"/>
                <w:sz w:val="24"/>
                <w:lang w:bidi="ar"/>
              </w:rPr>
              <w:br w:type="textWrapping"/>
            </w:r>
            <w:r>
              <w:rPr>
                <w:color w:val="000000"/>
                <w:kern w:val="0"/>
                <w:sz w:val="24"/>
                <w:lang w:bidi="ar"/>
              </w:rPr>
              <w:t>贡献</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22</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在孵创业实体吸纳就业人数</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23</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基地获得国家级、省级、市级政府部门授予的社会荣誉数量</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8" w:hRule="atLeast"/>
          <w:jc w:val="center"/>
        </w:trPr>
        <w:tc>
          <w:tcPr>
            <w:tcW w:w="1227" w:type="dxa"/>
            <w:vMerge w:val="continue"/>
            <w:noWrap w:val="0"/>
            <w:tcMar>
              <w:top w:w="15" w:type="dxa"/>
              <w:left w:w="15" w:type="dxa"/>
              <w:right w:w="15" w:type="dxa"/>
            </w:tcMar>
            <w:vAlign w:val="center"/>
          </w:tcPr>
          <w:p>
            <w:pPr>
              <w:spacing w:line="0" w:lineRule="atLeast"/>
              <w:jc w:val="center"/>
              <w:rPr>
                <w:color w:val="000000"/>
                <w:sz w:val="24"/>
              </w:rPr>
            </w:pP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24</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基地在区域的创业孵化示范影响力及对促进当地就业创业氛围的营造能力</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802" w:type="dxa"/>
            <w:gridSpan w:val="3"/>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总分</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6" w:hRule="atLeast"/>
          <w:jc w:val="center"/>
        </w:trPr>
        <w:tc>
          <w:tcPr>
            <w:tcW w:w="1227"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加分项目</w:t>
            </w:r>
          </w:p>
        </w:tc>
        <w:tc>
          <w:tcPr>
            <w:tcW w:w="630"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25</w:t>
            </w:r>
          </w:p>
        </w:tc>
        <w:tc>
          <w:tcPr>
            <w:tcW w:w="6945" w:type="dxa"/>
            <w:noWrap w:val="0"/>
            <w:tcMar>
              <w:top w:w="15" w:type="dxa"/>
              <w:left w:w="15" w:type="dxa"/>
              <w:right w:w="15" w:type="dxa"/>
            </w:tcMar>
            <w:vAlign w:val="center"/>
          </w:tcPr>
          <w:p>
            <w:pPr>
              <w:spacing w:line="0" w:lineRule="atLeast"/>
              <w:textAlignment w:val="center"/>
              <w:rPr>
                <w:color w:val="000000"/>
                <w:sz w:val="24"/>
              </w:rPr>
            </w:pPr>
            <w:r>
              <w:rPr>
                <w:color w:val="000000"/>
                <w:kern w:val="0"/>
                <w:sz w:val="24"/>
                <w:lang w:bidi="ar"/>
              </w:rPr>
              <w:t>结合“粤菜师傅”“广东技工”“南粤家政”“农村电商”等重大民生工程开展的特色就业创业服务,为普通高等学校、中等职业学校、技工院校学生（在校及毕业5年内）、毕业5年内的出国（境）留学回国人员、港澳台青年、退役军人、就业困难人员、返乡创业人员等6类重点群体创业者提供减免场地租金和管理费、其他孵化服务优惠扶持措施情况。</w:t>
            </w:r>
          </w:p>
        </w:tc>
        <w:tc>
          <w:tcPr>
            <w:tcW w:w="945" w:type="dxa"/>
            <w:noWrap w:val="0"/>
            <w:tcMar>
              <w:top w:w="15" w:type="dxa"/>
              <w:left w:w="15" w:type="dxa"/>
              <w:right w:w="15" w:type="dxa"/>
            </w:tcMar>
            <w:vAlign w:val="center"/>
          </w:tcPr>
          <w:p>
            <w:pPr>
              <w:spacing w:line="0" w:lineRule="atLeast"/>
              <w:jc w:val="center"/>
              <w:textAlignment w:val="center"/>
              <w:rPr>
                <w:color w:val="000000"/>
                <w:sz w:val="24"/>
              </w:rPr>
            </w:pPr>
            <w:r>
              <w:rPr>
                <w:color w:val="000000"/>
                <w:kern w:val="0"/>
                <w:sz w:val="24"/>
                <w:lang w:bidi="ar"/>
              </w:rPr>
              <w:t>5</w:t>
            </w:r>
          </w:p>
        </w:tc>
      </w:tr>
    </w:tbl>
    <w:p>
      <w:pPr>
        <w:rPr>
          <w:rStyle w:val="4"/>
          <w:rFonts w:hint="default" w:ascii="Times New Roman" w:hAnsi="Times New Roman" w:eastAsia="仿宋_GB2312" w:cs="Times New Roman"/>
          <w:sz w:val="21"/>
          <w:szCs w:val="21"/>
          <w:lang w:bidi="ar"/>
        </w:rPr>
      </w:pPr>
      <w:r>
        <w:rPr>
          <w:rStyle w:val="4"/>
          <w:rFonts w:hint="default" w:ascii="Times New Roman" w:hAnsi="Times New Roman" w:eastAsia="仿宋_GB2312" w:cs="Times New Roman"/>
          <w:sz w:val="21"/>
          <w:szCs w:val="21"/>
          <w:lang w:bidi="ar"/>
        </w:rPr>
        <w:t>备注：未经营满3年的基地可按实际经营年度开始计算相关数据指标。</w:t>
      </w: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spacing w:line="0" w:lineRule="atLeast"/>
        <w:jc w:val="center"/>
        <w:rPr>
          <w:rFonts w:hint="eastAsia" w:ascii="方正小标宋简体" w:hAnsi="方正小标宋简体" w:eastAsia="方正小标宋简体" w:cs="方正小标宋简体"/>
          <w:sz w:val="36"/>
          <w:szCs w:val="36"/>
        </w:rPr>
      </w:pPr>
    </w:p>
    <w:p>
      <w:pPr>
        <w:rPr>
          <w:rStyle w:val="4"/>
          <w:rFonts w:hint="default" w:ascii="Times New Roman" w:hAnsi="Times New Roman" w:eastAsia="仿宋_GB2312" w:cs="Times New Roman"/>
          <w:sz w:val="21"/>
          <w:szCs w:val="21"/>
          <w:lang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39276959"/>
    <w:rsid w:val="75AF7F54"/>
    <w:rsid w:val="BF9F4185"/>
    <w:rsid w:val="EFFE7D74"/>
    <w:rsid w:val="F2F94328"/>
    <w:rsid w:val="F3FFB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dc:creator>
  <cp:lastModifiedBy>云里藏龙</cp:lastModifiedBy>
  <dcterms:modified xsi:type="dcterms:W3CDTF">2024-09-27T10:02:10Z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F36640632F76496BB0D24AB41309F006_12</vt:lpwstr>
  </property>
</Properties>
</file>