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1044" w:firstLineChars="200"/>
        <w:jc w:val="center"/>
        <w:rPr>
          <w:rFonts w:hint="eastAsia" w:asciiTheme="majorEastAsia" w:hAnsiTheme="majorEastAsia" w:eastAsiaTheme="majorEastAsia" w:cstheme="majorEastAsia"/>
          <w:b/>
          <w:bCs/>
          <w:sz w:val="52"/>
          <w:szCs w:val="52"/>
        </w:rPr>
      </w:pPr>
      <w:bookmarkStart w:id="0" w:name="PO_part3A3Year1"/>
      <w:r>
        <w:rPr>
          <w:rFonts w:hint="eastAsia" w:asciiTheme="majorEastAsia" w:hAnsiTheme="majorEastAsia" w:eastAsiaTheme="majorEastAsia" w:cstheme="majorEastAsia"/>
          <w:b/>
          <w:bCs/>
          <w:sz w:val="52"/>
          <w:szCs w:val="52"/>
          <w:lang w:val="en-US" w:eastAsia="zh-CN"/>
        </w:rPr>
        <w:t>湛江市残疾人康复中心</w:t>
      </w:r>
      <w:r>
        <w:rPr>
          <w:rFonts w:hint="eastAsia" w:asciiTheme="majorEastAsia" w:hAnsiTheme="majorEastAsia" w:eastAsiaTheme="majorEastAsia" w:cstheme="majorEastAsia"/>
          <w:b/>
          <w:bCs/>
          <w:sz w:val="52"/>
          <w:szCs w:val="52"/>
        </w:rPr>
        <w:t xml:space="preserve"> </w:t>
      </w:r>
    </w:p>
    <w:p>
      <w:pPr>
        <w:spacing w:line="288" w:lineRule="auto"/>
        <w:ind w:firstLine="803" w:firstLineChars="200"/>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202</w:t>
      </w:r>
      <w:r>
        <w:rPr>
          <w:rFonts w:hint="eastAsia" w:asciiTheme="majorEastAsia" w:hAnsiTheme="majorEastAsia" w:eastAsiaTheme="majorEastAsia" w:cstheme="majorEastAsia"/>
          <w:b/>
          <w:bCs/>
          <w:sz w:val="40"/>
          <w:szCs w:val="40"/>
          <w:lang w:val="en-US" w:eastAsia="zh-CN"/>
        </w:rPr>
        <w:t>3</w:t>
      </w:r>
      <w:r>
        <w:rPr>
          <w:rFonts w:hint="eastAsia" w:asciiTheme="majorEastAsia" w:hAnsiTheme="majorEastAsia" w:eastAsiaTheme="majorEastAsia" w:cstheme="majorEastAsia"/>
          <w:b/>
          <w:bCs/>
          <w:sz w:val="40"/>
          <w:szCs w:val="40"/>
        </w:rPr>
        <w:t xml:space="preserve"> </w:t>
      </w:r>
      <w:bookmarkEnd w:id="0"/>
      <w:r>
        <w:rPr>
          <w:rFonts w:hint="eastAsia" w:asciiTheme="majorEastAsia" w:hAnsiTheme="majorEastAsia" w:eastAsiaTheme="majorEastAsia" w:cstheme="majorEastAsia"/>
          <w:b/>
          <w:bCs/>
          <w:sz w:val="40"/>
          <w:szCs w:val="40"/>
        </w:rPr>
        <w:t>年度财政拨款“三公”经费支出决算情况说明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90" w:firstLineChars="200"/>
        <w:jc w:val="left"/>
        <w:rPr>
          <w:rFonts w:hint="eastAsia" w:ascii="仿宋" w:hAnsi="仿宋" w:eastAsia="仿宋" w:cs="仿宋"/>
          <w:b/>
          <w:bCs/>
          <w:i w:val="0"/>
          <w:iCs w:val="0"/>
          <w:caps w:val="0"/>
          <w:color w:val="auto"/>
          <w:spacing w:val="12"/>
          <w:kern w:val="0"/>
          <w:sz w:val="32"/>
          <w:szCs w:val="32"/>
          <w:lang w:val="en-US" w:eastAsia="zh-CN" w:bidi="ar"/>
        </w:rPr>
      </w:pPr>
      <w:r>
        <w:rPr>
          <w:rFonts w:hint="eastAsia" w:ascii="仿宋" w:hAnsi="仿宋" w:eastAsia="仿宋" w:cs="仿宋"/>
          <w:b/>
          <w:bCs/>
          <w:i w:val="0"/>
          <w:iCs w:val="0"/>
          <w:caps w:val="0"/>
          <w:color w:val="auto"/>
          <w:spacing w:val="12"/>
          <w:kern w:val="0"/>
          <w:sz w:val="32"/>
          <w:szCs w:val="32"/>
          <w:lang w:val="en-US" w:eastAsia="zh-CN" w:bidi="ar"/>
        </w:rPr>
        <w:t>(一)“三公”经费财政拨款支出决算总体情况说明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39" w:firstLineChars="186"/>
        <w:jc w:val="left"/>
        <w:rPr>
          <w:rFonts w:hint="eastAsia" w:ascii="仿宋" w:hAnsi="仿宋" w:eastAsia="仿宋" w:cs="仿宋"/>
          <w:i w:val="0"/>
          <w:iCs w:val="0"/>
          <w:caps w:val="0"/>
          <w:color w:val="auto"/>
          <w:spacing w:val="12"/>
          <w:kern w:val="0"/>
          <w:sz w:val="32"/>
          <w:szCs w:val="32"/>
          <w:lang w:val="en-US" w:eastAsia="zh-CN" w:bidi="ar"/>
        </w:rPr>
      </w:pPr>
      <w:r>
        <w:rPr>
          <w:rFonts w:hint="eastAsia" w:ascii="仿宋" w:hAnsi="仿宋" w:eastAsia="仿宋" w:cs="仿宋"/>
          <w:i w:val="0"/>
          <w:iCs w:val="0"/>
          <w:caps w:val="0"/>
          <w:color w:val="auto"/>
          <w:spacing w:val="12"/>
          <w:kern w:val="0"/>
          <w:sz w:val="32"/>
          <w:szCs w:val="32"/>
          <w:lang w:val="en-US" w:eastAsia="zh-CN" w:bidi="ar"/>
        </w:rPr>
        <w:t>湛江市残疾人康复中心2023年度“三公”经费财政拨款支出决算为2.58万元,完成全年预算3.98万元的65%,比上年决算数减少0.58万元,下降18.3%。其中:因公出国(境)费支出决算为0万元,完成预算0万元的--%(基数为0,不可比),比上年决算数增加0万元,增长--(基数为0,不可比);公务用车购置及运行维护费支出决算为2.21万元,完成预算3.6万元的61.3%,比上年决算数减少0.81万元,下降26.7%;其中:公务用车购置支出决算为0万元,完成预算0万元的--%(基数为0,不可比),比上年决算数增加0万元,增长--(基数为0,不可比);公务用车运行维护费支出决算为2.21万元,完成预算3.6万元的61.3%,比上年决算数减少0.81万元,下降26.7%;公务接待费支出决算为0.38万元,完成预算0.38万元的100%,比上年决算数增加0.23万元,增长150.6%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39" w:firstLineChars="186"/>
        <w:jc w:val="left"/>
        <w:rPr>
          <w:rFonts w:hint="eastAsia" w:ascii="仿宋" w:hAnsi="仿宋" w:eastAsia="仿宋" w:cs="仿宋"/>
          <w:i w:val="0"/>
          <w:iCs w:val="0"/>
          <w:caps w:val="0"/>
          <w:color w:val="auto"/>
          <w:spacing w:val="12"/>
          <w:kern w:val="0"/>
          <w:sz w:val="32"/>
          <w:szCs w:val="32"/>
          <w:lang w:val="en-US" w:eastAsia="zh-CN" w:bidi="ar"/>
        </w:rPr>
      </w:pPr>
      <w:r>
        <w:rPr>
          <w:rFonts w:hint="eastAsia" w:ascii="仿宋" w:hAnsi="仿宋" w:eastAsia="仿宋" w:cs="仿宋"/>
          <w:i w:val="0"/>
          <w:iCs w:val="0"/>
          <w:caps w:val="0"/>
          <w:color w:val="auto"/>
          <w:spacing w:val="12"/>
          <w:kern w:val="0"/>
          <w:sz w:val="32"/>
          <w:szCs w:val="32"/>
          <w:lang w:val="en-US" w:eastAsia="zh-CN" w:bidi="ar"/>
        </w:rPr>
        <w:t>2023年度“三公”经费支出决算小于预算数的主要情况:认真贯彻落实中央八项规定精神和厉行节约的要求,从严控制“三公”经费开支,全年实际支出比预算有所节约。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39" w:firstLineChars="186"/>
        <w:jc w:val="left"/>
        <w:rPr>
          <w:rFonts w:hint="eastAsia" w:ascii="仿宋" w:hAnsi="仿宋" w:eastAsia="仿宋" w:cs="仿宋"/>
          <w:i w:val="0"/>
          <w:iCs w:val="0"/>
          <w:caps w:val="0"/>
          <w:color w:val="auto"/>
          <w:spacing w:val="12"/>
          <w:kern w:val="0"/>
          <w:sz w:val="32"/>
          <w:szCs w:val="32"/>
          <w:lang w:val="en-US" w:eastAsia="zh-CN" w:bidi="ar"/>
        </w:rPr>
      </w:pPr>
      <w:r>
        <w:rPr>
          <w:rFonts w:hint="eastAsia" w:ascii="仿宋" w:hAnsi="仿宋" w:eastAsia="仿宋" w:cs="仿宋"/>
          <w:i w:val="0"/>
          <w:iCs w:val="0"/>
          <w:caps w:val="0"/>
          <w:color w:val="auto"/>
          <w:spacing w:val="12"/>
          <w:kern w:val="0"/>
          <w:sz w:val="32"/>
          <w:szCs w:val="32"/>
          <w:lang w:val="en-US" w:eastAsia="zh-CN" w:bidi="ar"/>
        </w:rPr>
        <w:t>2023年度“三公”经费支出决算小于上年决算数的主要情况:认真贯彻落实中央八项规定精神和厉行节约的要求,从严控制“三公”经费开支。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90" w:firstLineChars="200"/>
        <w:jc w:val="left"/>
        <w:rPr>
          <w:rFonts w:hint="eastAsia" w:ascii="仿宋" w:hAnsi="仿宋" w:eastAsia="仿宋" w:cs="仿宋"/>
          <w:b/>
          <w:bCs/>
          <w:i w:val="0"/>
          <w:iCs w:val="0"/>
          <w:caps w:val="0"/>
          <w:color w:val="auto"/>
          <w:spacing w:val="12"/>
          <w:kern w:val="0"/>
          <w:sz w:val="32"/>
          <w:szCs w:val="32"/>
          <w:lang w:val="en-US" w:eastAsia="zh-CN" w:bidi="ar"/>
        </w:rPr>
      </w:pPr>
      <w:r>
        <w:rPr>
          <w:rFonts w:hint="eastAsia" w:ascii="仿宋" w:hAnsi="仿宋" w:eastAsia="仿宋" w:cs="仿宋"/>
          <w:b/>
          <w:bCs/>
          <w:i w:val="0"/>
          <w:iCs w:val="0"/>
          <w:caps w:val="0"/>
          <w:color w:val="auto"/>
          <w:spacing w:val="12"/>
          <w:kern w:val="0"/>
          <w:sz w:val="32"/>
          <w:szCs w:val="32"/>
          <w:lang w:val="en-US" w:eastAsia="zh-CN" w:bidi="ar"/>
        </w:rPr>
        <w:t>(二)“三公”经费财政拨款支出决算具体情况说明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39" w:firstLineChars="186"/>
        <w:jc w:val="left"/>
        <w:rPr>
          <w:rFonts w:hint="eastAsia" w:ascii="仿宋" w:hAnsi="仿宋" w:eastAsia="仿宋" w:cs="仿宋"/>
          <w:i w:val="0"/>
          <w:iCs w:val="0"/>
          <w:caps w:val="0"/>
          <w:color w:val="auto"/>
          <w:spacing w:val="12"/>
          <w:kern w:val="0"/>
          <w:sz w:val="32"/>
          <w:szCs w:val="32"/>
          <w:lang w:val="en-US" w:eastAsia="zh-CN" w:bidi="ar"/>
        </w:rPr>
      </w:pPr>
      <w:r>
        <w:rPr>
          <w:rFonts w:hint="eastAsia" w:ascii="仿宋" w:hAnsi="仿宋" w:eastAsia="仿宋" w:cs="仿宋"/>
          <w:i w:val="0"/>
          <w:iCs w:val="0"/>
          <w:caps w:val="0"/>
          <w:color w:val="auto"/>
          <w:spacing w:val="12"/>
          <w:kern w:val="0"/>
          <w:sz w:val="32"/>
          <w:szCs w:val="32"/>
          <w:lang w:val="en-US" w:eastAsia="zh-CN" w:bidi="ar"/>
        </w:rPr>
        <w:t>2023年度“三公”经费财政拨款支出决算中,因公出国(境)费0万元,占0%;公务用车购置及运行维护费支出2.21万元,占85.4%;公务接待费支出0.38万元,占14.6%。具体情况如下: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39" w:firstLineChars="186"/>
        <w:jc w:val="left"/>
        <w:rPr>
          <w:rFonts w:hint="eastAsia" w:ascii="仿宋" w:hAnsi="仿宋" w:eastAsia="仿宋" w:cs="仿宋"/>
          <w:i w:val="0"/>
          <w:iCs w:val="0"/>
          <w:caps w:val="0"/>
          <w:color w:val="auto"/>
          <w:spacing w:val="12"/>
          <w:kern w:val="0"/>
          <w:sz w:val="32"/>
          <w:szCs w:val="32"/>
          <w:lang w:val="en-US" w:eastAsia="zh-CN" w:bidi="ar"/>
        </w:rPr>
      </w:pPr>
      <w:r>
        <w:rPr>
          <w:rFonts w:hint="eastAsia" w:ascii="仿宋" w:hAnsi="仿宋" w:eastAsia="仿宋" w:cs="仿宋"/>
          <w:i w:val="0"/>
          <w:iCs w:val="0"/>
          <w:caps w:val="0"/>
          <w:color w:val="auto"/>
          <w:spacing w:val="12"/>
          <w:kern w:val="0"/>
          <w:sz w:val="32"/>
          <w:szCs w:val="32"/>
          <w:lang w:val="en-US" w:eastAsia="zh-CN" w:bidi="ar"/>
        </w:rPr>
        <w:t>1.因公出国(境)费支出0万元。全年使用财政拨款安排出国(境)团组0个、累计0人次。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39" w:firstLineChars="186"/>
        <w:jc w:val="left"/>
        <w:rPr>
          <w:rFonts w:hint="eastAsia" w:ascii="仿宋" w:hAnsi="仿宋" w:eastAsia="仿宋" w:cs="仿宋"/>
          <w:i w:val="0"/>
          <w:iCs w:val="0"/>
          <w:caps w:val="0"/>
          <w:color w:val="auto"/>
          <w:spacing w:val="12"/>
          <w:kern w:val="0"/>
          <w:sz w:val="32"/>
          <w:szCs w:val="32"/>
          <w:lang w:val="en-US" w:eastAsia="zh-CN" w:bidi="ar"/>
        </w:rPr>
      </w:pPr>
      <w:r>
        <w:rPr>
          <w:rFonts w:hint="eastAsia" w:ascii="仿宋" w:hAnsi="仿宋" w:eastAsia="仿宋" w:cs="仿宋"/>
          <w:i w:val="0"/>
          <w:iCs w:val="0"/>
          <w:caps w:val="0"/>
          <w:color w:val="auto"/>
          <w:spacing w:val="12"/>
          <w:kern w:val="0"/>
          <w:sz w:val="32"/>
          <w:szCs w:val="32"/>
          <w:lang w:val="en-US" w:eastAsia="zh-CN" w:bidi="ar"/>
        </w:rPr>
        <w:t>2.公务用车购置及运行维护费支出2.21万元,其中:公务用车购置支出为0万元,公务用车购置数0辆。公务用车运行维护费支出2.21万元,公务用车保有量为2辆,主要用于日常公务活动正常开展。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39" w:firstLineChars="186"/>
        <w:jc w:val="left"/>
        <w:rPr>
          <w:rFonts w:hint="eastAsia" w:ascii="仿宋" w:hAnsi="仿宋" w:eastAsia="仿宋" w:cs="仿宋"/>
          <w:i w:val="0"/>
          <w:iCs w:val="0"/>
          <w:caps w:val="0"/>
          <w:color w:val="auto"/>
          <w:spacing w:val="12"/>
          <w:kern w:val="0"/>
          <w:sz w:val="32"/>
          <w:szCs w:val="32"/>
          <w:lang w:val="en-US" w:eastAsia="zh-CN" w:bidi="ar"/>
        </w:rPr>
      </w:pPr>
      <w:r>
        <w:rPr>
          <w:rFonts w:hint="eastAsia" w:ascii="仿宋" w:hAnsi="仿宋" w:eastAsia="仿宋" w:cs="仿宋"/>
          <w:i w:val="0"/>
          <w:iCs w:val="0"/>
          <w:caps w:val="0"/>
          <w:color w:val="auto"/>
          <w:spacing w:val="12"/>
          <w:kern w:val="0"/>
          <w:sz w:val="32"/>
          <w:szCs w:val="32"/>
          <w:lang w:val="en-US" w:eastAsia="zh-CN" w:bidi="ar"/>
        </w:rPr>
        <w:t>3.公务接待费支出0.38万元,主要用于日常公务活动正常开展,共接待国外、境外来访团组0个,来访外宾0人次;发生国内接待2次,接待人数共26人。主要包括接待江门市残联及江门特殊儿童康复教育中心调研交流、接待省残联领导出席湛江市残疾人康复中心岭师教育康复部揭牌仪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39" w:firstLineChars="186"/>
        <w:jc w:val="left"/>
        <w:rPr>
          <w:rFonts w:hint="eastAsia" w:ascii="仿宋" w:hAnsi="仿宋" w:eastAsia="仿宋" w:cs="仿宋"/>
          <w:i w:val="0"/>
          <w:iCs w:val="0"/>
          <w:caps w:val="0"/>
          <w:color w:val="auto"/>
          <w:spacing w:val="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39" w:firstLineChars="186"/>
        <w:jc w:val="left"/>
        <w:rPr>
          <w:rFonts w:hint="eastAsia" w:ascii="仿宋" w:hAnsi="仿宋" w:eastAsia="仿宋" w:cs="仿宋"/>
          <w:i w:val="0"/>
          <w:iCs w:val="0"/>
          <w:caps w:val="0"/>
          <w:color w:val="auto"/>
          <w:spacing w:val="12"/>
          <w:kern w:val="0"/>
          <w:sz w:val="32"/>
          <w:szCs w:val="32"/>
          <w:lang w:val="en-US" w:eastAsia="zh-CN" w:bidi="ar"/>
        </w:rPr>
      </w:pPr>
      <w:bookmarkStart w:id="1" w:name="_GoBack"/>
      <w:r>
        <w:rPr>
          <w:rFonts w:hint="eastAsia" w:ascii="仿宋" w:hAnsi="仿宋" w:eastAsia="仿宋" w:cs="仿宋"/>
          <w:i w:val="0"/>
          <w:iCs w:val="0"/>
          <w:caps w:val="0"/>
          <w:color w:val="auto"/>
          <w:spacing w:val="12"/>
          <w:kern w:val="0"/>
          <w:sz w:val="32"/>
          <w:szCs w:val="32"/>
          <w:lang w:val="en-US" w:eastAsia="zh-CN" w:bidi="ar"/>
        </w:rPr>
        <w:drawing>
          <wp:anchor distT="0" distB="0" distL="114300" distR="114300" simplePos="0" relativeHeight="251658240" behindDoc="0" locked="0" layoutInCell="1" allowOverlap="1">
            <wp:simplePos x="0" y="0"/>
            <wp:positionH relativeFrom="column">
              <wp:posOffset>-383540</wp:posOffset>
            </wp:positionH>
            <wp:positionV relativeFrom="paragraph">
              <wp:posOffset>101600</wp:posOffset>
            </wp:positionV>
            <wp:extent cx="9483725" cy="2474595"/>
            <wp:effectExtent l="0" t="0" r="3175" b="1905"/>
            <wp:wrapTopAndBottom/>
            <wp:docPr id="1" name="图片 1" descr="康复"/>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康复"/>
                    <pic:cNvPicPr>
                      <a:picLocks noChangeAspect="true"/>
                    </pic:cNvPicPr>
                  </pic:nvPicPr>
                  <pic:blipFill>
                    <a:blip r:embed="rId4"/>
                    <a:stretch>
                      <a:fillRect/>
                    </a:stretch>
                  </pic:blipFill>
                  <pic:spPr>
                    <a:xfrm>
                      <a:off x="0" y="0"/>
                      <a:ext cx="9483725" cy="2474595"/>
                    </a:xfrm>
                    <a:prstGeom prst="rect">
                      <a:avLst/>
                    </a:prstGeom>
                  </pic:spPr>
                </pic:pic>
              </a:graphicData>
            </a:graphic>
          </wp:anchor>
        </w:drawing>
      </w:r>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39" w:firstLineChars="186"/>
        <w:jc w:val="left"/>
        <w:rPr>
          <w:rFonts w:hint="eastAsia" w:ascii="仿宋" w:hAnsi="仿宋" w:eastAsia="仿宋" w:cs="仿宋"/>
          <w:i w:val="0"/>
          <w:iCs w:val="0"/>
          <w:caps w:val="0"/>
          <w:color w:val="auto"/>
          <w:spacing w:val="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39" w:firstLineChars="186"/>
        <w:jc w:val="left"/>
        <w:rPr>
          <w:rFonts w:hint="eastAsia" w:ascii="仿宋" w:hAnsi="仿宋" w:eastAsia="仿宋" w:cs="仿宋"/>
          <w:i w:val="0"/>
          <w:iCs w:val="0"/>
          <w:caps w:val="0"/>
          <w:color w:val="auto"/>
          <w:spacing w:val="12"/>
          <w:kern w:val="0"/>
          <w:sz w:val="32"/>
          <w:szCs w:val="32"/>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7F6C3"/>
    <w:rsid w:val="7D37F6C3"/>
    <w:rsid w:val="7D5BE7ED"/>
    <w:rsid w:val="CCFD6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2024-09-20T01:06:00Z</dcterms:created>
  <dc:creator>greatwall</dc:creator>
  <cp:lastModifiedBy>greatwall</cp:lastModifiedBy>
  <dcterms:modified xsi:type="dcterms:W3CDTF">2024-09-19T17:24:38Z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