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83" w:firstLineChars="200"/>
        <w:jc w:val="center"/>
        <w:rPr>
          <w:rFonts w:hint="eastAsia" w:asciiTheme="majorEastAsia" w:hAnsiTheme="majorEastAsia" w:eastAsiaTheme="majorEastAsia" w:cstheme="majorEastAsia"/>
          <w:b/>
          <w:bCs/>
          <w:sz w:val="44"/>
          <w:szCs w:val="44"/>
        </w:rPr>
      </w:pPr>
      <w:bookmarkStart w:id="1" w:name="_GoBack"/>
      <w:bookmarkEnd w:id="1"/>
      <w:bookmarkStart w:id="0" w:name="PO_part3A3Year1"/>
      <w:r>
        <w:rPr>
          <w:rFonts w:hint="eastAsia" w:asciiTheme="majorEastAsia" w:hAnsiTheme="majorEastAsia" w:eastAsiaTheme="majorEastAsia" w:cstheme="majorEastAsia"/>
          <w:b/>
          <w:bCs/>
          <w:sz w:val="44"/>
          <w:szCs w:val="44"/>
          <w:lang w:val="en-US" w:eastAsia="zh-CN"/>
        </w:rPr>
        <w:t>湛江市残疾人辅助器具服务中心</w:t>
      </w:r>
      <w:r>
        <w:rPr>
          <w:rFonts w:hint="eastAsia" w:asciiTheme="majorEastAsia" w:hAnsiTheme="majorEastAsia" w:eastAsiaTheme="majorEastAsia" w:cstheme="majorEastAsia"/>
          <w:b/>
          <w:bCs/>
          <w:sz w:val="44"/>
          <w:szCs w:val="44"/>
        </w:rPr>
        <w:t xml:space="preserve"> </w:t>
      </w:r>
    </w:p>
    <w:p>
      <w:pPr>
        <w:spacing w:line="288" w:lineRule="auto"/>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 xml:space="preserve"> </w:t>
      </w:r>
      <w:bookmarkEnd w:id="0"/>
      <w:r>
        <w:rPr>
          <w:rFonts w:hint="eastAsia" w:asciiTheme="majorEastAsia" w:hAnsiTheme="majorEastAsia" w:eastAsiaTheme="majorEastAsia" w:cstheme="majorEastAsia"/>
          <w:b/>
          <w:bCs/>
          <w:sz w:val="44"/>
          <w:szCs w:val="44"/>
        </w:rPr>
        <w:t>年度财政拨款“三公”经费支出决算情况说明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90" w:firstLineChars="200"/>
        <w:jc w:val="left"/>
        <w:rPr>
          <w:rFonts w:hint="eastAsia" w:ascii="仿宋" w:hAnsi="仿宋" w:eastAsia="仿宋" w:cs="仿宋"/>
          <w:i w:val="0"/>
          <w:iCs w:val="0"/>
          <w:caps w:val="0"/>
          <w:color w:val="auto"/>
          <w:spacing w:val="12"/>
          <w:sz w:val="32"/>
          <w:szCs w:val="32"/>
        </w:rPr>
      </w:pPr>
      <w:r>
        <w:rPr>
          <w:rFonts w:hint="eastAsia" w:ascii="仿宋" w:hAnsi="仿宋" w:eastAsia="仿宋" w:cs="仿宋"/>
          <w:b/>
          <w:bCs/>
          <w:i w:val="0"/>
          <w:iCs w:val="0"/>
          <w:caps w:val="0"/>
          <w:color w:val="auto"/>
          <w:spacing w:val="12"/>
          <w:kern w:val="0"/>
          <w:sz w:val="32"/>
          <w:szCs w:val="32"/>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湛江市残疾人辅助器具服务中心2023年度“三公”经费财政拨款支出决算为0.91万元，完成全年预算0.91万元的100%，比上年决算数减少0.16万元，下降15.3%。（若本年“三公”经费决算数大于上年数，可增加与疫情前2019年度“三公”决算数的对比情况，说明“三公”经费整体上仍低于疫情前水平。2022年度开始“三公”经费统计口径包含一般公共预算和政府性基金，与2019年决算数对比时，应进行同口径对比）其中：因公出国（境）费支出决算为0万元，完成预算0万元的--%（基数为0，不可比），比上年决算数增加0万元，增长--（基数为0，不可比）；公务用车购置及运行维护费支出决算为0.87万元，完成预算0.87万元的100%，比上年决算数减少0.08万元，下降8.2%；其中：公务用车购置支出决算为0万元，完成预算0万元的--%（基数为0，不可比），比上年决算数增加0万元，增长--（基数为0，不可比）；公务用车运行维护费支出决算为0.87万元，完成预算0.87万元的100%，比上年决算数减少0.08万元，下降8.2%；公务接待费支出决算为0.04万元，完成预算0.04万元的100%，比上年决算数减少0.09万元，下降68.5%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2023年度“三公”经费支出决算等于预算数的主要情况：我单位认真贯彻落实中央八项规定精神和厉行节约的要求，从严控制“三公”经费开支，全年实际支出比预算有所节约。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2023年度“三公”经费支出决算小于上年决算数的主要情况：我单位认真贯彻落实中央八项规定精神和厉行节约的要求，从严控制“三公”经费开支，全年实际支出比预算有所节约。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firstLineChars="200"/>
        <w:jc w:val="left"/>
        <w:rPr>
          <w:rFonts w:hint="eastAsia" w:ascii="仿宋" w:hAnsi="仿宋" w:eastAsia="仿宋" w:cs="仿宋"/>
          <w:i w:val="0"/>
          <w:iCs w:val="0"/>
          <w:caps w:val="0"/>
          <w:color w:val="auto"/>
          <w:spacing w:val="12"/>
          <w:sz w:val="32"/>
          <w:szCs w:val="32"/>
        </w:rPr>
      </w:pPr>
      <w:r>
        <w:rPr>
          <w:rFonts w:hint="eastAsia" w:ascii="仿宋" w:hAnsi="仿宋" w:eastAsia="仿宋" w:cs="仿宋"/>
          <w:b/>
          <w:bCs/>
          <w:i w:val="0"/>
          <w:iCs w:val="0"/>
          <w:caps w:val="0"/>
          <w:color w:val="auto"/>
          <w:spacing w:val="12"/>
          <w:kern w:val="0"/>
          <w:sz w:val="32"/>
          <w:szCs w:val="32"/>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2023年度“三公”经费财政拨款支出决算中，因公出国（境）费0万元，占0%；公务用车购置及运行维护费支出0.87万元，占95.6%；公务接待费支出0.04万元，占4.4%。具体情况如下：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1.因公出国（境）费支出0万元。全年使用财政拨款安排出国（境）团组0个、累计0人次。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2.公务用车购置及运行维护费支出0.87万元，其中：公务用车购置支出为0万元，公务用车购置数0辆。公务用车运行维护费支出0.87万元，公务用车保有量为1辆，主要用于配发辅助器具、出差、流动服务等。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12"/>
          <w:sz w:val="32"/>
          <w:szCs w:val="32"/>
        </w:rPr>
      </w:pPr>
      <w:r>
        <w:rPr>
          <w:rFonts w:hint="eastAsia" w:ascii="仿宋" w:hAnsi="仿宋" w:eastAsia="仿宋" w:cs="仿宋"/>
          <w:i w:val="0"/>
          <w:iCs w:val="0"/>
          <w:caps w:val="0"/>
          <w:color w:val="auto"/>
          <w:spacing w:val="12"/>
          <w:kern w:val="0"/>
          <w:sz w:val="32"/>
          <w:szCs w:val="32"/>
          <w:lang w:val="en-US" w:eastAsia="zh-CN" w:bidi="ar"/>
        </w:rPr>
        <w:t>3.公务接待费支出0.04万元，主要用于接待省辅具资源中心工作人员到我市适配辅助器具接待支出，共接待国外、境外来访团组0个，来访外宾0人次；发生国内接待1次，接待人数共4人。主要包括省辅具资源中心工作人员等。</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999999"/>
          <w:spacing w:val="12"/>
          <w:sz w:val="19"/>
          <w:szCs w:val="19"/>
        </w:rPr>
      </w:pPr>
      <w:r>
        <w:rPr>
          <w:rFonts w:hint="eastAsia" w:ascii="宋体" w:hAnsi="宋体" w:eastAsia="宋体" w:cs="宋体"/>
          <w:i w:val="0"/>
          <w:iCs w:val="0"/>
          <w:caps w:val="0"/>
          <w:color w:val="999999"/>
          <w:spacing w:val="12"/>
          <w:kern w:val="0"/>
          <w:sz w:val="19"/>
          <w:szCs w:val="19"/>
          <w:lang w:val="en-US" w:eastAsia="zh-CN" w:bidi="ar"/>
        </w:rPr>
        <w:t>表9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525252"/>
          <w:spacing w:val="12"/>
          <w:sz w:val="28"/>
          <w:szCs w:val="28"/>
        </w:rPr>
      </w:pPr>
      <w:r>
        <w:rPr>
          <w:rFonts w:hint="eastAsia" w:ascii="宋体" w:hAnsi="宋体" w:eastAsia="宋体" w:cs="宋体"/>
          <w:b/>
          <w:bCs/>
          <w:i w:val="0"/>
          <w:iCs w:val="0"/>
          <w:caps w:val="0"/>
          <w:color w:val="525252"/>
          <w:spacing w:val="12"/>
          <w:kern w:val="0"/>
          <w:sz w:val="28"/>
          <w:szCs w:val="28"/>
          <w:lang w:val="en-US" w:eastAsia="zh-CN" w:bidi="ar"/>
        </w:rPr>
        <w:t>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iCs w:val="0"/>
          <w:caps w:val="0"/>
          <w:color w:val="525252"/>
          <w:spacing w:val="12"/>
          <w:sz w:val="19"/>
          <w:szCs w:val="19"/>
        </w:rPr>
      </w:pPr>
      <w:r>
        <w:rPr>
          <w:rFonts w:hint="eastAsia" w:ascii="宋体" w:hAnsi="宋体" w:eastAsia="宋体" w:cs="宋体"/>
          <w:b/>
          <w:bCs/>
          <w:i w:val="0"/>
          <w:iCs w:val="0"/>
          <w:caps w:val="0"/>
          <w:color w:val="525252"/>
          <w:spacing w:val="12"/>
          <w:kern w:val="0"/>
          <w:sz w:val="19"/>
          <w:szCs w:val="19"/>
          <w:lang w:val="en-US" w:eastAsia="zh-CN" w:bidi="ar"/>
        </w:rPr>
        <w:t>单位：湛江市残疾人辅助器具服务中心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bCs/>
          <w:i w:val="0"/>
          <w:iCs w:val="0"/>
          <w:caps w:val="0"/>
          <w:color w:val="525252"/>
          <w:spacing w:val="12"/>
          <w:sz w:val="19"/>
          <w:szCs w:val="19"/>
        </w:rPr>
      </w:pPr>
      <w:r>
        <w:rPr>
          <w:rFonts w:hint="eastAsia" w:ascii="宋体" w:hAnsi="宋体" w:eastAsia="宋体" w:cs="宋体"/>
          <w:b/>
          <w:bCs/>
          <w:i w:val="0"/>
          <w:iCs w:val="0"/>
          <w:caps w:val="0"/>
          <w:color w:val="525252"/>
          <w:spacing w:val="12"/>
          <w:kern w:val="0"/>
          <w:sz w:val="19"/>
          <w:szCs w:val="19"/>
          <w:lang w:val="en-US" w:eastAsia="zh-CN" w:bidi="ar"/>
        </w:rPr>
        <w:t>单位：万元</w:t>
      </w:r>
    </w:p>
    <w:tbl>
      <w:tblPr>
        <w:tblStyle w:val="5"/>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9"/>
        <w:gridCol w:w="1762"/>
        <w:gridCol w:w="449"/>
        <w:gridCol w:w="1488"/>
        <w:gridCol w:w="1904"/>
        <w:gridCol w:w="1073"/>
        <w:gridCol w:w="449"/>
        <w:gridCol w:w="1762"/>
        <w:gridCol w:w="449"/>
        <w:gridCol w:w="1488"/>
        <w:gridCol w:w="1904"/>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blCellSpacing w:w="0" w:type="dxa"/>
        </w:trPr>
        <w:tc>
          <w:tcPr>
            <w:tcW w:w="0" w:type="auto"/>
            <w:gridSpan w:val="6"/>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预算数</w:t>
            </w:r>
          </w:p>
        </w:tc>
        <w:tc>
          <w:tcPr>
            <w:tcW w:w="0" w:type="auto"/>
            <w:gridSpan w:val="6"/>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blCellSpacing w:w="0" w:type="dxa"/>
        </w:trPr>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合计</w:t>
            </w:r>
          </w:p>
        </w:tc>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因公出国（境）费</w:t>
            </w:r>
          </w:p>
        </w:tc>
        <w:tc>
          <w:tcPr>
            <w:tcW w:w="0" w:type="auto"/>
            <w:gridSpan w:val="3"/>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公务用车购置及运行维护费</w:t>
            </w:r>
          </w:p>
        </w:tc>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公务接待费</w:t>
            </w:r>
          </w:p>
        </w:tc>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合计</w:t>
            </w:r>
          </w:p>
        </w:tc>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因公出国（境）费</w:t>
            </w:r>
          </w:p>
        </w:tc>
        <w:tc>
          <w:tcPr>
            <w:tcW w:w="0" w:type="auto"/>
            <w:gridSpan w:val="3"/>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公务用车购置及运行维护费</w:t>
            </w:r>
          </w:p>
        </w:tc>
        <w:tc>
          <w:tcPr>
            <w:tcW w:w="0" w:type="auto"/>
            <w:vMerge w:val="restart"/>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blCellSpacing w:w="0" w:type="dxa"/>
        </w:trPr>
        <w:tc>
          <w:tcPr>
            <w:tcW w:w="0" w:type="auto"/>
            <w:vMerge w:val="continue"/>
            <w:shd w:val="clear" w:color="auto" w:fill="auto"/>
            <w:vAlign w:val="center"/>
          </w:tcPr>
          <w:p>
            <w:pPr>
              <w:jc w:val="center"/>
              <w:rPr>
                <w:rFonts w:hint="eastAsia" w:ascii="宋体"/>
                <w:b/>
                <w:bCs/>
                <w:color w:val="525252"/>
                <w:sz w:val="24"/>
                <w:szCs w:val="24"/>
              </w:rPr>
            </w:pPr>
          </w:p>
        </w:tc>
        <w:tc>
          <w:tcPr>
            <w:tcW w:w="0" w:type="auto"/>
            <w:vMerge w:val="continue"/>
            <w:shd w:val="clear" w:color="auto" w:fill="auto"/>
            <w:vAlign w:val="center"/>
          </w:tcPr>
          <w:p>
            <w:pPr>
              <w:jc w:val="center"/>
              <w:rPr>
                <w:rFonts w:hint="eastAsia" w:ascii="宋体"/>
                <w:b/>
                <w:bCs/>
                <w:color w:val="525252"/>
                <w:sz w:val="24"/>
                <w:szCs w:val="24"/>
              </w:rPr>
            </w:pP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小计</w:t>
            </w: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公务用车购置费</w:t>
            </w: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公务用车运行维护费</w:t>
            </w:r>
          </w:p>
        </w:tc>
        <w:tc>
          <w:tcPr>
            <w:tcW w:w="0" w:type="auto"/>
            <w:vMerge w:val="continue"/>
            <w:shd w:val="clear" w:color="auto" w:fill="auto"/>
            <w:vAlign w:val="center"/>
          </w:tcPr>
          <w:p>
            <w:pPr>
              <w:jc w:val="center"/>
              <w:rPr>
                <w:rFonts w:hint="eastAsia" w:ascii="宋体"/>
                <w:b/>
                <w:bCs/>
                <w:color w:val="525252"/>
                <w:sz w:val="24"/>
                <w:szCs w:val="24"/>
              </w:rPr>
            </w:pPr>
          </w:p>
        </w:tc>
        <w:tc>
          <w:tcPr>
            <w:tcW w:w="0" w:type="auto"/>
            <w:vMerge w:val="continue"/>
            <w:shd w:val="clear" w:color="auto" w:fill="auto"/>
            <w:vAlign w:val="center"/>
          </w:tcPr>
          <w:p>
            <w:pPr>
              <w:jc w:val="center"/>
              <w:rPr>
                <w:rFonts w:hint="eastAsia" w:ascii="宋体"/>
                <w:b/>
                <w:bCs/>
                <w:color w:val="525252"/>
                <w:sz w:val="24"/>
                <w:szCs w:val="24"/>
              </w:rPr>
            </w:pPr>
          </w:p>
        </w:tc>
        <w:tc>
          <w:tcPr>
            <w:tcW w:w="0" w:type="auto"/>
            <w:vMerge w:val="continue"/>
            <w:shd w:val="clear" w:color="auto" w:fill="auto"/>
            <w:vAlign w:val="center"/>
          </w:tcPr>
          <w:p>
            <w:pPr>
              <w:jc w:val="center"/>
              <w:rPr>
                <w:rFonts w:hint="eastAsia" w:ascii="宋体"/>
                <w:b/>
                <w:bCs/>
                <w:color w:val="525252"/>
                <w:sz w:val="24"/>
                <w:szCs w:val="24"/>
              </w:rPr>
            </w:pP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小计</w:t>
            </w: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公务用车购置费</w:t>
            </w:r>
          </w:p>
        </w:tc>
        <w:tc>
          <w:tcPr>
            <w:tcW w:w="0" w:type="auto"/>
            <w:shd w:val="clear" w:color="auto" w:fill="auto"/>
            <w:vAlign w:val="center"/>
          </w:tcPr>
          <w:p>
            <w:pPr>
              <w:keepNext w:val="0"/>
              <w:keepLines w:val="0"/>
              <w:widowControl/>
              <w:suppressLineNumbers w:val="0"/>
              <w:pBdr>
                <w:top w:val="none" w:color="auto" w:sz="0" w:space="0"/>
                <w:bottom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公务用车运行维护费</w:t>
            </w:r>
          </w:p>
        </w:tc>
        <w:tc>
          <w:tcPr>
            <w:tcW w:w="0" w:type="auto"/>
            <w:vMerge w:val="continue"/>
            <w:shd w:val="clear" w:color="auto" w:fill="auto"/>
            <w:vAlign w:val="center"/>
          </w:tcPr>
          <w:p>
            <w:pPr>
              <w:jc w:val="center"/>
              <w:rPr>
                <w:rFonts w:hint="eastAsia" w:ascii="宋体"/>
                <w:b/>
                <w:bCs/>
                <w:color w:val="525252"/>
                <w:sz w:val="24"/>
                <w:szCs w:val="24"/>
              </w:rPr>
            </w:pPr>
          </w:p>
        </w:tc>
      </w:tr>
    </w:tbl>
    <w:p>
      <w:pPr>
        <w:rPr>
          <w:b/>
          <w:bCs/>
          <w:vanish/>
          <w:sz w:val="24"/>
          <w:szCs w:val="24"/>
        </w:rPr>
      </w:pPr>
    </w:p>
    <w:tbl>
      <w:tblPr>
        <w:tblStyle w:val="5"/>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7"/>
        <w:gridCol w:w="1187"/>
        <w:gridCol w:w="1187"/>
        <w:gridCol w:w="1187"/>
        <w:gridCol w:w="1187"/>
        <w:gridCol w:w="1187"/>
        <w:gridCol w:w="1188"/>
        <w:gridCol w:w="1188"/>
        <w:gridCol w:w="1188"/>
        <w:gridCol w:w="1188"/>
        <w:gridCol w:w="1188"/>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1</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2</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3</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4</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5</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6</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7</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8</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9</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10</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11</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center"/>
              <w:rPr>
                <w:b/>
                <w:bCs/>
                <w:color w:val="525252"/>
              </w:rPr>
            </w:pPr>
            <w:r>
              <w:rPr>
                <w:rFonts w:ascii="宋体" w:hAnsi="宋体" w:eastAsia="宋体" w:cs="宋体"/>
                <w:b/>
                <w:bCs/>
                <w:color w:val="525252"/>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0.91</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0.00</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0.87</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0.00</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0.87</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0.04</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0.91</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0.00</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0.87</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0.00</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0.87</w:t>
            </w:r>
          </w:p>
        </w:tc>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firstLine="0"/>
              <w:jc w:val="right"/>
              <w:rPr>
                <w:b/>
                <w:bCs/>
                <w:color w:val="525252"/>
              </w:rPr>
            </w:pPr>
            <w:r>
              <w:rPr>
                <w:rFonts w:ascii="宋体" w:hAnsi="宋体" w:eastAsia="宋体" w:cs="宋体"/>
                <w:b/>
                <w:bCs/>
                <w:color w:val="525252"/>
                <w:kern w:val="0"/>
                <w:sz w:val="24"/>
                <w:szCs w:val="24"/>
                <w:lang w:val="en-US" w:eastAsia="zh-CN" w:bidi="ar"/>
              </w:rPr>
              <w:t>0.04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iCs w:val="0"/>
          <w:caps w:val="0"/>
          <w:color w:val="525252"/>
          <w:spacing w:val="12"/>
          <w:sz w:val="19"/>
          <w:szCs w:val="19"/>
        </w:rPr>
      </w:pPr>
      <w:r>
        <w:rPr>
          <w:rFonts w:hint="eastAsia" w:ascii="宋体" w:hAnsi="宋体" w:eastAsia="宋体" w:cs="宋体"/>
          <w:b/>
          <w:bCs/>
          <w:i w:val="0"/>
          <w:iCs w:val="0"/>
          <w:caps w:val="0"/>
          <w:color w:val="525252"/>
          <w:spacing w:val="12"/>
          <w:kern w:val="0"/>
          <w:sz w:val="19"/>
          <w:szCs w:val="19"/>
          <w:lang w:val="en-US" w:eastAsia="zh-CN" w:bidi="ar"/>
        </w:rPr>
        <w:t>注：本表反映单位本年度财政拨款“三公”经费支出预决算情况。其中，预算数为“三公”经费全年预算数，反映按规定程序调整后的预算数；决算数是包括当年财政拨款和以前年度结转资金安排的实际支出。</w:t>
      </w:r>
    </w:p>
    <w:p>
      <w:pPr>
        <w:rPr>
          <w:rFonts w:hint="eastAsia" w:ascii="宋体" w:hAnsi="宋体" w:eastAsia="宋体" w:cs="宋体"/>
          <w:b/>
          <w:bCs/>
          <w:color w:val="auto"/>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ODliMjEwOWNhNzNiZDJlYjgzNTg3YTNhZjllYmUifQ=="/>
  </w:docVars>
  <w:rsids>
    <w:rsidRoot w:val="16D44504"/>
    <w:rsid w:val="16D44504"/>
    <w:rsid w:val="4A178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2024-09-13T15:11:00Z</dcterms:created>
  <dc:creator>达恆-XII</dc:creator>
  <cp:lastModifiedBy>greatwall</cp:lastModifiedBy>
  <dcterms:modified xsi:type="dcterms:W3CDTF">2024-09-19T17:05:26Z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38CBCF06A2AE4CD594CDDB8F7B642553_11</vt:lpwstr>
  </property>
</Properties>
</file>