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1767" w:hanging="1767" w:hangingChars="400"/>
        <w:jc w:val="center"/>
        <w:rPr>
          <w:rFonts w:hint="eastAsia" w:ascii="仿宋_GB2312" w:hAnsi="宋体" w:eastAsia="仿宋_GB2312" w:cs="宋体"/>
          <w:b/>
          <w:sz w:val="44"/>
          <w:szCs w:val="44"/>
        </w:rPr>
      </w:pPr>
      <w:r>
        <w:rPr>
          <w:rFonts w:hint="eastAsia" w:ascii="仿宋_GB2312" w:hAnsi="宋体" w:eastAsia="仿宋_GB2312" w:cs="宋体"/>
          <w:b/>
          <w:sz w:val="44"/>
          <w:szCs w:val="44"/>
        </w:rPr>
        <w:t>202</w:t>
      </w:r>
      <w:r>
        <w:rPr>
          <w:rFonts w:hint="eastAsia" w:ascii="仿宋_GB2312" w:hAnsi="宋体" w:eastAsia="仿宋_GB2312" w:cs="宋体"/>
          <w:b/>
          <w:sz w:val="44"/>
          <w:szCs w:val="44"/>
          <w:lang w:val="en-US" w:eastAsia="zh-CN"/>
        </w:rPr>
        <w:t>3</w:t>
      </w:r>
      <w:r>
        <w:rPr>
          <w:rFonts w:hint="eastAsia" w:ascii="仿宋_GB2312" w:hAnsi="宋体" w:eastAsia="仿宋_GB2312" w:cs="宋体"/>
          <w:b/>
          <w:sz w:val="44"/>
          <w:szCs w:val="44"/>
        </w:rPr>
        <w:t>年度财政拨款“三公”经费支出</w:t>
      </w:r>
    </w:p>
    <w:p>
      <w:pPr>
        <w:spacing w:line="288" w:lineRule="auto"/>
        <w:ind w:left="1767" w:hanging="1767" w:hangingChars="400"/>
        <w:jc w:val="center"/>
        <w:rPr>
          <w:rFonts w:hint="eastAsia" w:ascii="仿宋_GB2312" w:hAnsi="宋体" w:eastAsia="仿宋_GB2312" w:cs="宋体"/>
          <w:b/>
          <w:sz w:val="44"/>
          <w:szCs w:val="44"/>
        </w:rPr>
      </w:pPr>
      <w:r>
        <w:rPr>
          <w:rFonts w:hint="eastAsia" w:ascii="仿宋_GB2312" w:hAnsi="宋体" w:eastAsia="仿宋_GB2312" w:cs="宋体"/>
          <w:b/>
          <w:sz w:val="44"/>
          <w:szCs w:val="44"/>
        </w:rPr>
        <w:t>决算情况说明</w:t>
      </w:r>
    </w:p>
    <w:p>
      <w:pPr>
        <w:pStyle w:val="2"/>
        <w:rPr>
          <w:rFonts w:hint="eastAsia"/>
        </w:rPr>
      </w:pPr>
    </w:p>
    <w:p>
      <w:pPr>
        <w:keepNext w:val="0"/>
        <w:keepLines w:val="0"/>
        <w:widowControl/>
        <w:suppressLineNumbers w:val="0"/>
        <w:jc w:val="left"/>
      </w:pPr>
      <w:bookmarkStart w:id="0" w:name="PO_part3A3B2C3GnjdInclude1"/>
      <w:r>
        <w:rPr>
          <w:rFonts w:ascii="仿宋" w:hAnsi="仿宋" w:eastAsia="仿宋" w:cs="仿宋"/>
          <w:b/>
          <w:bCs/>
          <w:color w:val="000000"/>
          <w:kern w:val="0"/>
          <w:sz w:val="30"/>
          <w:szCs w:val="30"/>
          <w:lang w:val="en-US" w:eastAsia="zh-CN" w:bidi="ar"/>
        </w:rPr>
        <w:t>一</w:t>
      </w:r>
      <w:r>
        <w:rPr>
          <w:rFonts w:hint="eastAsia" w:ascii="仿宋" w:hAnsi="仿宋" w:eastAsia="仿宋" w:cs="仿宋"/>
          <w:b/>
          <w:bCs/>
          <w:color w:val="000000"/>
          <w:kern w:val="0"/>
          <w:sz w:val="30"/>
          <w:szCs w:val="30"/>
          <w:lang w:val="en-US" w:eastAsia="zh-CN" w:bidi="ar"/>
        </w:rPr>
        <w:t>、</w:t>
      </w:r>
      <w:r>
        <w:rPr>
          <w:rFonts w:ascii="仿宋" w:hAnsi="仿宋" w:eastAsia="仿宋" w:cs="仿宋"/>
          <w:b/>
          <w:bCs/>
          <w:color w:val="000000"/>
          <w:kern w:val="0"/>
          <w:sz w:val="30"/>
          <w:szCs w:val="30"/>
          <w:lang w:val="en-US" w:eastAsia="zh-CN" w:bidi="ar"/>
        </w:rPr>
        <w:t xml:space="preserve">“三公”经费财政拨款支出决算总体情况说明 </w:t>
      </w:r>
    </w:p>
    <w:p>
      <w:pPr>
        <w:keepNext w:val="0"/>
        <w:keepLines w:val="0"/>
        <w:widowControl/>
        <w:suppressLineNumbers w:val="0"/>
        <w:ind w:firstLine="600" w:firstLineChars="200"/>
        <w:jc w:val="left"/>
      </w:pPr>
      <w:r>
        <w:rPr>
          <w:rFonts w:ascii="仿宋" w:hAnsi="仿宋" w:eastAsia="仿宋" w:cs="仿宋"/>
          <w:color w:val="000000"/>
          <w:kern w:val="0"/>
          <w:sz w:val="30"/>
          <w:szCs w:val="30"/>
          <w:lang w:val="en-US" w:eastAsia="zh-CN" w:bidi="ar"/>
        </w:rPr>
        <w:t>湛江市交通运输局2023年度“三公”经费财政拨款支出决算</w:t>
      </w:r>
      <w:r>
        <w:rPr>
          <w:rFonts w:hint="eastAsia" w:ascii="仿宋" w:hAnsi="仿宋" w:eastAsia="仿宋" w:cs="仿宋"/>
          <w:color w:val="000000"/>
          <w:kern w:val="0"/>
          <w:sz w:val="30"/>
          <w:szCs w:val="30"/>
          <w:lang w:val="en-US" w:eastAsia="zh-CN" w:bidi="ar"/>
        </w:rPr>
        <w:t xml:space="preserve">为137.17万元，完成全年预算160.25万元的85.6%，比上年决算数增加2.41万元，增长1.8%。其中：因公出国（境）费支出决算为0.34万元，完成预算0.34万元的100%，比上年决算数增加0.34万元，增长--（基数为0，不可比）；公务用车购置及运行维护费支出决算为133.9万元，完成预算153.16万元的87.4%，比上年决算数增加0.31万元，增长0.2%；其中：公务用车购置支出决算为35.55万元，完成预算54万元的65.8%，比上年决算数减少0.44万元，下降1.2%；公务用车运行维护费支出决算为98.35万元，完成预算99.16万元的99.2%，比上年决算数增加0.75万元，增长0.8%；公务接待费支出决算为2.93万元，完成预算6.74万元的43.5%，比上年决算数增加1.76万元，增长149.9%。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2023年度“三公”经费支出决算小于预算数的主要情况：认真贯彻落实中央八项规定精神和厉行节约的要求，从严控制“三公”经费开支，全年实际支出比预算有所节约。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2023年度“三公”经费支出决算大于上年决算数的主要情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况：一是根据工作需要，经报请批准，临时增加出国任务；二是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2022年度因疫情等因素影响，导致公务接待费急剧减少。2023年度因防控政策变化，今年大兴调研之风，招商引资业务需要和上级检查督查工作的开展等原因，业务招待费恢复以前年度的水平;三是交通执法车按规定进行钣喷及执法标识变更，导致公车运行维护费增加。我部门三公经费费用严格执行相关规定，费用在年度预算范围内开支，未超年度预算安排。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jc w:val="left"/>
      </w:pPr>
      <w:r>
        <w:rPr>
          <w:rFonts w:hint="eastAsia" w:ascii="仿宋" w:hAnsi="仿宋" w:eastAsia="仿宋" w:cs="仿宋"/>
          <w:b/>
          <w:bCs/>
          <w:color w:val="000000"/>
          <w:kern w:val="0"/>
          <w:sz w:val="30"/>
          <w:szCs w:val="30"/>
          <w:lang w:val="en-US" w:eastAsia="zh-CN" w:bidi="ar"/>
        </w:rPr>
        <w:t xml:space="preserve">二、“三公”经费财政拨款支出决算具体情况说明 </w:t>
      </w:r>
    </w:p>
    <w:p>
      <w:pPr>
        <w:keepNext w:val="0"/>
        <w:keepLines w:val="0"/>
        <w:widowControl/>
        <w:suppressLineNumbers w:val="0"/>
        <w:ind w:firstLine="600" w:firstLineChars="200"/>
        <w:jc w:val="left"/>
      </w:pPr>
      <w:r>
        <w:rPr>
          <w:rFonts w:ascii="仿宋" w:hAnsi="仿宋" w:eastAsia="仿宋" w:cs="仿宋"/>
          <w:color w:val="000000"/>
          <w:kern w:val="0"/>
          <w:sz w:val="30"/>
          <w:szCs w:val="30"/>
          <w:lang w:val="en-US" w:eastAsia="zh-CN" w:bidi="ar"/>
        </w:rPr>
        <w:t xml:space="preserve">2 0 2 3年度“三公”经费财政拨款支出决算中，因公出国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（境）费0.34万元，占0.3%；公务用车购置及运行维护费支出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133.9万元，占97.6%；公务接待费支出2.93万元，占2.1%。具体情况如下：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1.因公出国（境）费支出0.34万元。全年使用财政拨款安排出国（境）团组1个、累计1人次。开支内容包括：境外业务培训及考察0.34万元，主要用于</w:t>
      </w:r>
      <w:r>
        <w:rPr>
          <w:rFonts w:hint="eastAsia" w:ascii="仿宋" w:hAnsi="仿宋" w:eastAsia="仿宋" w:cs="仿宋"/>
          <w:color w:val="000000"/>
          <w:kern w:val="0"/>
          <w:sz w:val="30"/>
          <w:szCs w:val="30"/>
          <w:lang w:val="en-US" w:eastAsia="zh-CN" w:bidi="ar"/>
        </w:rPr>
        <w:t>主要领导按市政府工作安排，赴香港开展招商推介活动有关筹备工作差旅</w:t>
      </w: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公务用车购置及运行维护费支出133.9万元，其中：公务用车购置支出为35.55万元，公务用车购置数3辆。公务用车运行维护费支出98.35万元，公务用车保有量为36辆，主要用于一般公务用车和一般执法执勤用车的加油费用、购买保险费用以及维修费用。公务用车保有量36辆，与国有资产占有情况中的车辆数50辆不一致，相差14辆的原因是：5辆为摩托车，9辆为待处置车辆。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3.公务接待费支出2.93万元，主要用于上级单位检查和相关单位交流工作等方面的接待，共接待国外、境外来访团组0个，来访外宾0人次；发生国内接待35次，接待人数共310人。主要包括上级各项业务检查以及相关单位业务交流学习等产生的接待费用。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 </w:t>
      </w:r>
    </w:p>
    <w:p>
      <w:pPr>
        <w:ind w:firstLine="640" w:firstLineChars="200"/>
        <w:jc w:val="left"/>
        <w:rPr>
          <w:rFonts w:hint="eastAsia" w:ascii="仿宋_GB2312" w:hAnsi="宋体" w:eastAsia="仿宋_GB2312" w:cs="宋体"/>
          <w:b/>
          <w:sz w:val="32"/>
          <w:szCs w:val="32"/>
        </w:rPr>
      </w:pPr>
      <w:r>
        <w:rPr>
          <w:rFonts w:hint="eastAsia" w:ascii="仿宋_GB2312" w:hAnsi="宋体" w:eastAsia="仿宋_GB2312" w:cs="宋体"/>
          <w:sz w:val="32"/>
          <w:szCs w:val="32"/>
        </w:rPr>
        <w:t xml:space="preserve"> </w:t>
      </w:r>
      <w:bookmarkEnd w:id="0"/>
    </w:p>
    <w:p>
      <w:pPr>
        <w:ind w:firstLine="640" w:firstLineChars="200"/>
        <w:jc w:val="left"/>
        <w:rPr>
          <w:rFonts w:hint="eastAsia" w:ascii="仿宋_GB2312" w:hAnsi="宋体" w:eastAsia="仿宋_GB2312" w:cs="宋体"/>
          <w:sz w:val="32"/>
          <w:szCs w:val="32"/>
        </w:rPr>
      </w:pPr>
    </w:p>
    <w:p>
      <w:pPr>
        <w:ind w:firstLine="640" w:firstLineChars="200"/>
        <w:jc w:val="left"/>
        <w:rPr>
          <w:rFonts w:hint="eastAsia" w:ascii="仿宋_GB2312" w:hAnsi="宋体" w:eastAsia="仿宋_GB2312" w:cs="宋体"/>
          <w:sz w:val="32"/>
          <w:szCs w:val="32"/>
        </w:rPr>
        <w:sectPr>
          <w:pgSz w:w="11906" w:h="16838"/>
          <w:pgMar w:top="1440" w:right="1800" w:bottom="1440" w:left="1800" w:header="851" w:footer="992" w:gutter="0"/>
          <w:cols w:space="425" w:num="1"/>
          <w:docGrid w:type="lines" w:linePitch="312" w:charSpace="0"/>
        </w:sectPr>
      </w:pPr>
    </w:p>
    <w:p>
      <w:pPr>
        <w:spacing w:line="288" w:lineRule="auto"/>
        <w:rPr>
          <w:rFonts w:hint="eastAsia" w:ascii="宋体" w:hAnsi="宋体" w:cs="宋体"/>
        </w:rPr>
      </w:pPr>
      <w:bookmarkStart w:id="1" w:name="PO_part2Table9"/>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hint="eastAsia" w:ascii="宋体" w:hAnsi="宋体" w:cs="宋体"/>
                <w:b/>
              </w:rPr>
            </w:pPr>
            <w:r>
              <w:rPr>
                <w:rFonts w:hint="eastAsia" w:ascii="宋体" w:hAnsi="宋体" w:cs="宋体"/>
                <w:b/>
                <w:kern w:val="0"/>
                <w:sz w:val="32"/>
                <w:szCs w:val="32"/>
              </w:rPr>
              <w:t>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hint="eastAsia" w:ascii="宋体" w:hAnsi="宋体" w:cs="宋体"/>
                <w:sz w:val="28"/>
                <w:szCs w:val="28"/>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部门</w:t>
            </w:r>
            <w:r>
              <w:rPr>
                <w:rFonts w:hint="eastAsia" w:ascii="宋体" w:hAnsi="宋体" w:cs="宋体"/>
                <w:kern w:val="0"/>
                <w:sz w:val="20"/>
                <w:szCs w:val="20"/>
              </w:rPr>
              <w:t xml:space="preserve"> ：湛江市交通运输</w:t>
            </w:r>
            <w:r>
              <w:rPr>
                <w:rFonts w:hint="eastAsia" w:ascii="宋体" w:hAnsi="宋体" w:cs="宋体"/>
                <w:kern w:val="0"/>
                <w:sz w:val="20"/>
                <w:szCs w:val="20"/>
                <w:lang w:val="en-US" w:eastAsia="zh-CN"/>
              </w:rPr>
              <w:t>局</w:t>
            </w:r>
            <w:r>
              <w:rPr>
                <w:rFonts w:hint="eastAsia" w:ascii="宋体" w:hAnsi="宋体" w:cs="宋体"/>
                <w:kern w:val="0"/>
                <w:sz w:val="20"/>
                <w:szCs w:val="20"/>
              </w:rPr>
              <w:t xml:space="preserve"> </w:t>
            </w:r>
          </w:p>
        </w:tc>
        <w:tc>
          <w:tcPr>
            <w:tcW w:w="3535" w:type="dxa"/>
            <w:gridSpan w:val="3"/>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eastAsia="宋体" w:cs="宋体"/>
                <w:color w:val="000000"/>
                <w:kern w:val="0"/>
                <w:sz w:val="20"/>
                <w:szCs w:val="20"/>
                <w:lang w:val="en-US" w:eastAsia="zh-CN" w:bidi="ar"/>
              </w:rPr>
              <w:t xml:space="preserve">160.25 </w:t>
            </w:r>
          </w:p>
        </w:tc>
        <w:tc>
          <w:tcPr>
            <w:tcW w:w="1182" w:type="dxa"/>
            <w:vAlign w:val="center"/>
          </w:tcPr>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0.34</w:t>
            </w:r>
          </w:p>
        </w:tc>
        <w:tc>
          <w:tcPr>
            <w:tcW w:w="1182" w:type="dxa"/>
            <w:vAlign w:val="center"/>
          </w:tcPr>
          <w:p>
            <w:pPr>
              <w:keepNext w:val="0"/>
              <w:keepLines w:val="0"/>
              <w:widowControl/>
              <w:suppressLineNumbers w:val="0"/>
              <w:jc w:val="left"/>
              <w:rPr>
                <w:rFonts w:hint="default" w:ascii="宋体" w:hAnsi="宋体" w:cs="宋体"/>
                <w:kern w:val="0"/>
                <w:szCs w:val="21"/>
                <w:lang w:val="en-US"/>
              </w:rPr>
            </w:pPr>
            <w:r>
              <w:rPr>
                <w:rFonts w:hint="eastAsia" w:ascii="宋体" w:hAnsi="宋体" w:cs="宋体"/>
                <w:color w:val="000000"/>
                <w:kern w:val="0"/>
                <w:sz w:val="20"/>
                <w:szCs w:val="20"/>
                <w:lang w:val="en-US" w:eastAsia="zh-CN" w:bidi="ar"/>
              </w:rPr>
              <w:t>153.16</w:t>
            </w:r>
          </w:p>
        </w:tc>
        <w:tc>
          <w:tcPr>
            <w:tcW w:w="1182" w:type="dxa"/>
            <w:vAlign w:val="center"/>
          </w:tcPr>
          <w:p>
            <w:pPr>
              <w:keepNext w:val="0"/>
              <w:keepLines w:val="0"/>
              <w:widowControl/>
              <w:suppressLineNumbers w:val="0"/>
              <w:jc w:val="left"/>
              <w:rPr>
                <w:rFonts w:hint="default" w:ascii="宋体" w:hAnsi="宋体" w:cs="宋体"/>
                <w:kern w:val="0"/>
                <w:szCs w:val="21"/>
                <w:lang w:val="en-US"/>
              </w:rPr>
            </w:pPr>
            <w:r>
              <w:rPr>
                <w:rFonts w:hint="eastAsia" w:ascii="宋体" w:hAnsi="宋体" w:cs="宋体"/>
                <w:color w:val="000000"/>
                <w:kern w:val="0"/>
                <w:sz w:val="20"/>
                <w:szCs w:val="20"/>
                <w:lang w:val="en-US" w:eastAsia="zh-CN" w:bidi="ar"/>
              </w:rPr>
              <w:t>54.00</w:t>
            </w:r>
          </w:p>
        </w:tc>
        <w:tc>
          <w:tcPr>
            <w:tcW w:w="1182" w:type="dxa"/>
            <w:vAlign w:val="center"/>
          </w:tcPr>
          <w:p>
            <w:pPr>
              <w:keepNext w:val="0"/>
              <w:keepLines w:val="0"/>
              <w:widowControl/>
              <w:suppressLineNumbers w:val="0"/>
              <w:jc w:val="left"/>
              <w:rPr>
                <w:rFonts w:hint="default" w:ascii="宋体" w:hAnsi="宋体" w:cs="宋体"/>
                <w:kern w:val="0"/>
                <w:szCs w:val="21"/>
                <w:lang w:val="en-US"/>
              </w:rPr>
            </w:pPr>
            <w:r>
              <w:rPr>
                <w:rFonts w:hint="eastAsia" w:ascii="宋体" w:hAnsi="宋体" w:cs="宋体"/>
                <w:color w:val="000000"/>
                <w:kern w:val="0"/>
                <w:sz w:val="20"/>
                <w:szCs w:val="20"/>
                <w:lang w:val="en-US" w:eastAsia="zh-CN" w:bidi="ar"/>
              </w:rPr>
              <w:t>99.16</w:t>
            </w:r>
          </w:p>
        </w:tc>
        <w:tc>
          <w:tcPr>
            <w:tcW w:w="1182" w:type="dxa"/>
            <w:vAlign w:val="center"/>
          </w:tcPr>
          <w:p>
            <w:pPr>
              <w:keepNext w:val="0"/>
              <w:keepLines w:val="0"/>
              <w:widowControl/>
              <w:suppressLineNumbers w:val="0"/>
              <w:jc w:val="left"/>
              <w:rPr>
                <w:rFonts w:hint="default" w:ascii="宋体" w:hAnsi="宋体" w:cs="宋体"/>
                <w:kern w:val="0"/>
                <w:szCs w:val="21"/>
                <w:lang w:val="en-US"/>
              </w:rPr>
            </w:pPr>
            <w:r>
              <w:rPr>
                <w:rFonts w:hint="eastAsia" w:ascii="宋体" w:hAnsi="宋体" w:cs="宋体"/>
                <w:color w:val="000000"/>
                <w:kern w:val="0"/>
                <w:sz w:val="20"/>
                <w:szCs w:val="20"/>
                <w:lang w:val="en-US" w:eastAsia="zh-CN" w:bidi="ar"/>
              </w:rPr>
              <w:t>6.74</w:t>
            </w:r>
          </w:p>
        </w:tc>
        <w:tc>
          <w:tcPr>
            <w:tcW w:w="1182" w:type="dxa"/>
            <w:vAlign w:val="center"/>
          </w:tcPr>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137.17</w:t>
            </w:r>
          </w:p>
        </w:tc>
        <w:tc>
          <w:tcPr>
            <w:tcW w:w="1182" w:type="dxa"/>
            <w:vAlign w:val="center"/>
          </w:tcPr>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0.34</w:t>
            </w:r>
          </w:p>
        </w:tc>
        <w:tc>
          <w:tcPr>
            <w:tcW w:w="1182" w:type="dxa"/>
            <w:vAlign w:val="center"/>
          </w:tcPr>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133.90</w:t>
            </w:r>
          </w:p>
        </w:tc>
        <w:tc>
          <w:tcPr>
            <w:tcW w:w="1182" w:type="dxa"/>
            <w:vAlign w:val="center"/>
          </w:tcPr>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35.55</w:t>
            </w:r>
          </w:p>
        </w:tc>
        <w:tc>
          <w:tcPr>
            <w:tcW w:w="1182" w:type="dxa"/>
            <w:vAlign w:val="center"/>
          </w:tcPr>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98.35</w:t>
            </w:r>
          </w:p>
        </w:tc>
        <w:tc>
          <w:tcPr>
            <w:tcW w:w="1171" w:type="dxa"/>
            <w:vAlign w:val="center"/>
          </w:tcPr>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2.93</w:t>
            </w:r>
            <w:r>
              <w:rPr>
                <w:rFonts w:hint="eastAsia" w:ascii="宋体" w:hAnsi="宋体" w:eastAsia="宋体" w:cs="宋体"/>
                <w:color w:val="000000"/>
                <w:kern w:val="0"/>
                <w:sz w:val="20"/>
                <w:szCs w:val="20"/>
                <w:lang w:val="en-US" w:eastAsia="zh-CN" w:bidi="ar"/>
              </w:rPr>
              <w:t xml:space="preserve"> </w:t>
            </w:r>
          </w:p>
        </w:tc>
      </w:tr>
    </w:tbl>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注：本表反映部门本年度财政拨款“三公”经费支出预决算情况。其中，预算数为“三公”经费全年预算数，反映按规定程序调整后的预算数；决算数是包括当年财政拨款和以前年度结转资金安排的实际支出。 </w:t>
      </w:r>
      <w:bookmarkStart w:id="2" w:name="_GoBack"/>
      <w:bookmarkEnd w:id="2"/>
    </w:p>
    <w:p>
      <w:pPr>
        <w:spacing w:line="360" w:lineRule="auto"/>
        <w:ind w:firstLine="840" w:firstLineChars="400"/>
        <w:rPr>
          <w:rFonts w:hint="eastAsia" w:ascii="宋体" w:hAnsi="宋体" w:cs="宋体"/>
          <w:szCs w:val="21"/>
        </w:rPr>
      </w:pPr>
      <w:r>
        <w:rPr>
          <w:rFonts w:hint="eastAsia" w:ascii="宋体" w:hAnsi="宋体" w:cs="宋体"/>
          <w:szCs w:val="21"/>
        </w:rPr>
        <w:t xml:space="preserve"> </w:t>
      </w:r>
      <w:r>
        <w:rPr>
          <w:rFonts w:hint="eastAsia" w:ascii="宋体" w:hAnsi="宋体" w:cs="宋体"/>
          <w:sz w:val="28"/>
          <w:szCs w:val="28"/>
        </w:rPr>
        <w:t xml:space="preserve"> </w:t>
      </w:r>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YTY1YWMxYTM1ZmNkNGY0MWE5MzgxMTJlZjQwNmIifQ=="/>
  </w:docVars>
  <w:rsids>
    <w:rsidRoot w:val="77817FC0"/>
    <w:rsid w:val="074731B9"/>
    <w:rsid w:val="0A6A040A"/>
    <w:rsid w:val="0B4A7984"/>
    <w:rsid w:val="26DB60FD"/>
    <w:rsid w:val="305232DD"/>
    <w:rsid w:val="432B1D63"/>
    <w:rsid w:val="46CD691B"/>
    <w:rsid w:val="4CB41B97"/>
    <w:rsid w:val="5FC24A29"/>
    <w:rsid w:val="60967D57"/>
    <w:rsid w:val="682B7A3B"/>
    <w:rsid w:val="68EF79B9"/>
    <w:rsid w:val="71C97C97"/>
    <w:rsid w:val="733E7BB3"/>
    <w:rsid w:val="77602068"/>
    <w:rsid w:val="77817FC0"/>
    <w:rsid w:val="780C2DEC"/>
    <w:rsid w:val="7CE3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1151</Words>
  <Characters>1354</Characters>
  <Lines>0</Lines>
  <Paragraphs>0</Paragraphs>
  <TotalTime>4</TotalTime>
  <ScaleCrop>false</ScaleCrop>
  <LinksUpToDate>false</LinksUpToDate>
  <CharactersWithSpaces>1418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2021-09-09T03:34:00Z</dcterms:created>
  <dc:creator>琉璃雪</dc:creator>
  <cp:lastModifiedBy>庄翠花</cp:lastModifiedBy>
  <dcterms:modified xsi:type="dcterms:W3CDTF">2024-09-09T09:45:24Z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ADD2605EACE044B19AC03450632E720C_13</vt:lpwstr>
  </property>
</Properties>
</file>