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202</w:t>
      </w:r>
      <w:r>
        <w:rPr>
          <w:rFonts w:hint="eastAsia" w:ascii="仿宋_GB2312" w:hAnsi="宋体" w:eastAsia="仿宋_GB2312" w:cs="宋体"/>
          <w:b/>
          <w:sz w:val="44"/>
          <w:szCs w:val="44"/>
          <w:lang w:val="en-US" w:eastAsia="zh-CN"/>
        </w:rPr>
        <w:t>3</w:t>
      </w:r>
      <w:r>
        <w:rPr>
          <w:rFonts w:hint="eastAsia" w:ascii="仿宋_GB2312" w:hAnsi="宋体" w:eastAsia="仿宋_GB2312" w:cs="宋体"/>
          <w:b/>
          <w:sz w:val="44"/>
          <w:szCs w:val="44"/>
        </w:rPr>
        <w:t>年度财政拨款“三公”经费支出</w:t>
      </w:r>
    </w:p>
    <w:p>
      <w:pPr>
        <w:spacing w:line="288" w:lineRule="auto"/>
        <w:ind w:left="1767" w:hanging="1767" w:hangingChars="400"/>
        <w:jc w:val="center"/>
        <w:rPr>
          <w:rFonts w:hint="eastAsia" w:ascii="仿宋_GB2312" w:hAnsi="宋体" w:eastAsia="仿宋_GB2312" w:cs="宋体"/>
          <w:b/>
          <w:sz w:val="44"/>
          <w:szCs w:val="44"/>
        </w:rPr>
      </w:pPr>
      <w:r>
        <w:rPr>
          <w:rFonts w:hint="eastAsia" w:ascii="仿宋_GB2312" w:hAnsi="宋体" w:eastAsia="仿宋_GB2312" w:cs="宋体"/>
          <w:b/>
          <w:sz w:val="44"/>
          <w:szCs w:val="44"/>
        </w:rPr>
        <w:t>决算情况说明</w:t>
      </w:r>
    </w:p>
    <w:p>
      <w:pPr>
        <w:pStyle w:val="2"/>
        <w:rPr>
          <w:rFonts w:hint="eastAsia"/>
        </w:rPr>
      </w:pPr>
    </w:p>
    <w:p>
      <w:pPr>
        <w:keepNext w:val="0"/>
        <w:keepLines w:val="0"/>
        <w:widowControl/>
        <w:suppressLineNumbers w:val="0"/>
        <w:jc w:val="left"/>
      </w:pPr>
      <w:bookmarkStart w:id="0" w:name="PO_part3A3B2C3GnjdInclude1"/>
      <w:r>
        <w:rPr>
          <w:rFonts w:ascii="仿宋" w:hAnsi="仿宋" w:eastAsia="仿宋" w:cs="仿宋"/>
          <w:b/>
          <w:bCs/>
          <w:color w:val="000000"/>
          <w:kern w:val="0"/>
          <w:sz w:val="30"/>
          <w:szCs w:val="30"/>
          <w:lang w:val="en-US" w:eastAsia="zh-CN" w:bidi="ar"/>
        </w:rPr>
        <w:t>一</w:t>
      </w:r>
      <w:r>
        <w:rPr>
          <w:rFonts w:hint="eastAsia" w:ascii="仿宋" w:hAnsi="仿宋" w:eastAsia="仿宋" w:cs="仿宋"/>
          <w:b/>
          <w:bCs/>
          <w:color w:val="000000"/>
          <w:kern w:val="0"/>
          <w:sz w:val="30"/>
          <w:szCs w:val="30"/>
          <w:lang w:val="en-US" w:eastAsia="zh-CN" w:bidi="ar"/>
        </w:rPr>
        <w:t>、</w:t>
      </w:r>
      <w:r>
        <w:rPr>
          <w:rFonts w:ascii="仿宋" w:hAnsi="仿宋" w:eastAsia="仿宋" w:cs="仿宋"/>
          <w:b/>
          <w:bCs/>
          <w:color w:val="000000"/>
          <w:kern w:val="0"/>
          <w:sz w:val="30"/>
          <w:szCs w:val="30"/>
          <w:lang w:val="en-US" w:eastAsia="zh-CN" w:bidi="ar"/>
        </w:rPr>
        <w:t xml:space="preserve">“三公”经费财政拨款支出决算总体情况说明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湛江市交通运输局（本级）2023年度“三公”经费财政拨款支出决算为107.26万元，完成全年预算111.54万元的96.2%，比上年决算数增加2.66万元，增长2.5%。其中：因公出国（境）费支出决算为0.34万元，完成预算0.34万元</w:t>
      </w:r>
      <w:bookmarkStart w:id="2" w:name="_GoBack"/>
      <w:bookmarkEnd w:id="2"/>
      <w:r>
        <w:rPr>
          <w:rFonts w:hint="eastAsia" w:ascii="仿宋" w:hAnsi="仿宋" w:eastAsia="仿宋" w:cs="仿宋"/>
          <w:color w:val="000000"/>
          <w:kern w:val="0"/>
          <w:sz w:val="30"/>
          <w:szCs w:val="30"/>
          <w:lang w:val="en-US" w:eastAsia="zh-CN" w:bidi="ar"/>
        </w:rPr>
        <w:t xml:space="preserve">的100%，比上年决算数增加0.34万元，增长--（基数为0，不可比）；公务用车购置及运行维护费支出决算为104.72万元，完成预算105.2万元的99.5%，比上年决算数增加1万元，增长1%；其中：公务用车购置支出决算为35.55万元，完成预算36万元的98.8%，比上年决算数减少0.44万元，下降1.2%；公务用车运行维护费支出决算为69.17万元，完成预算69.2万元的100%，比上年决算数增加1.44万元，增长2.1%；公务接待费支出决算为2.19万元，完成预算6万元的36.6%，比上年决算数增加1.32万元，增长150.1%。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2023年度“三公”经费支出决算小于预算数的主要情况：认真贯彻落实中央八项规定精神和厉行节约的要求，从严控制“三公”经费开支，全年实际支出比预算有所节约。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2023年度“三公”经费支出决算大于上年决算数的主要情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况：一是交通执法车按规定进行钣喷及执法标识变更，导致公车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运行维护费增加；二是2022年因疫情等因素影响，导致公务接待费急剧减少；三是2023年因防控政策变化，今年大兴调研之风，招商引资业务需要和上级检查督查工作的开展等原因，业务招待费恢复以前年度的水平。实际未超预算。 </w:t>
      </w:r>
    </w:p>
    <w:p>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 xml:space="preserve">二、“三公”经费财政拨款支出决算具体情况说明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 0 2 3年度“三公”经费财政拨款支出决算中，因公出国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（境）费0.34万元，占0.3%；公务用车购置及运行维护费支出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104.72万元，占97.6%；公务接待费支出2.19万元，占2%。具体情况如下：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1.因公出国（境）费支出0.34万元。全年使用财政拨款安排出国（境）团组1个、累计1人次。开支内容包括：出国谈判、工作磋商支出0.34万元，主要用于主要领导按市政府工作安排，赴香港开展招商推介活动有关筹备工作差旅。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2.公务用车购置及运行维护费支出104.72万元，其中：公务用车购置支出为35.55万元，公务用车购置数3辆。公务用车运行维护费支出69.17万元，公务用车保有量为22辆，主要用于一般公务用车和一般执法执勤用车的加油费用、购买保险费用以及维修费用。公务用车保有量22辆，与国有资产占有情况中的车辆数35辆不一致，相差13辆的原因是：5辆为摩托车，8辆为待处置车辆等。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3.公务接待费支出2.19万元，主要用于上级单位检查和相关单位交流工作等方面的接待，共接待国外、境外来访团组0个，来访外宾0人次；发生国内接待25次，接待人数共225人。主要包括上级各项业务检查以及相关单位业务交流学习等产生的接待费用。 </w:t>
      </w:r>
    </w:p>
    <w:p>
      <w:pPr>
        <w:ind w:firstLine="640" w:firstLineChars="200"/>
        <w:jc w:val="left"/>
        <w:rPr>
          <w:rFonts w:hint="eastAsia" w:ascii="仿宋_GB2312" w:hAnsi="宋体" w:eastAsia="仿宋_GB2312" w:cs="宋体"/>
          <w:b/>
          <w:sz w:val="32"/>
          <w:szCs w:val="32"/>
        </w:rPr>
      </w:pPr>
      <w:r>
        <w:rPr>
          <w:rFonts w:hint="eastAsia" w:ascii="仿宋_GB2312" w:hAnsi="宋体" w:eastAsia="仿宋_GB2312" w:cs="宋体"/>
          <w:sz w:val="32"/>
          <w:szCs w:val="32"/>
        </w:rPr>
        <w:t xml:space="preserve"> </w:t>
      </w:r>
      <w:bookmarkEnd w:id="0"/>
    </w:p>
    <w:p>
      <w:pPr>
        <w:ind w:firstLine="640" w:firstLineChars="200"/>
        <w:jc w:val="left"/>
        <w:rPr>
          <w:rFonts w:hint="eastAsia" w:ascii="仿宋_GB2312" w:hAnsi="宋体" w:eastAsia="仿宋_GB2312" w:cs="宋体"/>
          <w:sz w:val="32"/>
          <w:szCs w:val="32"/>
        </w:rPr>
      </w:pPr>
    </w:p>
    <w:p>
      <w:pPr>
        <w:ind w:firstLine="640" w:firstLineChars="200"/>
        <w:jc w:val="left"/>
        <w:rPr>
          <w:rFonts w:hint="eastAsia" w:ascii="仿宋_GB2312" w:hAnsi="宋体" w:eastAsia="仿宋_GB2312" w:cs="宋体"/>
          <w:sz w:val="32"/>
          <w:szCs w:val="32"/>
        </w:rPr>
        <w:sectPr>
          <w:pgSz w:w="11906" w:h="16838"/>
          <w:pgMar w:top="1440" w:right="1800" w:bottom="1440" w:left="1800" w:header="851" w:footer="992" w:gutter="0"/>
          <w:cols w:space="425" w:num="1"/>
          <w:docGrid w:type="lines" w:linePitch="312" w:charSpace="0"/>
        </w:sectPr>
      </w:pPr>
    </w:p>
    <w:p>
      <w:pPr>
        <w:spacing w:line="288" w:lineRule="auto"/>
        <w:rPr>
          <w:rFonts w:hint="eastAsia" w:ascii="宋体" w:hAnsi="宋体" w:cs="宋体"/>
        </w:rPr>
      </w:pPr>
      <w:bookmarkStart w:id="1" w:name="PO_part2Table9"/>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hint="eastAsia" w:ascii="宋体" w:hAnsi="宋体" w:cs="宋体"/>
                <w:b/>
              </w:rPr>
            </w:pPr>
            <w:r>
              <w:rPr>
                <w:rFonts w:hint="eastAsia" w:ascii="宋体" w:hAnsi="宋体" w:cs="宋体"/>
                <w:b/>
                <w:kern w:val="0"/>
                <w:sz w:val="32"/>
                <w:szCs w:val="32"/>
              </w:rPr>
              <w:t>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hint="eastAsia" w:ascii="宋体" w:hAnsi="宋体" w:cs="宋体"/>
                <w:sz w:val="28"/>
                <w:szCs w:val="28"/>
              </w:rPr>
            </w:pPr>
            <w:r>
              <w:rPr>
                <w:rFonts w:hint="eastAsia" w:ascii="宋体" w:hAnsi="宋体" w:cs="宋体"/>
                <w:kern w:val="0"/>
                <w:sz w:val="20"/>
                <w:szCs w:val="20"/>
              </w:rPr>
              <w:t xml:space="preserve"> 单位 ：湛江市交通运输局（本级） </w:t>
            </w:r>
          </w:p>
        </w:tc>
        <w:tc>
          <w:tcPr>
            <w:tcW w:w="3535" w:type="dxa"/>
            <w:gridSpan w:val="3"/>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center"/>
          </w:tcPr>
          <w:p>
            <w:pPr>
              <w:widowControl/>
              <w:jc w:val="center"/>
              <w:rPr>
                <w:rFonts w:hint="eastAsia" w:ascii="宋体" w:hAnsi="宋体" w:cs="宋体"/>
                <w:kern w:val="0"/>
                <w:szCs w:val="21"/>
              </w:rPr>
            </w:pPr>
            <w:r>
              <w:rPr>
                <w:rFonts w:hint="eastAsia" w:ascii="宋体" w:hAnsi="宋体" w:cs="宋体"/>
                <w:kern w:val="0"/>
                <w:szCs w:val="21"/>
              </w:rPr>
              <w:t>公务用车购置及运行维护费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82"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Merge w:val="continue"/>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运行维护费</w:t>
            </w:r>
          </w:p>
        </w:tc>
        <w:tc>
          <w:tcPr>
            <w:tcW w:w="1171" w:type="dxa"/>
            <w:vMerge w:val="continue"/>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111.54</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34</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105.20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36.00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69.20</w:t>
            </w:r>
          </w:p>
        </w:tc>
        <w:tc>
          <w:tcPr>
            <w:tcW w:w="1182" w:type="dxa"/>
            <w:vAlign w:val="center"/>
          </w:tcPr>
          <w:p>
            <w:pPr>
              <w:widowControl/>
              <w:jc w:val="right"/>
              <w:rPr>
                <w:rFonts w:hint="eastAsia" w:ascii="宋体" w:hAnsi="宋体" w:cs="宋体"/>
                <w:kern w:val="0"/>
                <w:szCs w:val="21"/>
              </w:rPr>
            </w:pPr>
            <w:r>
              <w:rPr>
                <w:rFonts w:ascii="宋体" w:hAnsi="宋体" w:cs="宋体"/>
                <w:kern w:val="0"/>
                <w:szCs w:val="21"/>
              </w:rPr>
              <w:t>6.00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107.26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0.34</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104.72</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35.55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69.17</w:t>
            </w:r>
          </w:p>
        </w:tc>
        <w:tc>
          <w:tcPr>
            <w:tcW w:w="1171"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2.19</w:t>
            </w:r>
          </w:p>
        </w:tc>
      </w:tr>
    </w:tbl>
    <w:p>
      <w:pPr>
        <w:keepNext w:val="0"/>
        <w:keepLines w:val="0"/>
        <w:widowControl/>
        <w:suppressLineNumbers w:val="0"/>
        <w:jc w:val="left"/>
      </w:pPr>
      <w:r>
        <w:rPr>
          <w:rFonts w:hint="eastAsia" w:ascii="宋体" w:hAnsi="宋体" w:cs="宋体"/>
          <w:szCs w:val="21"/>
        </w:rPr>
        <w:t>注：</w:t>
      </w:r>
      <w:r>
        <w:rPr>
          <w:rFonts w:hint="eastAsia" w:ascii="宋体" w:hAnsi="宋体" w:eastAsia="宋体" w:cs="宋体"/>
          <w:color w:val="000000"/>
          <w:kern w:val="0"/>
          <w:sz w:val="18"/>
          <w:szCs w:val="18"/>
          <w:lang w:val="en-US" w:eastAsia="zh-CN" w:bidi="ar"/>
        </w:rPr>
        <w:t>本表反映单位本年度财政拨款“三公”经费支出预决算情况。其中，预算数为“三公”经费全年预算数，反映按规定程序调整后的预算数；决算数是包括当年财政拨款和以前年度结转资金安排的实际支出。</w:t>
      </w:r>
    </w:p>
    <w:p>
      <w:pPr>
        <w:spacing w:line="360" w:lineRule="auto"/>
        <w:ind w:firstLine="840" w:firstLineChars="400"/>
        <w:rPr>
          <w:rFonts w:hint="eastAsia" w:ascii="宋体" w:hAnsi="宋体" w:cs="宋体"/>
          <w:szCs w:val="21"/>
        </w:rPr>
      </w:pPr>
      <w:r>
        <w:rPr>
          <w:rFonts w:hint="eastAsia" w:ascii="宋体" w:hAnsi="宋体" w:cs="宋体"/>
          <w:szCs w:val="21"/>
        </w:rPr>
        <w:t xml:space="preserve"> </w:t>
      </w:r>
      <w:r>
        <w:rPr>
          <w:rFonts w:hint="eastAsia" w:ascii="宋体" w:hAnsi="宋体" w:cs="宋体"/>
          <w:sz w:val="28"/>
          <w:szCs w:val="28"/>
        </w:rPr>
        <w:t xml:space="preserve"> </w:t>
      </w:r>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YTY1YWMxYTM1ZmNkNGY0MWE5MzgxMTJlZjQwNmIifQ=="/>
  </w:docVars>
  <w:rsids>
    <w:rsidRoot w:val="77817FC0"/>
    <w:rsid w:val="074731B9"/>
    <w:rsid w:val="0A6A040A"/>
    <w:rsid w:val="0B4A7984"/>
    <w:rsid w:val="26DB60FD"/>
    <w:rsid w:val="305232DD"/>
    <w:rsid w:val="432B1D63"/>
    <w:rsid w:val="46CD691B"/>
    <w:rsid w:val="4CB41B97"/>
    <w:rsid w:val="5FC24A29"/>
    <w:rsid w:val="68EF79B9"/>
    <w:rsid w:val="71C97C97"/>
    <w:rsid w:val="733E7BB3"/>
    <w:rsid w:val="77817FC0"/>
    <w:rsid w:val="780C2DEC"/>
    <w:rsid w:val="7CE3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1151</Words>
  <Characters>1354</Characters>
  <Lines>0</Lines>
  <Paragraphs>0</Paragraphs>
  <TotalTime>8</TotalTime>
  <ScaleCrop>false</ScaleCrop>
  <LinksUpToDate>false</LinksUpToDate>
  <CharactersWithSpaces>1418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2021-09-09T03:34:00Z</dcterms:created>
  <dc:creator>琉璃雪</dc:creator>
  <cp:lastModifiedBy>庄翠花</cp:lastModifiedBy>
  <dcterms:modified xsi:type="dcterms:W3CDTF">2024-09-09T09:34:18Z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2466D42704244845A0422BDCBDEB89A7_13</vt:lpwstr>
  </property>
</Properties>
</file>