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8"/>
        <w:gridCol w:w="1874"/>
        <w:gridCol w:w="1874"/>
        <w:gridCol w:w="1874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单位名称：湛江市医疗保障局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  目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行政经费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行政经费是指用于维持行政（参公）单位机关运行的经费。具体包括：办公费、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经济科目对应的预算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“三公”经费安排情况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2024年本部门财政拨款安排“三公”经费3.77万元，比上年增加2.87万元，增长318.89%，主要原因是2024年任务多，预计接待费用比上年增加。其中：因公出国（境）费0万元，比上年增加0万元，增长--（基数为0，不可比），主要原因是与上年持平，无增减变化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3.77万元，比上年增加2.87万元，增长318.89%，主要原因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2024年任务多，预计接待费用比上年增加。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jVhMTYzZWMyYmM5NzY5YTI0MDBhNDU3ZjQ3YTQifQ=="/>
  </w:docVars>
  <w:rsids>
    <w:rsidRoot w:val="59C813E6"/>
    <w:rsid w:val="59C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2024-07-12T09:03:00Z</dcterms:created>
  <dc:creator>WPS_1714959897</dc:creator>
  <cp:lastModifiedBy>WPS_1714959897</cp:lastModifiedBy>
  <dcterms:modified xsi:type="dcterms:W3CDTF">2024-07-12T09:07:12Z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B649094D19054CF7B63F4AC184902790_11</vt:lpwstr>
  </property>
</Properties>
</file>