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/>
        </w:rPr>
      </w:pPr>
      <w:r>
        <w:rPr>
          <w:lang w:val="en-US" w:eastAsia="zh-CN"/>
        </w:rPr>
        <w:t>2016</w:t>
      </w:r>
      <w:r>
        <w:rPr>
          <w:rFonts w:hint="eastAsia"/>
          <w:lang w:val="en-US" w:eastAsia="zh-CN"/>
        </w:rPr>
        <w:t>年部门决算说明</w:t>
      </w:r>
    </w:p>
    <w:p>
      <w:pPr>
        <w:pStyle w:val="3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单位基本情况</w:t>
      </w:r>
    </w:p>
    <w:p>
      <w:pPr>
        <w:pStyle w:val="4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（一）、主要职能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湛江市公路管理局吴川分局成立于1953年6月，单位性质为参照公务员制度管理的事业单位，主要业务范围包括对管辖内的公路进行规划、设计、建设、维修、养护；维护路产、路权；完成湛江市公路管理局和地方政府交给的任务，确保所管养道路安全畅通。</w:t>
      </w:r>
    </w:p>
    <w:p>
      <w:pPr>
        <w:pStyle w:val="4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（二）、机构设置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本单位的岗位设置分为：人事、监察、生产、办公室、路政、收费、财务七个股室，黄坡、覃巴、梅菉三个养护站。单位编制人数158人（其中：参公43人，一类事业115人），实有在职人数136人（其中：参公41人，一类事业95人）。临时工48人，退休人员120人，遗属11人。</w:t>
      </w:r>
    </w:p>
    <w:p>
      <w:pPr>
        <w:pStyle w:val="3"/>
        <w:rPr>
          <w:rFonts w:hint="eastAsia"/>
          <w:lang w:eastAsia="zh-CN"/>
        </w:rPr>
      </w:pPr>
      <w:r>
        <w:rPr>
          <w:rFonts w:hint="eastAsia"/>
          <w:lang w:eastAsia="zh-CN"/>
        </w:rPr>
        <w:t>二、收入支出执行情况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（一）、总收入支出预算执行情况分析说明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2016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年收入总计1696.14万元，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其中财政拨款收入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1645.58万元，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总收入的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97.02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 %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；事业收入50.56万元，占总收入的2.98%；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支出总计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1696.14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万元，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其中基本支出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718.37万元，占总支出的42.35%；项目支出977.77万元，占总支出的57.65%。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（二）、一般公共预算财政拨款收入支出决算情况说明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5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2016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年一般公共预算财政拨款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收入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1645.58万元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年初结转和结余均为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0；2016年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一般公共预算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财政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拨款支出按用途划分，基本支出718.37万元，占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财政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拨款支出1645.58万元的43.65%。其中，工资福利支出469.06万元、对个人和家庭的补助173.85万元、商品和服务支出75.46万元。项目支出决算927.21万元。</w:t>
      </w:r>
    </w:p>
    <w:p>
      <w:pPr>
        <w:pStyle w:val="3"/>
        <w:rPr>
          <w:rFonts w:hint="eastAsia"/>
          <w:lang w:eastAsia="zh-CN"/>
        </w:rPr>
      </w:pPr>
      <w:r>
        <w:rPr>
          <w:rFonts w:hint="eastAsia"/>
          <w:lang w:eastAsia="zh-CN"/>
        </w:rPr>
        <w:t>三、重点经济分类支出执行情况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（一）、“三公”经费支出决算情况说明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2016 年“三公”经费支出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总数6.67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比当年预算数9.4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少2.73万元，降幅29.04%.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具体支出情况如下：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因公出国（境）费 0万元，主要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由于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单位工作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人员不存在出国公干的情况，因此预算和决算都为0；同时，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全年安排因公出国（境）团组  0个，全年因公出国（境）累计 0人次。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公务用车购置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费及公务用车运行维护费合计4.36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其中，公务用车购置费0万元，公务用车运行维护费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支出决算数4.36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，由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进一步加强公务用车管理，控制费用支出，杜绝超出预算数。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公务接待费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2.31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万元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比当年预算数5万元少2.69万元，降幅53.8%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，主要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下降原因是严格按照省、市相关要求，本年接待批次及人数大幅下降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。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（二）、机关运行经费支出决算情况说明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2016年本部门机关运行经费支出75.46万元，主要是本单位用于日常的商品和服务支出，严格执行本单位的财务管理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预算和规定，压缩不必要的开支，加强内部控制管理，合理控制机关运行经费。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（三）、政府采购支出决算情况说明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2016年本部门政府采购支出总额30.18万元，其中：政府采购货物支出30.18万元、政府采购工程支出0万元、政府采购服务支出0万元。</w:t>
      </w:r>
    </w:p>
    <w:p>
      <w:pPr>
        <w:pStyle w:val="4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（四）、国有资产占用情况说明</w:t>
      </w:r>
    </w:p>
    <w:p>
      <w:pPr>
        <w:pStyle w:val="3"/>
        <w:ind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截至 2016 年 12 月 31 日，本部门共有车辆32辆，其中，一般公务用车2辆，一般执法执勤用车1辆，其他用车29辆，其他用车大部分已经报废无法使用。单位价值200万元以上大型设备0台（套）。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四、专业名词解释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、“三公”经费：是指纳入市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16" w:usb3="00000000" w:csb0="0004001F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430B"/>
    <w:multiLevelType w:val="singleLevel"/>
    <w:tmpl w:val="59BF430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E1AD3"/>
    <w:rsid w:val="02F952D5"/>
    <w:rsid w:val="063C0A71"/>
    <w:rsid w:val="084A213E"/>
    <w:rsid w:val="0F2120E2"/>
    <w:rsid w:val="154C7E60"/>
    <w:rsid w:val="158D2F1E"/>
    <w:rsid w:val="169C7405"/>
    <w:rsid w:val="19DE52D8"/>
    <w:rsid w:val="1D2E665A"/>
    <w:rsid w:val="265F5CC6"/>
    <w:rsid w:val="276E743A"/>
    <w:rsid w:val="280733CE"/>
    <w:rsid w:val="292A15C4"/>
    <w:rsid w:val="34BF0B19"/>
    <w:rsid w:val="38A652EB"/>
    <w:rsid w:val="3CD74D8F"/>
    <w:rsid w:val="42D42BB6"/>
    <w:rsid w:val="444E58D2"/>
    <w:rsid w:val="498E1F48"/>
    <w:rsid w:val="4BC1365F"/>
    <w:rsid w:val="55486ACB"/>
    <w:rsid w:val="5E923A9B"/>
    <w:rsid w:val="60EB6741"/>
    <w:rsid w:val="61F33176"/>
    <w:rsid w:val="79FE1AD3"/>
    <w:rsid w:val="7AF242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7096;&#38376;&#20915;&#31639;&#20844;&#24320;&#26679;&#34920;\&#37096;&#38376;&#20915;&#31639;&#35828;&#2612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部门决算说明.docx</Template>
  <Pages>3</Pages>
  <Words>1822</Words>
  <Characters>1911</Characters>
  <Lines>0</Lines>
  <Paragraphs>0</Paragraphs>
  <ScaleCrop>false</ScaleCrop>
  <LinksUpToDate>false</LinksUpToDate>
  <CharactersWithSpaces>1941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2017-09-15T07:31:00Z</dcterms:created>
  <dc:creator>Administrator</dc:creator>
  <cp:lastModifiedBy>Administrator</cp:lastModifiedBy>
  <dcterms:modified xsi:type="dcterms:W3CDTF">2017-09-19T08:54:55Z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