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ind w:left="1767" w:hanging="1767" w:hangingChars="400"/>
        <w:jc w:val="center"/>
        <w:rPr>
          <w:rFonts w:hint="eastAsia" w:ascii="仿宋_GB2312" w:hAnsi="宋体" w:eastAsia="仿宋_GB2312" w:cs="宋体"/>
          <w:b/>
          <w:sz w:val="44"/>
          <w:szCs w:val="44"/>
        </w:rPr>
      </w:pPr>
      <w:r>
        <w:rPr>
          <w:rFonts w:hint="eastAsia" w:ascii="仿宋_GB2312" w:hAnsi="宋体" w:eastAsia="仿宋_GB2312" w:cs="宋体"/>
          <w:b/>
          <w:sz w:val="44"/>
          <w:szCs w:val="44"/>
        </w:rPr>
        <w:t>2022年度财政拨款“三公”经费支出</w:t>
      </w:r>
    </w:p>
    <w:p>
      <w:pPr>
        <w:spacing w:line="288" w:lineRule="auto"/>
        <w:ind w:left="1767" w:hanging="1767" w:hangingChars="400"/>
        <w:jc w:val="center"/>
        <w:rPr>
          <w:rFonts w:hint="eastAsia" w:ascii="仿宋_GB2312" w:hAnsi="宋体" w:eastAsia="仿宋_GB2312" w:cs="宋体"/>
          <w:b/>
          <w:sz w:val="44"/>
          <w:szCs w:val="44"/>
        </w:rPr>
      </w:pPr>
      <w:r>
        <w:rPr>
          <w:rFonts w:hint="eastAsia" w:ascii="仿宋_GB2312" w:hAnsi="宋体" w:eastAsia="仿宋_GB2312" w:cs="宋体"/>
          <w:b/>
          <w:sz w:val="44"/>
          <w:szCs w:val="44"/>
        </w:rPr>
        <w:t>决算情况说明</w:t>
      </w:r>
    </w:p>
    <w:p>
      <w:pPr>
        <w:pStyle w:val="2"/>
        <w:rPr>
          <w:rFonts w:hint="eastAsia"/>
        </w:rPr>
      </w:pPr>
    </w:p>
    <w:p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  <w:t>一、</w:t>
      </w:r>
      <w:r>
        <w:rPr>
          <w:rFonts w:hint="eastAsia" w:ascii="仿宋_GB2312" w:hAnsi="宋体" w:eastAsia="仿宋_GB2312" w:cs="宋体"/>
          <w:b/>
          <w:sz w:val="32"/>
          <w:szCs w:val="32"/>
        </w:rPr>
        <w:t>“三公”经费财政拨款支出决算总体情况说明</w:t>
      </w:r>
    </w:p>
    <w:p>
      <w:pPr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0" w:name="PO_part3A3B1C1DivNameYear1"/>
      <w:r>
        <w:rPr>
          <w:rFonts w:hint="eastAsia" w:ascii="仿宋_GB2312" w:hAnsi="宋体" w:eastAsia="仿宋_GB2312" w:cs="宋体"/>
          <w:sz w:val="32"/>
          <w:szCs w:val="32"/>
        </w:rPr>
        <w:t>湛江市交通运输局（本级）</w:t>
      </w:r>
      <w:r>
        <w:rPr>
          <w:rFonts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0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1" w:name="PO_part3A3B1C1Amount1"/>
      <w:r>
        <w:rPr>
          <w:rFonts w:ascii="仿宋_GB2312" w:hAnsi="宋体" w:eastAsia="仿宋_GB2312" w:cs="宋体"/>
          <w:sz w:val="32"/>
          <w:szCs w:val="32"/>
        </w:rPr>
        <w:t>104.61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万元，完成全年预算</w:t>
      </w:r>
      <w:bookmarkStart w:id="2" w:name="PO_part3A3B1C1Amount2"/>
      <w:r>
        <w:rPr>
          <w:rFonts w:ascii="仿宋_GB2312" w:hAnsi="宋体" w:eastAsia="仿宋_GB2312" w:cs="宋体"/>
          <w:sz w:val="32"/>
          <w:szCs w:val="32"/>
        </w:rPr>
        <w:t>111.2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3" w:name="PO_part3A3B1C1Percent1"/>
      <w:r>
        <w:rPr>
          <w:rFonts w:ascii="仿宋_GB2312" w:hAnsi="宋体" w:eastAsia="仿宋_GB2312" w:cs="宋体"/>
          <w:sz w:val="32"/>
          <w:szCs w:val="32"/>
        </w:rPr>
        <w:t>94.1%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4" w:name="PO_part3A3B1C1IncAmount1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ascii="仿宋_GB2312" w:hAnsi="宋体" w:eastAsia="仿宋_GB2312" w:cs="宋体"/>
          <w:sz w:val="32"/>
          <w:szCs w:val="32"/>
        </w:rPr>
        <w:t>5.05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5" w:name="PO_part3A3B1C1IncPercent1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ascii="仿宋_GB2312" w:hAnsi="宋体" w:eastAsia="仿宋_GB2312" w:cs="宋体"/>
          <w:sz w:val="32"/>
          <w:szCs w:val="32"/>
        </w:rPr>
        <w:t>4.6%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bookmarkStart w:id="6" w:name="PO_part3A3B1C1qz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6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7" w:name="PO_part3A3B1C1qzys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7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8" w:name="PO_part3A3B1C1qzPercent1"/>
      <w:r>
        <w:rPr>
          <w:rFonts w:ascii="仿宋_GB2312" w:hAnsi="宋体" w:eastAsia="仿宋_GB2312" w:cs="宋体"/>
          <w:color w:val="auto"/>
          <w:sz w:val="32"/>
          <w:szCs w:val="32"/>
          <w:highlight w:val="none"/>
        </w:rPr>
        <w:t>--%（基数为0，不可比）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8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9" w:name="PO_part3A3B1C1IncAmount2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0" w:name="PO_part3A3B1C1IncPercent2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--（基数为0，不可比）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；公务用车购置及运行维护费支出决算为</w:t>
      </w:r>
      <w:bookmarkStart w:id="11" w:name="PO_part3A3B1C1qzAmount2"/>
      <w:r>
        <w:rPr>
          <w:rFonts w:ascii="仿宋_GB2312" w:hAnsi="宋体" w:eastAsia="仿宋_GB2312" w:cs="宋体"/>
          <w:sz w:val="32"/>
          <w:szCs w:val="32"/>
        </w:rPr>
        <w:t>103.73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1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2" w:name="PO_part3A3B1C1qzysAmount2"/>
      <w:r>
        <w:rPr>
          <w:rFonts w:ascii="仿宋_GB2312" w:hAnsi="宋体" w:eastAsia="仿宋_GB2312" w:cs="宋体"/>
          <w:sz w:val="32"/>
          <w:szCs w:val="32"/>
        </w:rPr>
        <w:t>105.2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2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3" w:name="PO_part3A3B1C1qzPercent2"/>
      <w:r>
        <w:rPr>
          <w:rFonts w:ascii="仿宋_GB2312" w:hAnsi="宋体" w:eastAsia="仿宋_GB2312" w:cs="宋体"/>
          <w:sz w:val="32"/>
          <w:szCs w:val="32"/>
        </w:rPr>
        <w:t>98.6%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3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4" w:name="PO_part3A3B1C1IncAmount3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ascii="仿宋_GB2312" w:hAnsi="宋体" w:eastAsia="仿宋_GB2312" w:cs="宋体"/>
          <w:sz w:val="32"/>
          <w:szCs w:val="32"/>
        </w:rPr>
        <w:t>3.09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4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5" w:name="PO_part3A3B1C1IncPercent3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ascii="仿宋_GB2312" w:hAnsi="宋体" w:eastAsia="仿宋_GB2312" w:cs="宋体"/>
          <w:sz w:val="32"/>
          <w:szCs w:val="32"/>
        </w:rPr>
        <w:t>2.9%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5"/>
      <w:r>
        <w:rPr>
          <w:rFonts w:hint="eastAsia" w:ascii="仿宋_GB2312" w:hAnsi="宋体" w:eastAsia="仿宋_GB2312" w:cs="宋体"/>
          <w:sz w:val="32"/>
          <w:szCs w:val="32"/>
        </w:rPr>
        <w:t>；其中：公务用车购置支出决算为</w:t>
      </w:r>
      <w:bookmarkStart w:id="16" w:name="PO_part3A3B1C1qzAmount4"/>
      <w:r>
        <w:rPr>
          <w:rFonts w:ascii="仿宋_GB2312" w:hAnsi="宋体" w:eastAsia="仿宋_GB2312" w:cs="宋体"/>
          <w:sz w:val="32"/>
          <w:szCs w:val="32"/>
        </w:rPr>
        <w:t>35.99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6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7" w:name="PO_part3A3B1C1qzysAmount4"/>
      <w:r>
        <w:rPr>
          <w:rFonts w:ascii="仿宋_GB2312" w:hAnsi="宋体" w:eastAsia="仿宋_GB2312" w:cs="宋体"/>
          <w:sz w:val="32"/>
          <w:szCs w:val="32"/>
        </w:rPr>
        <w:t>36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7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8" w:name="PO_part3A3B1C1qzPerce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99.97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8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9" w:name="PO_part3A3B1C1IncAmount4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ascii="仿宋_GB2312" w:hAnsi="宋体" w:eastAsia="仿宋_GB2312" w:cs="宋体"/>
          <w:sz w:val="32"/>
          <w:szCs w:val="32"/>
        </w:rPr>
        <w:t>9.01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9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0" w:name="PO_part3A3B1C1IncPercent4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ascii="仿宋_GB2312" w:hAnsi="宋体" w:eastAsia="仿宋_GB2312" w:cs="宋体"/>
          <w:sz w:val="32"/>
          <w:szCs w:val="32"/>
        </w:rPr>
        <w:t>20%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0"/>
      <w:r>
        <w:rPr>
          <w:rFonts w:hint="eastAsia" w:ascii="仿宋_GB2312" w:hAnsi="宋体" w:eastAsia="仿宋_GB2312" w:cs="宋体"/>
          <w:sz w:val="32"/>
          <w:szCs w:val="32"/>
        </w:rPr>
        <w:t>；公务用车运行维护费支出决算为</w:t>
      </w:r>
      <w:bookmarkStart w:id="21" w:name="PO_part3A3B1C1qzAmount5"/>
      <w:r>
        <w:rPr>
          <w:rFonts w:ascii="仿宋_GB2312" w:hAnsi="宋体" w:eastAsia="仿宋_GB2312" w:cs="宋体"/>
          <w:sz w:val="32"/>
          <w:szCs w:val="32"/>
        </w:rPr>
        <w:t>67.74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1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22" w:name="PO_part3A3B1C1qzysAmount5"/>
      <w:r>
        <w:rPr>
          <w:rFonts w:ascii="仿宋_GB2312" w:hAnsi="宋体" w:eastAsia="仿宋_GB2312" w:cs="宋体"/>
          <w:sz w:val="32"/>
          <w:szCs w:val="32"/>
        </w:rPr>
        <w:t>69.2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2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3" w:name="PO_part3A3B1C1qzPercent5"/>
      <w:r>
        <w:rPr>
          <w:rFonts w:ascii="仿宋_GB2312" w:hAnsi="宋体" w:eastAsia="仿宋_GB2312" w:cs="宋体"/>
          <w:sz w:val="32"/>
          <w:szCs w:val="32"/>
        </w:rPr>
        <w:t>97.9%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3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4" w:name="PO_part3A3B1C1IncAmount5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5.92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4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5" w:name="PO_part3A3B1C1IncPercent5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9.6%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5"/>
      <w:r>
        <w:rPr>
          <w:rFonts w:hint="eastAsia" w:ascii="仿宋_GB2312" w:hAnsi="宋体" w:eastAsia="仿宋_GB2312" w:cs="宋体"/>
          <w:sz w:val="32"/>
          <w:szCs w:val="32"/>
        </w:rPr>
        <w:t>；公务接待费支出决算</w:t>
      </w:r>
      <w:bookmarkStart w:id="59" w:name="_GoBack"/>
      <w:bookmarkEnd w:id="59"/>
      <w:r>
        <w:rPr>
          <w:rFonts w:hint="eastAsia" w:ascii="仿宋_GB2312" w:hAnsi="宋体" w:eastAsia="仿宋_GB2312" w:cs="宋体"/>
          <w:sz w:val="32"/>
          <w:szCs w:val="32"/>
        </w:rPr>
        <w:t>为</w:t>
      </w:r>
      <w:bookmarkStart w:id="26" w:name="PO_part3A3B1C1qzAmount3"/>
      <w:r>
        <w:rPr>
          <w:rFonts w:ascii="仿宋_GB2312" w:hAnsi="宋体" w:eastAsia="仿宋_GB2312" w:cs="宋体"/>
          <w:sz w:val="32"/>
          <w:szCs w:val="32"/>
        </w:rPr>
        <w:t>0.88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6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27" w:name="PO_part3A3B1C1qzysAmount3"/>
      <w:r>
        <w:rPr>
          <w:rFonts w:ascii="仿宋_GB2312" w:hAnsi="宋体" w:eastAsia="仿宋_GB2312" w:cs="宋体"/>
          <w:sz w:val="32"/>
          <w:szCs w:val="32"/>
        </w:rPr>
        <w:t>6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7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8" w:name="PO_part3A3B1C1qzPercent3"/>
      <w:r>
        <w:rPr>
          <w:rFonts w:ascii="仿宋_GB2312" w:hAnsi="宋体" w:eastAsia="仿宋_GB2312" w:cs="宋体"/>
          <w:sz w:val="32"/>
          <w:szCs w:val="32"/>
        </w:rPr>
        <w:t>14.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7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8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9" w:name="PO_part3A3B1C1IncAmount6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ascii="仿宋_GB2312" w:hAnsi="宋体" w:eastAsia="仿宋_GB2312" w:cs="宋体"/>
          <w:sz w:val="32"/>
          <w:szCs w:val="32"/>
        </w:rPr>
        <w:t>1.96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9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30" w:name="PO_part3A3B1C1IncPercent6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ascii="仿宋_GB2312" w:hAnsi="宋体" w:eastAsia="仿宋_GB2312" w:cs="宋体"/>
          <w:sz w:val="32"/>
          <w:szCs w:val="32"/>
        </w:rPr>
        <w:t>69.1%。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0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31" w:name="PO_part3A3B1C1Year1"/>
      <w:r>
        <w:rPr>
          <w:rFonts w:hint="eastAsia"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1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32" w:name="PO_part3A3B1C1Diff1"/>
      <w:r>
        <w:rPr>
          <w:rFonts w:hint="eastAsia" w:ascii="仿宋_GB2312" w:hAnsi="宋体" w:eastAsia="仿宋_GB2312" w:cs="宋体"/>
          <w:sz w:val="32"/>
          <w:szCs w:val="32"/>
        </w:rPr>
        <w:t>小于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2"/>
      <w:r>
        <w:rPr>
          <w:rFonts w:hint="eastAsia" w:ascii="仿宋_GB2312" w:hAnsi="宋体" w:eastAsia="仿宋_GB2312" w:cs="宋体"/>
          <w:sz w:val="32"/>
          <w:szCs w:val="32"/>
        </w:rPr>
        <w:t>预算数的主要情况：</w:t>
      </w:r>
      <w:bookmarkStart w:id="33" w:name="PO_part3A3B1C1DiffReason1"/>
      <w:r>
        <w:rPr>
          <w:rFonts w:hint="eastAsia" w:ascii="仿宋_GB2312" w:hAnsi="宋体" w:eastAsia="仿宋_GB2312" w:cs="宋体"/>
          <w:sz w:val="32"/>
          <w:szCs w:val="32"/>
        </w:rPr>
        <w:t>认真贯彻落实中央八项规定精神和厉行节约的要求，从严控制“三公”经费开支，全年实际支出比预算有所节约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3"/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34" w:name="PO_part3A3B1C1Year2"/>
      <w:r>
        <w:rPr>
          <w:rFonts w:hint="eastAsia"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4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35" w:name="PO_part3A3B1C1Diff2"/>
      <w:r>
        <w:rPr>
          <w:rFonts w:hint="eastAsia" w:ascii="仿宋_GB2312" w:hAnsi="宋体" w:eastAsia="仿宋_GB2312" w:cs="宋体"/>
          <w:sz w:val="32"/>
          <w:szCs w:val="32"/>
        </w:rPr>
        <w:t>小于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5"/>
      <w:r>
        <w:rPr>
          <w:rFonts w:hint="eastAsia" w:ascii="仿宋_GB2312" w:hAnsi="宋体" w:eastAsia="仿宋_GB2312" w:cs="宋体"/>
          <w:sz w:val="32"/>
          <w:szCs w:val="32"/>
        </w:rPr>
        <w:t>上年决算数的主要情况：</w:t>
      </w:r>
      <w:bookmarkStart w:id="36" w:name="PO_part3A3B1C1DiffReason2"/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公务接待费0.88万元，比2021年度减少69.1%，原因是厉行节约；公务用车购置费35.98万元，比2021年减少20%，原因是2021年度购置中巴车，2022年度购置小汽车，车型不同购置标准不一样；公务用车运行维护费67.74万元，比2021年度增长9.6%，原因是受疫情影响，我局于2022年4月、5月、8月、9月、10月、11月均派出疫情防控专班深入一线，坚持“外防输入、内防反弹”不放松，全面消除风险隐患。疫情防控任务重，人员及车辆调配频繁，公车损耗大，因此公务用车运行维护费用有所增加，但并未超预算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6"/>
    </w:p>
    <w:p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  <w:t>二、</w:t>
      </w:r>
      <w:r>
        <w:rPr>
          <w:rFonts w:hint="eastAsia" w:ascii="仿宋_GB2312" w:hAnsi="宋体" w:eastAsia="仿宋_GB2312" w:cs="宋体"/>
          <w:b/>
          <w:sz w:val="32"/>
          <w:szCs w:val="32"/>
        </w:rPr>
        <w:t>“三公”经费财政拨款支出决算具体情况说明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37" w:name="PO_part3A3B2Year1"/>
      <w:r>
        <w:rPr>
          <w:rFonts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7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年度“三公”经费财政拨款支出决算中，因公出国（境）费</w:t>
      </w:r>
      <w:bookmarkStart w:id="38" w:name="PO_part3A3B2Amount1"/>
      <w:r>
        <w:rPr>
          <w:rFonts w:ascii="仿宋_GB2312" w:hAnsi="宋体" w:eastAsia="仿宋_GB2312" w:cs="宋体"/>
          <w:sz w:val="32"/>
          <w:szCs w:val="32"/>
        </w:rPr>
        <w:t>0万元，占0%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8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</w:t>
      </w:r>
      <w:bookmarkStart w:id="39" w:name="PO_part3A3B2Amount2"/>
      <w:r>
        <w:rPr>
          <w:rFonts w:ascii="仿宋_GB2312" w:hAnsi="宋体" w:eastAsia="仿宋_GB2312" w:cs="宋体"/>
          <w:sz w:val="32"/>
          <w:szCs w:val="32"/>
        </w:rPr>
        <w:t>103.73万元，占99.2%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9"/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bookmarkStart w:id="40" w:name="PO_part3A3B2Amount3"/>
      <w:r>
        <w:rPr>
          <w:rFonts w:ascii="仿宋_GB2312" w:hAnsi="宋体" w:eastAsia="仿宋_GB2312" w:cs="宋体"/>
          <w:sz w:val="32"/>
          <w:szCs w:val="32"/>
        </w:rPr>
        <w:t>0.88万元，占0.8%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0"/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</w:t>
      </w:r>
      <w:bookmarkStart w:id="41" w:name="PO_part3A3B2C1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1"/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万元。全年使用财政拨款安排出国（境）团组</w:t>
      </w:r>
      <w:bookmarkStart w:id="42" w:name="PO_part3A3B2C1Jgcg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2"/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bookmarkStart w:id="43" w:name="PO_part3A3B2C1JgcgMan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3"/>
      <w:r>
        <w:rPr>
          <w:rFonts w:hint="eastAsia" w:ascii="仿宋_GB2312" w:hAnsi="宋体" w:eastAsia="仿宋_GB2312" w:cs="宋体"/>
          <w:sz w:val="32"/>
          <w:szCs w:val="32"/>
        </w:rPr>
        <w:t>人次</w:t>
      </w:r>
      <w:bookmarkStart w:id="44" w:name="PO_part3A3B2C1D1Meeting1"/>
      <w:r>
        <w:rPr>
          <w:rFonts w:hint="eastAsia" w:ascii="仿宋_GB2312" w:hAnsi="宋体" w:eastAsia="仿宋_GB2312" w:cs="宋体"/>
          <w:sz w:val="32"/>
          <w:szCs w:val="32"/>
        </w:rPr>
        <w:t xml:space="preserve">。 </w:t>
      </w:r>
      <w:bookmarkEnd w:id="44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</w:t>
      </w:r>
      <w:bookmarkStart w:id="45" w:name="PO_part3A3B2C2Amount1"/>
      <w:r>
        <w:rPr>
          <w:rFonts w:ascii="仿宋_GB2312" w:hAnsi="宋体" w:eastAsia="仿宋_GB2312" w:cs="宋体"/>
          <w:sz w:val="32"/>
          <w:szCs w:val="32"/>
        </w:rPr>
        <w:t>103.73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5"/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bookmarkStart w:id="46" w:name="PO_part3A3B2C2D1Amount1"/>
      <w:r>
        <w:rPr>
          <w:rFonts w:ascii="仿宋_GB2312" w:hAnsi="宋体" w:eastAsia="仿宋_GB2312" w:cs="宋体"/>
          <w:sz w:val="32"/>
          <w:szCs w:val="32"/>
        </w:rPr>
        <w:t>35.99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6"/>
      <w:r>
        <w:rPr>
          <w:rFonts w:hint="eastAsia" w:ascii="仿宋_GB2312" w:hAnsi="宋体" w:eastAsia="仿宋_GB2312" w:cs="宋体"/>
          <w:sz w:val="32"/>
          <w:szCs w:val="32"/>
        </w:rPr>
        <w:t>万元，公务用车购置数</w:t>
      </w:r>
      <w:bookmarkStart w:id="47" w:name="PO_part3A3B2C2D1CarCount1"/>
      <w:r>
        <w:rPr>
          <w:rFonts w:ascii="仿宋_GB2312" w:hAnsi="宋体" w:eastAsia="仿宋_GB2312" w:cs="宋体"/>
          <w:sz w:val="32"/>
          <w:szCs w:val="32"/>
        </w:rPr>
        <w:t>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7"/>
      <w:r>
        <w:rPr>
          <w:rFonts w:hint="eastAsia" w:ascii="仿宋_GB2312" w:hAnsi="宋体" w:eastAsia="仿宋_GB2312" w:cs="宋体"/>
          <w:sz w:val="32"/>
          <w:szCs w:val="32"/>
        </w:rPr>
        <w:t>辆。公务用车运行维护费支出</w:t>
      </w:r>
      <w:bookmarkStart w:id="48" w:name="PO_part3A3B2C2D2Amount1"/>
      <w:r>
        <w:rPr>
          <w:rFonts w:ascii="仿宋_GB2312" w:hAnsi="宋体" w:eastAsia="仿宋_GB2312" w:cs="宋体"/>
          <w:sz w:val="32"/>
          <w:szCs w:val="32"/>
        </w:rPr>
        <w:t>67.74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8"/>
      <w:r>
        <w:rPr>
          <w:rFonts w:hint="eastAsia" w:ascii="仿宋_GB2312" w:hAnsi="宋体" w:eastAsia="仿宋_GB2312" w:cs="宋体"/>
          <w:sz w:val="32"/>
          <w:szCs w:val="32"/>
        </w:rPr>
        <w:t>万元，公务用车保有量为</w:t>
      </w:r>
      <w:bookmarkStart w:id="49" w:name="PO_part3A3B2C2D2CarCount1"/>
      <w:r>
        <w:rPr>
          <w:rFonts w:ascii="仿宋_GB2312" w:hAnsi="宋体" w:eastAsia="仿宋_GB2312" w:cs="宋体"/>
          <w:sz w:val="32"/>
          <w:szCs w:val="32"/>
        </w:rPr>
        <w:t>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9"/>
      <w:r>
        <w:rPr>
          <w:rFonts w:hint="eastAsia" w:ascii="仿宋_GB2312" w:hAnsi="宋体" w:eastAsia="仿宋_GB2312" w:cs="宋体"/>
          <w:sz w:val="32"/>
          <w:szCs w:val="32"/>
        </w:rPr>
        <w:t>辆，主要用于</w:t>
      </w:r>
      <w:bookmarkStart w:id="50" w:name="PO_part3A3B2C2D2Use1"/>
      <w:r>
        <w:rPr>
          <w:rFonts w:hint="eastAsia" w:ascii="仿宋_GB2312" w:hAnsi="宋体" w:eastAsia="仿宋_GB2312" w:cs="宋体"/>
          <w:sz w:val="32"/>
          <w:szCs w:val="32"/>
        </w:rPr>
        <w:t>一般公务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用车</w:t>
      </w:r>
      <w:r>
        <w:rPr>
          <w:rFonts w:hint="eastAsia" w:ascii="仿宋_GB2312" w:hAnsi="宋体" w:eastAsia="仿宋_GB2312" w:cs="宋体"/>
          <w:sz w:val="32"/>
          <w:szCs w:val="32"/>
        </w:rPr>
        <w:t>和一般执法执勤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用车的</w:t>
      </w:r>
      <w:r>
        <w:rPr>
          <w:rFonts w:hint="eastAsia" w:ascii="仿宋_GB2312" w:hAnsi="宋体" w:eastAsia="仿宋_GB2312" w:cs="宋体"/>
          <w:sz w:val="32"/>
          <w:szCs w:val="32"/>
        </w:rPr>
        <w:t>加油费用、购买保险费用以及维修费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用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公务用车</w:t>
      </w:r>
      <w:r>
        <w:rPr>
          <w:rFonts w:hint="eastAsia" w:ascii="仿宋_GB2312" w:hAnsi="宋体" w:eastAsia="仿宋_GB2312" w:cs="宋体"/>
          <w:sz w:val="32"/>
          <w:szCs w:val="32"/>
        </w:rPr>
        <w:t>保有量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22辆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与</w:t>
      </w:r>
      <w:r>
        <w:rPr>
          <w:rFonts w:hint="eastAsia" w:ascii="仿宋_GB2312" w:hAnsi="宋体" w:eastAsia="仿宋_GB2312" w:cs="宋体"/>
          <w:sz w:val="32"/>
          <w:szCs w:val="32"/>
        </w:rPr>
        <w:t>国有资产占有情况中的车辆数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42辆</w:t>
      </w:r>
      <w:r>
        <w:rPr>
          <w:rFonts w:hint="eastAsia" w:ascii="仿宋_GB2312" w:hAnsi="宋体" w:eastAsia="仿宋_GB2312" w:cs="宋体"/>
          <w:sz w:val="32"/>
          <w:szCs w:val="32"/>
        </w:rPr>
        <w:t>不一致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相差20辆的原因是：</w:t>
      </w:r>
      <w:r>
        <w:rPr>
          <w:rFonts w:hint="eastAsia" w:ascii="仿宋_GB2312" w:hAnsi="宋体" w:eastAsia="仿宋_GB2312" w:cs="宋体"/>
          <w:sz w:val="32"/>
          <w:szCs w:val="32"/>
        </w:rPr>
        <w:t>5辆为摩托车，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15辆</w:t>
      </w:r>
      <w:r>
        <w:rPr>
          <w:rFonts w:hint="eastAsia" w:ascii="仿宋_GB2312" w:hAnsi="宋体" w:eastAsia="仿宋_GB2312" w:cs="宋体"/>
          <w:sz w:val="32"/>
          <w:szCs w:val="32"/>
        </w:rPr>
        <w:t>为待处置车辆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50"/>
    </w:p>
    <w:p>
      <w:pPr>
        <w:ind w:firstLine="640" w:firstLineChars="200"/>
        <w:jc w:val="left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bookmarkStart w:id="51" w:name="PO_part3A3B2C3Amount1"/>
      <w:r>
        <w:rPr>
          <w:rFonts w:ascii="仿宋_GB2312" w:hAnsi="宋体" w:eastAsia="仿宋_GB2312" w:cs="宋体"/>
          <w:sz w:val="32"/>
          <w:szCs w:val="32"/>
        </w:rPr>
        <w:t>0.88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1"/>
      <w:r>
        <w:rPr>
          <w:rFonts w:hint="eastAsia" w:ascii="仿宋_GB2312" w:hAnsi="宋体" w:eastAsia="仿宋_GB2312" w:cs="宋体"/>
          <w:sz w:val="32"/>
          <w:szCs w:val="32"/>
        </w:rPr>
        <w:t>万元，主要用于</w:t>
      </w:r>
      <w:bookmarkStart w:id="52" w:name="PO_part3A3B2C3Detail1"/>
      <w:r>
        <w:rPr>
          <w:rFonts w:hint="eastAsia" w:ascii="仿宋_GB2312" w:hAnsi="宋体" w:eastAsia="仿宋_GB2312" w:cs="宋体"/>
          <w:sz w:val="32"/>
          <w:szCs w:val="32"/>
        </w:rPr>
        <w:t>上级单位检查和相关单位交流工作等方面的接待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2"/>
      <w:r>
        <w:rPr>
          <w:rFonts w:hint="eastAsia" w:ascii="仿宋_GB2312" w:hAnsi="宋体" w:eastAsia="仿宋_GB2312" w:cs="宋体"/>
          <w:sz w:val="32"/>
          <w:szCs w:val="32"/>
        </w:rPr>
        <w:t>，共接待国外、境外来访团组</w:t>
      </w:r>
      <w:bookmarkStart w:id="53" w:name="PO_part3A3B2C3Lfzt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3"/>
      <w:r>
        <w:rPr>
          <w:rFonts w:hint="eastAsia" w:ascii="仿宋_GB2312" w:hAnsi="宋体" w:eastAsia="仿宋_GB2312" w:cs="宋体"/>
          <w:sz w:val="32"/>
          <w:szCs w:val="32"/>
        </w:rPr>
        <w:t>个，来访外宾</w:t>
      </w:r>
      <w:bookmarkStart w:id="54" w:name="PO_part3A3B2C3Lfwb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4"/>
      <w:r>
        <w:rPr>
          <w:rFonts w:hint="eastAsia" w:ascii="仿宋_GB2312" w:hAnsi="宋体" w:eastAsia="仿宋_GB2312" w:cs="宋体"/>
          <w:sz w:val="32"/>
          <w:szCs w:val="32"/>
        </w:rPr>
        <w:t>人次；发生国内接待</w:t>
      </w:r>
      <w:bookmarkStart w:id="55" w:name="PO_part3A3B2C3GnjdCount1"/>
      <w:r>
        <w:rPr>
          <w:rFonts w:ascii="仿宋_GB2312" w:hAnsi="宋体" w:eastAsia="仿宋_GB2312" w:cs="宋体"/>
          <w:sz w:val="32"/>
          <w:szCs w:val="32"/>
        </w:rPr>
        <w:t>10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5"/>
      <w:r>
        <w:rPr>
          <w:rFonts w:hint="eastAsia" w:ascii="仿宋_GB2312" w:hAnsi="宋体" w:eastAsia="仿宋_GB2312" w:cs="宋体"/>
          <w:sz w:val="32"/>
          <w:szCs w:val="32"/>
        </w:rPr>
        <w:t>次，接待人数共</w:t>
      </w:r>
      <w:bookmarkStart w:id="56" w:name="PO_part3A3B2C3GnjdManCount1"/>
      <w:r>
        <w:rPr>
          <w:rFonts w:ascii="仿宋_GB2312" w:hAnsi="宋体" w:eastAsia="仿宋_GB2312" w:cs="宋体"/>
          <w:sz w:val="32"/>
          <w:szCs w:val="32"/>
        </w:rPr>
        <w:t>88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6"/>
      <w:r>
        <w:rPr>
          <w:rFonts w:hint="eastAsia" w:ascii="仿宋_GB2312" w:hAnsi="宋体" w:eastAsia="仿宋_GB2312" w:cs="宋体"/>
          <w:sz w:val="32"/>
          <w:szCs w:val="32"/>
        </w:rPr>
        <w:t>人。</w:t>
      </w:r>
      <w:bookmarkStart w:id="57" w:name="PO_part3A3B2C3GnjdInclude1"/>
      <w:r>
        <w:rPr>
          <w:rFonts w:hint="eastAsia" w:ascii="仿宋_GB2312" w:hAnsi="宋体" w:eastAsia="仿宋_GB2312" w:cs="宋体"/>
          <w:sz w:val="32"/>
          <w:szCs w:val="32"/>
        </w:rPr>
        <w:t>主要包括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上级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各项业务检查以及相关单位业务交流学习等产生的接待费用。 </w:t>
      </w:r>
      <w:bookmarkEnd w:id="57"/>
    </w:p>
    <w:p>
      <w:pPr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288" w:lineRule="auto"/>
        <w:rPr>
          <w:rFonts w:hint="eastAsia" w:ascii="宋体" w:hAnsi="宋体" w:cs="宋体"/>
        </w:rPr>
      </w:pPr>
      <w:bookmarkStart w:id="58" w:name="PO_part2Table9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：湛江市交通运输局（本级） 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111.20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105.20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69.20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104.61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103.73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35.99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67.74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0.88</w:t>
            </w:r>
          </w:p>
        </w:tc>
      </w:tr>
    </w:tbl>
    <w:p>
      <w:pPr>
        <w:spacing w:line="360" w:lineRule="auto"/>
        <w:ind w:firstLine="840" w:firstLineChars="4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注：本表反映单位本年度财政拨款“三公”经费支出预决算情况。其中，预算数为“三公”经费全年预算数，反映按规定程序调整后的预算数；决算数是包括当年财政拨款和以前年度结转资金安排的实际支出。 </w:t>
      </w:r>
      <w:r>
        <w:rPr>
          <w:rFonts w:hint="eastAsia" w:ascii="宋体" w:hAnsi="宋体" w:cs="宋体"/>
          <w:sz w:val="28"/>
          <w:szCs w:val="28"/>
        </w:rPr>
        <w:t xml:space="preserve"> </w:t>
      </w:r>
      <w:bookmarkEnd w:id="58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YTY1YWMxYTM1ZmNkNGY0MWE5MzgxMTJlZjQwNmIifQ=="/>
  </w:docVars>
  <w:rsids>
    <w:rsidRoot w:val="77817FC0"/>
    <w:rsid w:val="074731B9"/>
    <w:rsid w:val="0A6A040A"/>
    <w:rsid w:val="0B4A7984"/>
    <w:rsid w:val="1FE62FE2"/>
    <w:rsid w:val="26DB60FD"/>
    <w:rsid w:val="305232DD"/>
    <w:rsid w:val="35B11F04"/>
    <w:rsid w:val="432B1D63"/>
    <w:rsid w:val="46CD691B"/>
    <w:rsid w:val="4CB41B97"/>
    <w:rsid w:val="51595C71"/>
    <w:rsid w:val="71C97C97"/>
    <w:rsid w:val="733E7BB3"/>
    <w:rsid w:val="77817FC0"/>
    <w:rsid w:val="780C2DEC"/>
    <w:rsid w:val="7CE3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qFormat/>
    <w:uiPriority w:val="0"/>
    <w:pPr>
      <w:textAlignment w:val="baseline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1325</Words>
  <Characters>1558</Characters>
  <Lines>0</Lines>
  <Paragraphs>0</Paragraphs>
  <TotalTime>1</TotalTime>
  <ScaleCrop>false</ScaleCrop>
  <LinksUpToDate>false</LinksUpToDate>
  <CharactersWithSpaces>1622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2021-09-09T03:34:00Z</dcterms:created>
  <dc:creator>琉璃雪</dc:creator>
  <cp:lastModifiedBy>庄翠花</cp:lastModifiedBy>
  <dcterms:modified xsi:type="dcterms:W3CDTF">2024-03-12T01:33:08Z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A1195C09A982484EA4EBE8A1534CCC07_13</vt:lpwstr>
  </property>
</Properties>
</file>