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湛江市商务局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年度“三公”经费预算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情况及说明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W w:w="10496" w:type="dxa"/>
        <w:tblInd w:w="-7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2"/>
        <w:gridCol w:w="1296"/>
        <w:gridCol w:w="1296"/>
        <w:gridCol w:w="1296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财政拨款安排的行政经费及“三公”经费预算表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单位名称：湛江市商务局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  目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政府性基金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国有资本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行政经费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其中：（一）因公出国（境）支出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（二）公务用车购置及运行维护支出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1.公务用车购置费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（三）公务接待费支出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2024年本部门财政拨款安排“三公”经费46.6万元，比上年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减少3.7万元，下降7.36%，主要原因是减少公务用车购置费和疫情开放后，经贸活动增加，故因公出国（境）费增加。其中：因公出国（境）费30万元，比上年增加20万元，增长200.0%，主要原因是经贸活动增加，故因公出国（境）费增加；公务用车购置及运行维护费11.6万元（公务用车购置费0万元，比上年减少18万元；公务用车运行维护费11.6万元，比上年减少3.7万元。）比上年减少21.7万元，下降65.17%，主要原因是减少公务用车购置费；公务接待费5万元，比上年减少2万元，下降28.57%，主要原因是据工作需要，本年度业务活动减少，公务接待任务相应减少。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NmI5ZThjYzA2M2ZlZmRkNzU4NGEzYjZlYWQ2NDkifQ=="/>
  </w:docVars>
  <w:rsids>
    <w:rsidRoot w:val="3FE970F7"/>
    <w:rsid w:val="00CE53F6"/>
    <w:rsid w:val="00DA71D6"/>
    <w:rsid w:val="00F55516"/>
    <w:rsid w:val="12BD5A60"/>
    <w:rsid w:val="2ACA2F7C"/>
    <w:rsid w:val="338E49B6"/>
    <w:rsid w:val="3FE970F7"/>
    <w:rsid w:val="45C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2"/>
    <w:basedOn w:val="2"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612</Characters>
  <Lines>5</Lines>
  <Paragraphs>1</Paragraphs>
  <TotalTime>15</TotalTime>
  <ScaleCrop>false</ScaleCrop>
  <LinksUpToDate>false</LinksUpToDate>
  <CharactersWithSpaces>718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2023-03-07T10:00:00Z</dcterms:created>
  <dc:creator>猫一样的momo</dc:creator>
  <cp:lastModifiedBy>木子、哇哒</cp:lastModifiedBy>
  <dcterms:modified xsi:type="dcterms:W3CDTF">2024-03-06T14:22:23Z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AE69F993A67649F98B3AED6EF7C64C9A_13</vt:lpwstr>
  </property>
</Properties>
</file>