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highlight w:val="none"/>
        </w:rPr>
      </w:pPr>
    </w:p>
    <w:p>
      <w:pPr>
        <w:pStyle w:val="2"/>
        <w:ind w:left="0" w:leftChars="0" w:firstLine="0" w:firstLineChars="0"/>
        <w:rPr>
          <w:rFonts w:ascii="方正小标宋简体" w:eastAsia="方正小标宋简体"/>
          <w:sz w:val="52"/>
          <w:szCs w:val="52"/>
          <w:highlight w:val="none"/>
        </w:rPr>
      </w:pPr>
    </w:p>
    <w:p>
      <w:pPr>
        <w:pStyle w:val="2"/>
        <w:ind w:left="0" w:leftChars="0" w:firstLine="0" w:firstLineChars="0"/>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lang w:val="en-US" w:eastAsia="zh-CN"/>
        </w:rPr>
      </w:pPr>
      <w:r>
        <w:rPr>
          <w:rFonts w:hint="eastAsia" w:asciiTheme="minorEastAsia" w:hAnsiTheme="minorEastAsia" w:eastAsiaTheme="minorEastAsia"/>
          <w:b/>
          <w:bCs/>
          <w:sz w:val="36"/>
          <w:szCs w:val="36"/>
          <w:highlight w:val="none"/>
          <w:lang w:val="en-US" w:eastAsia="zh-CN"/>
        </w:rPr>
        <w:t>湛江市土地储备管理中心</w:t>
      </w:r>
    </w:p>
    <w:p>
      <w:pPr>
        <w:jc w:val="center"/>
        <w:rPr>
          <w:rFonts w:ascii="Times New Roman" w:hAnsi="Times New Roman" w:eastAsia="仿宋_GB2312"/>
          <w:b/>
          <w:kern w:val="0"/>
          <w:sz w:val="36"/>
          <w:szCs w:val="36"/>
          <w:highlight w:val="none"/>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年度</w:t>
      </w:r>
      <w:r>
        <w:rPr>
          <w:rFonts w:hint="eastAsia" w:asciiTheme="minorEastAsia" w:hAnsiTheme="minorEastAsia" w:eastAsiaTheme="minorEastAsia"/>
          <w:b/>
          <w:bCs/>
          <w:sz w:val="36"/>
          <w:szCs w:val="36"/>
          <w:highlight w:val="none"/>
          <w:lang w:eastAsia="zh-CN"/>
        </w:rPr>
        <w:t>部门</w:t>
      </w:r>
      <w:r>
        <w:rPr>
          <w:rFonts w:hint="eastAsia" w:asciiTheme="minorEastAsia" w:hAnsiTheme="minorEastAsia" w:eastAsiaTheme="minorEastAsia"/>
          <w:b/>
          <w:bCs/>
          <w:sz w:val="36"/>
          <w:szCs w:val="36"/>
          <w:highlight w:val="none"/>
        </w:rPr>
        <w:t>整体</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eastAsia="zh-CN"/>
        </w:rPr>
        <w:t>核查报告</w:t>
      </w: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pStyle w:val="2"/>
        <w:rPr>
          <w:rFonts w:ascii="Times New Roman" w:hAnsi="Times New Roman" w:eastAsia="仿宋_GB2312"/>
          <w:kern w:val="0"/>
          <w:sz w:val="32"/>
          <w:szCs w:val="32"/>
          <w:highlight w:val="none"/>
        </w:rPr>
      </w:pPr>
    </w:p>
    <w:p>
      <w:pPr>
        <w:pStyle w:val="2"/>
        <w:rPr>
          <w:rFonts w:ascii="Times New Roman" w:hAnsi="Times New Roman" w:eastAsia="仿宋_GB2312"/>
          <w:kern w:val="0"/>
          <w:sz w:val="32"/>
          <w:szCs w:val="32"/>
          <w:highlight w:val="none"/>
        </w:rPr>
      </w:pPr>
    </w:p>
    <w:p>
      <w:pPr>
        <w:pStyle w:val="2"/>
        <w:rPr>
          <w:rFonts w:ascii="Times New Roman" w:hAnsi="Times New Roman" w:eastAsia="仿宋_GB2312"/>
          <w:kern w:val="0"/>
          <w:sz w:val="32"/>
          <w:szCs w:val="32"/>
          <w:highlight w:val="none"/>
        </w:rPr>
      </w:pPr>
    </w:p>
    <w:p>
      <w:pPr>
        <w:pStyle w:val="2"/>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湛江市财政局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月</w:t>
      </w:r>
    </w:p>
    <w:p>
      <w:pPr>
        <w:pStyle w:val="2"/>
        <w:rPr>
          <w:rFonts w:hint="eastAsia"/>
          <w:lang w:eastAsia="zh-CN"/>
        </w:rPr>
      </w:pPr>
    </w:p>
    <w:sdt>
      <w:sdtPr>
        <w:rPr>
          <w:rFonts w:ascii="宋体" w:hAnsi="宋体" w:eastAsia="宋体" w:cs="Times New Roman"/>
          <w:kern w:val="2"/>
          <w:sz w:val="21"/>
          <w:szCs w:val="24"/>
          <w:highlight w:val="none"/>
          <w:lang w:val="en-US" w:eastAsia="zh-CN" w:bidi="ar-SA"/>
        </w:rPr>
        <w:id w:val="147451788"/>
        <w15:color w:val="DBDBDB"/>
        <w:docPartObj>
          <w:docPartGallery w:val="Table of Contents"/>
          <w:docPartUnique/>
        </w:docPartObj>
      </w:sdtPr>
      <w:sdtEndPr>
        <w:rPr>
          <w:rFonts w:ascii="宋体" w:hAnsi="宋体" w:eastAsia="宋体" w:cs="Times New Roman"/>
          <w:b/>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11"/>
            <w:tabs>
              <w:tab w:val="right" w:leader="dot" w:pos="9070"/>
            </w:tabs>
            <w:rPr>
              <w:rFonts w:hint="eastAsia" w:ascii="仿宋" w:hAnsi="仿宋" w:eastAsia="仿宋" w:cs="仿宋"/>
              <w:b/>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_Toc19058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val="en-US" w:eastAsia="zh-CN"/>
            </w:rPr>
            <w:t>一、基本情况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_Toc19058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1</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_Toc30136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（一）部门职能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_Toc30136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（二）机构及人员设置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_Toc17615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（三）部门整体支出绩效</w:t>
          </w:r>
          <w:r>
            <w:rPr>
              <w:rFonts w:hint="eastAsia" w:ascii="仿宋" w:hAnsi="仿宋" w:eastAsia="仿宋" w:cs="仿宋"/>
              <w:sz w:val="28"/>
              <w:szCs w:val="28"/>
              <w:highlight w:val="none"/>
            </w:rPr>
            <w:t>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_Toc13952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_Toc3963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（四）部门整体收支情况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_Toc22929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核查工作开展情况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_Toc22929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3</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_Toc7852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评价</w:t>
          </w:r>
          <w:r>
            <w:rPr>
              <w:rFonts w:hint="eastAsia" w:ascii="仿宋" w:hAnsi="仿宋" w:eastAsia="仿宋" w:cs="仿宋"/>
              <w:sz w:val="28"/>
              <w:szCs w:val="28"/>
              <w:highlight w:val="none"/>
            </w:rPr>
            <w:t>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_Toc7852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_Toc15857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（二）评价</w:t>
          </w:r>
          <w:r>
            <w:rPr>
              <w:rFonts w:hint="eastAsia" w:ascii="仿宋" w:hAnsi="仿宋" w:eastAsia="仿宋" w:cs="仿宋"/>
              <w:sz w:val="28"/>
              <w:szCs w:val="28"/>
              <w:highlight w:val="none"/>
            </w:rPr>
            <w:t>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_Toc15857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_Toc19029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评价</w:t>
          </w:r>
          <w:r>
            <w:rPr>
              <w:rFonts w:hint="eastAsia" w:ascii="仿宋" w:hAnsi="仿宋" w:eastAsia="仿宋" w:cs="仿宋"/>
              <w:sz w:val="28"/>
              <w:szCs w:val="28"/>
              <w:highlight w:val="none"/>
            </w:rPr>
            <w:t>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_Toc19029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_Toc1218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eastAsia="zh-CN"/>
            </w:rPr>
            <w:t>三、核查结论</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_Toc1218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4</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1"/>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_Toc3612 </w:instrText>
          </w:r>
          <w:r>
            <w:rPr>
              <w:rFonts w:hint="eastAsia" w:ascii="仿宋" w:hAnsi="仿宋" w:eastAsia="仿宋" w:cs="仿宋"/>
              <w:b/>
              <w:sz w:val="28"/>
              <w:szCs w:val="28"/>
              <w:highlight w:val="none"/>
            </w:rPr>
            <w:fldChar w:fldCharType="separate"/>
          </w:r>
          <w:r>
            <w:rPr>
              <w:rFonts w:hint="eastAsia" w:ascii="仿宋" w:hAnsi="仿宋" w:eastAsia="仿宋" w:cs="仿宋"/>
              <w:b/>
              <w:kern w:val="2"/>
              <w:sz w:val="28"/>
              <w:szCs w:val="28"/>
              <w:highlight w:val="none"/>
              <w:lang w:eastAsia="zh-CN"/>
            </w:rPr>
            <w:t>四、</w:t>
          </w:r>
          <w:r>
            <w:rPr>
              <w:rFonts w:hint="eastAsia" w:ascii="仿宋" w:hAnsi="仿宋" w:eastAsia="仿宋" w:cs="仿宋"/>
              <w:b/>
              <w:kern w:val="2"/>
              <w:sz w:val="28"/>
              <w:szCs w:val="28"/>
              <w:highlight w:val="none"/>
            </w:rPr>
            <w:t>存在问题</w:t>
          </w:r>
          <w:r>
            <w:rPr>
              <w:rFonts w:hint="eastAsia" w:ascii="仿宋" w:hAnsi="仿宋" w:eastAsia="仿宋" w:cs="仿宋"/>
              <w:b/>
              <w:kern w:val="2"/>
              <w:sz w:val="28"/>
              <w:szCs w:val="28"/>
              <w:highlight w:val="none"/>
              <w:lang w:eastAsia="zh-CN"/>
            </w:rPr>
            <w:t>及相关建议</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_Toc3612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5</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_Toc18552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_Toc18552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_Toc24779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rPr>
            <w:t>（二）</w:t>
          </w:r>
          <w:r>
            <w:rPr>
              <w:rFonts w:hint="eastAsia" w:ascii="仿宋" w:hAnsi="仿宋" w:eastAsia="仿宋" w:cs="仿宋"/>
              <w:bCs/>
              <w:kern w:val="2"/>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_Toc24779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_Toc7568 </w:instrText>
          </w:r>
          <w:r>
            <w:rPr>
              <w:rFonts w:hint="eastAsia" w:ascii="仿宋" w:hAnsi="仿宋" w:eastAsia="仿宋" w:cs="仿宋"/>
              <w:b/>
              <w:sz w:val="28"/>
              <w:szCs w:val="28"/>
              <w:highlight w:val="none"/>
            </w:rPr>
            <w:fldChar w:fldCharType="separate"/>
          </w:r>
          <w:r>
            <w:rPr>
              <w:rFonts w:hint="eastAsia" w:ascii="仿宋" w:hAnsi="仿宋" w:eastAsia="仿宋" w:cs="仿宋"/>
              <w:b/>
              <w:bCs/>
              <w:kern w:val="2"/>
              <w:sz w:val="28"/>
              <w:szCs w:val="28"/>
              <w:highlight w:val="none"/>
            </w:rPr>
            <w:t>附件：</w:t>
          </w:r>
          <w:r>
            <w:rPr>
              <w:rFonts w:hint="eastAsia" w:ascii="仿宋" w:hAnsi="仿宋" w:eastAsia="仿宋" w:cs="仿宋"/>
              <w:b/>
              <w:bCs/>
              <w:kern w:val="2"/>
              <w:sz w:val="28"/>
              <w:szCs w:val="28"/>
              <w:highlight w:val="none"/>
              <w:lang w:val="en-US" w:eastAsia="zh-CN"/>
            </w:rPr>
            <w:t>湛江市土地储备管理中心2022年度部门整体支出绩效指标评分表</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_Toc7568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6</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rPr>
              <w:highlight w:val="none"/>
            </w:rPr>
          </w:pPr>
          <w:r>
            <w:rPr>
              <w:rFonts w:hint="eastAsia" w:ascii="仿宋" w:hAnsi="仿宋" w:eastAsia="仿宋" w:cs="仿宋"/>
              <w:b/>
              <w:sz w:val="28"/>
              <w:szCs w:val="28"/>
              <w:highlight w:val="none"/>
            </w:rPr>
            <w:fldChar w:fldCharType="end"/>
          </w:r>
        </w:p>
      </w:sdtContent>
    </w:sdt>
    <w:p>
      <w:pPr>
        <w:rPr>
          <w:rFonts w:hint="eastAsia" w:eastAsia="宋体"/>
          <w:highlight w:val="none"/>
          <w:lang w:eastAsia="zh-CN"/>
        </w:rPr>
        <w:sectPr>
          <w:headerReference r:id="rId3" w:type="default"/>
          <w:footerReference r:id="rId4" w:type="default"/>
          <w:pgSz w:w="11906" w:h="16838"/>
          <w:pgMar w:top="1418" w:right="1418" w:bottom="1418" w:left="1418" w:header="851" w:footer="992" w:gutter="0"/>
          <w:pgNumType w:fmt="decimal" w:start="1"/>
          <w:cols w:space="720" w:num="1"/>
          <w:docGrid w:type="lines" w:linePitch="312" w:charSpace="0"/>
        </w:sectPr>
      </w:pPr>
    </w:p>
    <w:tbl>
      <w:tblPr>
        <w:tblStyle w:val="8"/>
        <w:tblW w:w="0" w:type="auto"/>
        <w:jc w:val="center"/>
        <w:tblLayout w:type="fixed"/>
        <w:tblCellMar>
          <w:top w:w="0" w:type="dxa"/>
          <w:left w:w="108" w:type="dxa"/>
          <w:bottom w:w="0" w:type="dxa"/>
          <w:right w:w="108" w:type="dxa"/>
        </w:tblCellMar>
      </w:tblPr>
      <w:tblGrid>
        <w:gridCol w:w="1276"/>
        <w:gridCol w:w="7226"/>
      </w:tblGrid>
      <w:tr>
        <w:trPr>
          <w:cantSplit/>
          <w:trHeight w:val="629" w:hRule="atLeast"/>
          <w:jc w:val="center"/>
        </w:trPr>
        <w:tc>
          <w:tcPr>
            <w:tcW w:w="1276" w:type="dxa"/>
            <w:vMerge w:val="restart"/>
          </w:tcPr>
          <w:tbl>
            <w:tblPr>
              <w:tblStyle w:val="8"/>
              <w:tblW w:w="0" w:type="auto"/>
              <w:tblInd w:w="0" w:type="dxa"/>
              <w:tblLayout w:type="fixed"/>
              <w:tblCellMar>
                <w:top w:w="0" w:type="dxa"/>
                <w:left w:w="108" w:type="dxa"/>
                <w:bottom w:w="0" w:type="dxa"/>
                <w:right w:w="108" w:type="dxa"/>
              </w:tblCellMar>
            </w:tblPr>
            <w:tblGrid>
              <w:gridCol w:w="2522"/>
              <w:gridCol w:w="2522"/>
            </w:tblGrid>
            <w:tr>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59264" behindDoc="0" locked="0" layoutInCell="1" allowOverlap="1">
                        <wp:simplePos x="0" y="0"/>
                        <wp:positionH relativeFrom="column">
                          <wp:posOffset>-62865</wp:posOffset>
                        </wp:positionH>
                        <wp:positionV relativeFrom="paragraph">
                          <wp:posOffset>-1270</wp:posOffset>
                        </wp:positionV>
                        <wp:extent cx="695325" cy="695325"/>
                        <wp:effectExtent l="0" t="0" r="15875" b="15875"/>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0288;mso-width-relative:page;mso-height-relative:page;" filled="f" stroked="t" coordsize="21600,21600" o:gfxdata="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oJqHW2AAAAAgBAAAPAAAAAAAAAAEAIAAAADgAAABk&#10;cnMvZG93bnJldi54bWxQSwECFAAUAAAACACHTuJAczO++PABAAC+AwAADgAAAAAAAAABACAAAAA9&#10;AQAAZHJzL2Uyb0RvYy54bWxQSwUGAAAAAAYABgBZAQAAnwUAAAAA&#10;">
                      <v:fill on="f" focussize="0,0"/>
                      <v:stroke weight="1.5pt" color="#000000 [3200]" miterlimit="8" joinstyle="miter"/>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1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湛江市土地储备管理中心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2022年</w:t>
      </w:r>
      <w:r>
        <w:rPr>
          <w:rFonts w:hint="eastAsia" w:ascii="宋体" w:hAnsi="宋体" w:eastAsia="宋体" w:cs="宋体"/>
          <w:b/>
          <w:bCs/>
          <w:sz w:val="36"/>
          <w:szCs w:val="36"/>
          <w:highlight w:val="none"/>
        </w:rPr>
        <w:t>度</w:t>
      </w:r>
      <w:r>
        <w:rPr>
          <w:rFonts w:hint="eastAsia" w:ascii="宋体" w:hAnsi="宋体" w:cs="宋体"/>
          <w:b/>
          <w:bCs/>
          <w:sz w:val="36"/>
          <w:szCs w:val="36"/>
          <w:highlight w:val="none"/>
          <w:lang w:eastAsia="zh-CN"/>
        </w:rPr>
        <w:t>部门</w:t>
      </w:r>
      <w:r>
        <w:rPr>
          <w:rFonts w:hint="eastAsia" w:ascii="宋体" w:hAnsi="宋体" w:eastAsia="宋体" w:cs="宋体"/>
          <w:b/>
          <w:bCs/>
          <w:sz w:val="36"/>
          <w:szCs w:val="36"/>
          <w:highlight w:val="none"/>
        </w:rPr>
        <w:t>整体</w:t>
      </w:r>
      <w:r>
        <w:rPr>
          <w:rFonts w:hint="eastAsia" w:ascii="宋体" w:hAnsi="宋体" w:eastAsia="宋体" w:cs="宋体"/>
          <w:b/>
          <w:bCs/>
          <w:sz w:val="36"/>
          <w:szCs w:val="36"/>
          <w:highlight w:val="none"/>
          <w:lang w:eastAsia="zh-CN"/>
        </w:rPr>
        <w:t>支出</w:t>
      </w:r>
      <w:r>
        <w:rPr>
          <w:rFonts w:hint="eastAsia" w:ascii="宋体" w:hAnsi="宋体" w:eastAsia="宋体" w:cs="宋体"/>
          <w:b/>
          <w:bCs/>
          <w:sz w:val="36"/>
          <w:szCs w:val="36"/>
          <w:highlight w:val="none"/>
        </w:rPr>
        <w:t>绩效</w:t>
      </w:r>
      <w:r>
        <w:rPr>
          <w:rFonts w:hint="eastAsia" w:ascii="宋体" w:hAnsi="宋体" w:cs="宋体"/>
          <w:b/>
          <w:bCs/>
          <w:sz w:val="36"/>
          <w:szCs w:val="36"/>
          <w:highlight w:val="none"/>
          <w:lang w:eastAsia="zh-CN"/>
        </w:rPr>
        <w:t>核查</w:t>
      </w:r>
      <w:r>
        <w:rPr>
          <w:rFonts w:hint="eastAsia" w:ascii="宋体" w:hAnsi="宋体" w:eastAsia="宋体" w:cs="宋体"/>
          <w:b/>
          <w:bCs/>
          <w:sz w:val="36"/>
          <w:szCs w:val="36"/>
          <w:highlight w:val="none"/>
        </w:rPr>
        <w:t>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湛江市财政局：</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根据《国务院关于进一步深化预算管理制度改革的意见》（国发〔2021〕5号）、《广东省人民政府关于加强统筹进一步深化预算管理制度改革的实施意见》（粤府〔2021〕34 号）的文件精神，</w:t>
      </w:r>
      <w:r>
        <w:rPr>
          <w:rFonts w:hint="eastAsia" w:ascii="仿宋" w:hAnsi="仿宋" w:eastAsia="仿宋" w:cs="仿宋"/>
          <w:color w:val="auto"/>
          <w:kern w:val="2"/>
          <w:sz w:val="28"/>
          <w:szCs w:val="28"/>
          <w:highlight w:val="none"/>
          <w:lang w:eastAsia="zh-CN"/>
        </w:rPr>
        <w:t>按照湛江市财政局《湛江财政局关于开展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有关</w:t>
      </w:r>
      <w:r>
        <w:rPr>
          <w:rFonts w:hint="eastAsia" w:ascii="仿宋" w:hAnsi="仿宋" w:eastAsia="仿宋" w:cs="仿宋"/>
          <w:color w:val="auto"/>
          <w:kern w:val="2"/>
          <w:sz w:val="28"/>
          <w:szCs w:val="28"/>
          <w:highlight w:val="none"/>
          <w:lang w:eastAsia="zh-CN"/>
        </w:rPr>
        <w:t>通知</w:t>
      </w:r>
      <w:r>
        <w:rPr>
          <w:rFonts w:hint="eastAsia" w:ascii="仿宋" w:hAnsi="仿宋" w:eastAsia="仿宋" w:cs="仿宋"/>
          <w:color w:val="auto"/>
          <w:kern w:val="2"/>
          <w:sz w:val="28"/>
          <w:szCs w:val="28"/>
          <w:highlight w:val="none"/>
        </w:rPr>
        <w:t>要求，受</w:t>
      </w:r>
      <w:r>
        <w:rPr>
          <w:rFonts w:hint="eastAsia" w:ascii="仿宋" w:hAnsi="仿宋" w:eastAsia="仿宋" w:cs="仿宋"/>
          <w:color w:val="auto"/>
          <w:kern w:val="2"/>
          <w:sz w:val="28"/>
          <w:szCs w:val="28"/>
          <w:highlight w:val="none"/>
          <w:lang w:eastAsia="zh-CN"/>
        </w:rPr>
        <w:t>贵局</w:t>
      </w:r>
      <w:r>
        <w:rPr>
          <w:rFonts w:hint="eastAsia" w:ascii="仿宋" w:hAnsi="仿宋" w:eastAsia="仿宋" w:cs="仿宋"/>
          <w:color w:val="auto"/>
          <w:kern w:val="2"/>
          <w:sz w:val="28"/>
          <w:szCs w:val="28"/>
          <w:highlight w:val="none"/>
        </w:rPr>
        <w:t>委托，</w:t>
      </w:r>
      <w:r>
        <w:rPr>
          <w:rFonts w:hint="eastAsia" w:ascii="仿宋" w:hAnsi="仿宋" w:eastAsia="仿宋" w:cs="仿宋"/>
          <w:kern w:val="0"/>
          <w:sz w:val="28"/>
          <w:szCs w:val="28"/>
          <w:highlight w:val="none"/>
          <w:lang w:eastAsia="zh-CN"/>
        </w:rPr>
        <w:t>本事务所</w:t>
      </w:r>
      <w:r>
        <w:rPr>
          <w:rFonts w:hint="eastAsia" w:ascii="仿宋" w:hAnsi="仿宋" w:eastAsia="仿宋" w:cs="仿宋"/>
          <w:color w:val="auto"/>
          <w:sz w:val="28"/>
          <w:szCs w:val="28"/>
          <w:highlight w:val="none"/>
          <w:lang w:val="en-US" w:eastAsia="zh-CN"/>
        </w:rPr>
        <w:t>对湛江市土地储备管理中心2022年度部门整体支出绩效</w:t>
      </w:r>
      <w:r>
        <w:rPr>
          <w:rFonts w:hint="eastAsia" w:ascii="仿宋" w:hAnsi="仿宋" w:eastAsia="仿宋" w:cs="仿宋"/>
          <w:color w:val="auto"/>
          <w:sz w:val="28"/>
          <w:szCs w:val="28"/>
          <w:highlight w:val="none"/>
          <w:lang w:eastAsia="zh-CN"/>
        </w:rPr>
        <w:t>进行</w:t>
      </w:r>
      <w:r>
        <w:rPr>
          <w:rFonts w:hint="eastAsia" w:ascii="仿宋" w:hAnsi="仿宋" w:eastAsia="仿宋" w:cs="仿宋"/>
          <w:color w:val="auto"/>
          <w:sz w:val="28"/>
          <w:szCs w:val="28"/>
          <w:highlight w:val="none"/>
        </w:rPr>
        <w:t>评价</w:t>
      </w:r>
      <w:r>
        <w:rPr>
          <w:rFonts w:hint="eastAsia" w:ascii="仿宋" w:hAnsi="仿宋" w:eastAsia="仿宋" w:cs="仿宋"/>
          <w:color w:val="auto"/>
          <w:kern w:val="2"/>
          <w:sz w:val="28"/>
          <w:szCs w:val="28"/>
          <w:highlight w:val="none"/>
        </w:rPr>
        <w:t>。</w:t>
      </w:r>
      <w:r>
        <w:rPr>
          <w:rFonts w:hint="eastAsia" w:ascii="仿宋" w:hAnsi="仿宋" w:eastAsia="仿宋" w:cs="仿宋"/>
          <w:color w:val="auto"/>
          <w:sz w:val="28"/>
          <w:szCs w:val="28"/>
          <w:highlight w:val="none"/>
          <w:lang w:val="en-US" w:eastAsia="zh-CN"/>
        </w:rPr>
        <w:t>专家小组通过对</w:t>
      </w:r>
      <w:r>
        <w:rPr>
          <w:rFonts w:hint="eastAsia" w:ascii="仿宋" w:hAnsi="仿宋" w:eastAsia="仿宋" w:cs="仿宋"/>
          <w:color w:val="auto"/>
          <w:kern w:val="2"/>
          <w:sz w:val="28"/>
          <w:szCs w:val="28"/>
          <w:highlight w:val="none"/>
          <w:lang w:val="en-US" w:eastAsia="zh-CN" w:bidi="ar-SA"/>
        </w:rPr>
        <w:t>湛江市土地储备管理中心</w:t>
      </w:r>
      <w:r>
        <w:rPr>
          <w:rFonts w:hint="eastAsia" w:ascii="仿宋" w:hAnsi="仿宋" w:eastAsia="仿宋" w:cs="仿宋"/>
          <w:color w:val="auto"/>
          <w:sz w:val="28"/>
          <w:szCs w:val="28"/>
          <w:highlight w:val="none"/>
          <w:lang w:val="en-US" w:eastAsia="zh-CN"/>
        </w:rPr>
        <w:t>的涉评材料审核、资金使用管理的合法、合规、合理的审查，询问了解，进行综合分析、客观公正评价，得出评价结论，</w:t>
      </w:r>
      <w:r>
        <w:rPr>
          <w:rFonts w:hint="eastAsia" w:ascii="仿宋" w:hAnsi="仿宋" w:eastAsia="仿宋" w:cs="仿宋"/>
          <w:color w:val="auto"/>
          <w:kern w:val="2"/>
          <w:sz w:val="28"/>
          <w:szCs w:val="28"/>
          <w:highlight w:val="none"/>
        </w:rPr>
        <w:t>并形成《</w:t>
      </w:r>
      <w:r>
        <w:rPr>
          <w:rFonts w:hint="eastAsia" w:ascii="仿宋" w:hAnsi="仿宋" w:eastAsia="仿宋" w:cs="仿宋"/>
          <w:color w:val="auto"/>
          <w:sz w:val="28"/>
          <w:szCs w:val="28"/>
          <w:highlight w:val="none"/>
          <w:lang w:val="en-US" w:eastAsia="zh-CN"/>
        </w:rPr>
        <w:t>湛江市土地储备管理中心2022年度部门整体支出</w:t>
      </w:r>
      <w:r>
        <w:rPr>
          <w:rFonts w:hint="eastAsia" w:ascii="仿宋" w:hAnsi="仿宋" w:eastAsia="仿宋" w:cs="仿宋"/>
          <w:color w:val="auto"/>
          <w:sz w:val="28"/>
          <w:szCs w:val="28"/>
          <w:highlight w:val="none"/>
        </w:rPr>
        <w:t>绩效</w:t>
      </w:r>
      <w:r>
        <w:rPr>
          <w:rFonts w:hint="eastAsia" w:ascii="仿宋" w:hAnsi="仿宋" w:eastAsia="仿宋" w:cs="仿宋"/>
          <w:color w:val="auto"/>
          <w:sz w:val="28"/>
          <w:szCs w:val="28"/>
          <w:highlight w:val="none"/>
          <w:lang w:eastAsia="zh-CN"/>
        </w:rPr>
        <w:t>核查</w:t>
      </w:r>
      <w:r>
        <w:rPr>
          <w:rFonts w:hint="eastAsia" w:ascii="仿宋" w:hAnsi="仿宋" w:eastAsia="仿宋" w:cs="仿宋"/>
          <w:color w:val="auto"/>
          <w:sz w:val="28"/>
          <w:szCs w:val="28"/>
          <w:highlight w:val="none"/>
        </w:rPr>
        <w:t>报告</w:t>
      </w:r>
      <w:r>
        <w:rPr>
          <w:rFonts w:hint="eastAsia" w:ascii="仿宋" w:hAnsi="仿宋" w:eastAsia="仿宋" w:cs="仿宋"/>
          <w:color w:val="auto"/>
          <w:kern w:val="2"/>
          <w:sz w:val="28"/>
          <w:szCs w:val="28"/>
          <w:highlight w:val="none"/>
        </w:rPr>
        <w:t>》，报告内容具体如下：</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0"/>
        <w:rPr>
          <w:rFonts w:hint="default" w:ascii="仿宋" w:hAnsi="仿宋" w:eastAsia="仿宋" w:cs="仿宋"/>
          <w:b/>
          <w:bCs/>
          <w:color w:val="auto"/>
          <w:sz w:val="28"/>
          <w:szCs w:val="28"/>
          <w:highlight w:val="none"/>
          <w:lang w:val="en-US" w:eastAsia="zh-CN"/>
        </w:rPr>
      </w:pPr>
      <w:bookmarkStart w:id="2" w:name="_Toc17798"/>
      <w:bookmarkStart w:id="3" w:name="_Toc19058"/>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基本情况</w:t>
      </w:r>
      <w:bookmarkEnd w:id="3"/>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4" w:name="_Toc6078"/>
      <w:bookmarkStart w:id="5" w:name="_Toc30136"/>
      <w:r>
        <w:rPr>
          <w:rFonts w:hint="eastAsia" w:ascii="仿宋" w:hAnsi="仿宋" w:eastAsia="仿宋" w:cs="仿宋"/>
          <w:color w:val="auto"/>
          <w:sz w:val="28"/>
          <w:szCs w:val="28"/>
          <w:highlight w:val="none"/>
          <w:lang w:eastAsia="zh-CN"/>
        </w:rPr>
        <w:t>（一）</w:t>
      </w:r>
      <w:bookmarkEnd w:id="4"/>
      <w:r>
        <w:rPr>
          <w:rFonts w:hint="eastAsia" w:ascii="仿宋" w:hAnsi="仿宋" w:eastAsia="仿宋" w:cs="仿宋"/>
          <w:color w:val="auto"/>
          <w:sz w:val="28"/>
          <w:szCs w:val="28"/>
          <w:highlight w:val="none"/>
          <w:lang w:eastAsia="zh-CN"/>
        </w:rPr>
        <w:t>部门职能</w:t>
      </w:r>
      <w:bookmarkEnd w:id="5"/>
      <w:bookmarkStart w:id="6" w:name="_Toc14172"/>
      <w:bookmarkStart w:id="7" w:name="_Toc17615"/>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湛江市土地储备管理中心成立于2002年底，为市政府委托湛江市自然资源局管理的公益一类事业单位，副处级。主要职能 是:拟定和执行市区土地储备规划、土地收储及土地供应计划; 实施土地收回、收购、置换、征收及储备土地的清场管护、前期开发、土地供应、办理委托土地交易事项等相关的具体事务性工作;负责资金筹措、编制和执行土地储备资金收支预算决算;依法维护储备土地的合法权益;承办市委政府和上级部门交办的其他工作。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w:t>
      </w:r>
      <w:bookmarkEnd w:id="6"/>
      <w:r>
        <w:rPr>
          <w:rFonts w:hint="eastAsia" w:ascii="仿宋" w:hAnsi="仿宋" w:eastAsia="仿宋" w:cs="仿宋"/>
          <w:color w:val="auto"/>
          <w:sz w:val="28"/>
          <w:szCs w:val="28"/>
          <w:highlight w:val="none"/>
          <w:lang w:eastAsia="zh-CN"/>
        </w:rPr>
        <w:t>机构及人员设置</w:t>
      </w:r>
      <w:bookmarkEnd w:id="7"/>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8" w:name="_Toc7652"/>
      <w:bookmarkStart w:id="9" w:name="_Toc13952"/>
      <w:r>
        <w:rPr>
          <w:rFonts w:hint="eastAsia" w:ascii="仿宋" w:hAnsi="仿宋" w:eastAsia="仿宋" w:cs="仿宋"/>
          <w:color w:val="auto"/>
          <w:kern w:val="2"/>
          <w:sz w:val="28"/>
          <w:szCs w:val="28"/>
          <w:highlight w:val="none"/>
          <w:u w:val="none"/>
          <w:shd w:val="clear"/>
          <w:lang w:val="en-US" w:eastAsia="zh-CN" w:bidi="ar-SA"/>
        </w:rPr>
        <w:t>根据上述任务，湛江市土地储备管理中心内设4个机构：办公室、</w:t>
      </w:r>
      <w:r>
        <w:rPr>
          <w:rFonts w:hint="eastAsia" w:ascii="仿宋" w:hAnsi="仿宋" w:eastAsia="仿宋" w:cs="仿宋"/>
          <w:color w:val="auto"/>
          <w:sz w:val="28"/>
          <w:szCs w:val="28"/>
          <w:highlight w:val="none"/>
          <w:lang w:val="en-US" w:eastAsia="zh-CN"/>
        </w:rPr>
        <w:t>储备科、经营科和法规科。</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（三）部门整体支出绩效目标</w:t>
      </w:r>
      <w:bookmarkEnd w:id="8"/>
      <w:bookmarkEnd w:id="9"/>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0" w:name="_Toc16787"/>
      <w:r>
        <w:rPr>
          <w:rFonts w:hint="eastAsia" w:ascii="仿宋" w:hAnsi="仿宋" w:eastAsia="仿宋" w:cs="仿宋"/>
          <w:color w:val="auto"/>
          <w:sz w:val="28"/>
          <w:szCs w:val="28"/>
          <w:highlight w:val="none"/>
          <w:lang w:val="en-US" w:eastAsia="zh-CN"/>
        </w:rPr>
        <w:t>1.总体绩效目标</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目标1：土地收储。2022-2024年滚动计划收储土地53665.27亩，其中新增建设用地44041.01亩，存量土地9624.26亩。2022年度计划收储土地5869.22亩（其中收储新增建设用地16宗，面积4680亩；存量土地8宗，面积1189.22亩）。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目标2：土地供应。拟供应土地58宗，面积约6703.1亩，预计供地收入约1153547万元。其中库存土地42宗，面积约3571.1亩，预计收入512547万元；需新收储土地约16宗，面约3132亩，预计收入641000万元。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3：土地清场管护。2022年度计划清场地块22宗2514亩，其中：霞山区范围内的地块3宗；赤坎区范围内的地块1宗；麻章区范围内的地块5宗；开发区管委会范围内的地块3宗；坡头区范围内的地块7宗；市国资委和国资公司下属企业地块 3宗。</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2.项目支出绩效目标</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目标1：土地收储及前期开发费用35万元。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目标2：</w:t>
      </w:r>
      <w:r>
        <w:rPr>
          <w:rFonts w:hint="eastAsia" w:ascii="仿宋" w:hAnsi="仿宋" w:eastAsia="仿宋" w:cs="仿宋"/>
          <w:color w:val="000000" w:themeColor="text1"/>
          <w:sz w:val="28"/>
          <w:szCs w:val="28"/>
          <w:highlight w:val="none"/>
          <w:lang w:val="en-US" w:eastAsia="zh-CN"/>
          <w14:textFill>
            <w14:solidFill>
              <w14:schemeClr w14:val="tx1"/>
            </w14:solidFill>
          </w14:textFill>
        </w:rPr>
        <w:t>湛江市区地价评估费200万元</w:t>
      </w:r>
      <w:r>
        <w:rPr>
          <w:rFonts w:hint="eastAsia" w:ascii="仿宋" w:hAnsi="仿宋" w:eastAsia="仿宋" w:cs="仿宋"/>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目标3: 业务经费350万元。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目标4: 借调人员经费20万元。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目标5:办公场地租赁费14.67万元。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1" w:name="_Toc3963"/>
      <w:r>
        <w:rPr>
          <w:rFonts w:hint="eastAsia" w:ascii="仿宋" w:hAnsi="仿宋" w:eastAsia="仿宋" w:cs="仿宋"/>
          <w:color w:val="auto"/>
          <w:sz w:val="28"/>
          <w:szCs w:val="28"/>
          <w:highlight w:val="none"/>
          <w:lang w:val="en-US" w:eastAsia="zh-CN"/>
        </w:rPr>
        <w:t>（四）</w:t>
      </w:r>
      <w:bookmarkEnd w:id="10"/>
      <w:r>
        <w:rPr>
          <w:rFonts w:hint="eastAsia" w:ascii="仿宋" w:hAnsi="仿宋" w:eastAsia="仿宋" w:cs="仿宋"/>
          <w:color w:val="auto"/>
          <w:sz w:val="28"/>
          <w:szCs w:val="28"/>
          <w:highlight w:val="none"/>
          <w:lang w:val="en-US" w:eastAsia="zh-CN"/>
        </w:rPr>
        <w:t>部门整体收支情况</w:t>
      </w:r>
      <w:bookmarkEnd w:id="1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bookmarkStart w:id="12" w:name="_Toc6754"/>
      <w:r>
        <w:rPr>
          <w:rFonts w:hint="eastAsia" w:ascii="仿宋" w:hAnsi="仿宋" w:eastAsia="仿宋" w:cs="仿宋"/>
          <w:color w:val="auto"/>
          <w:sz w:val="28"/>
          <w:szCs w:val="28"/>
          <w:highlight w:val="none"/>
          <w:lang w:val="en-US" w:eastAsia="zh-CN"/>
        </w:rPr>
        <w:t>2022年度年初收支预算，预算收入数351096.34万元，其中：一般公共预算拨款546.34万元，政府性基金预算拨款350550.00万元。支出预算351096.34万元，其中基本支出预算506.78万元，项目支出预算350589.56万元，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2022年实际收入数3601.99万元，一般公共预算财政拨款收入742.23万元</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政府性基金预算财政拨款2859.76万元。实际支出数</w:t>
      </w:r>
      <w:bookmarkStart w:id="37" w:name="_GoBack"/>
      <w:r>
        <w:rPr>
          <w:rFonts w:hint="eastAsia" w:ascii="仿宋" w:hAnsi="仿宋" w:eastAsia="仿宋" w:cs="仿宋"/>
          <w:color w:val="auto"/>
          <w:sz w:val="28"/>
          <w:szCs w:val="28"/>
          <w:highlight w:val="none"/>
          <w:lang w:val="en-US" w:eastAsia="zh-CN"/>
        </w:rPr>
        <w:t>3601.79万元</w:t>
      </w:r>
      <w:bookmarkEnd w:id="37"/>
      <w:r>
        <w:rPr>
          <w:rFonts w:hint="eastAsia" w:ascii="仿宋" w:hAnsi="仿宋" w:eastAsia="仿宋" w:cs="仿宋"/>
          <w:color w:val="auto"/>
          <w:sz w:val="28"/>
          <w:szCs w:val="28"/>
          <w:highlight w:val="none"/>
          <w:lang w:val="en-US" w:eastAsia="zh-CN"/>
        </w:rPr>
        <w:t>，其中基本支出706.36万元，项目支出2895.43万元。</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3" w:name="_Toc22929"/>
      <w:r>
        <w:rPr>
          <w:rFonts w:hint="eastAsia" w:ascii="仿宋" w:hAnsi="仿宋" w:eastAsia="仿宋" w:cs="仿宋"/>
          <w:b/>
          <w:bCs/>
          <w:color w:val="auto"/>
          <w:sz w:val="28"/>
          <w:szCs w:val="28"/>
          <w:highlight w:val="none"/>
        </w:rPr>
        <w:t>二、</w:t>
      </w:r>
      <w:bookmarkEnd w:id="12"/>
      <w:r>
        <w:rPr>
          <w:rFonts w:hint="eastAsia" w:ascii="仿宋" w:hAnsi="仿宋" w:eastAsia="仿宋" w:cs="仿宋"/>
          <w:b/>
          <w:bCs/>
          <w:color w:val="auto"/>
          <w:sz w:val="28"/>
          <w:szCs w:val="28"/>
          <w:highlight w:val="none"/>
          <w:lang w:eastAsia="zh-CN"/>
        </w:rPr>
        <w:t>核查工作开展情况</w:t>
      </w:r>
      <w:bookmarkEnd w:id="1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4" w:name="_Toc10065"/>
      <w:bookmarkStart w:id="15" w:name="_Toc7852"/>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评价</w:t>
      </w:r>
      <w:r>
        <w:rPr>
          <w:rFonts w:hint="eastAsia" w:ascii="仿宋" w:hAnsi="仿宋" w:eastAsia="仿宋" w:cs="仿宋"/>
          <w:color w:val="auto"/>
          <w:sz w:val="28"/>
          <w:szCs w:val="28"/>
          <w:highlight w:val="none"/>
        </w:rPr>
        <w:t>目的</w:t>
      </w:r>
      <w:bookmarkEnd w:id="14"/>
      <w:bookmarkEnd w:id="1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规范、合理的评价方法、评价指标和评分标准，对财政资金的分配、管理、使用、产出及效果等进行客观、公正的测量、分析和评判，评价绩效水平，发现存在问题，并分析问题成因，提出进一步加强资金管理的意见建议。</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6" w:name="_Toc20897"/>
      <w:bookmarkStart w:id="17" w:name="_Toc15857"/>
      <w:r>
        <w:rPr>
          <w:rFonts w:hint="eastAsia" w:ascii="仿宋" w:hAnsi="仿宋" w:eastAsia="仿宋" w:cs="仿宋"/>
          <w:color w:val="auto"/>
          <w:sz w:val="28"/>
          <w:szCs w:val="28"/>
          <w:highlight w:val="none"/>
          <w:lang w:eastAsia="zh-CN"/>
        </w:rPr>
        <w:t>（二）评价</w:t>
      </w:r>
      <w:r>
        <w:rPr>
          <w:rFonts w:hint="eastAsia" w:ascii="仿宋" w:hAnsi="仿宋" w:eastAsia="仿宋" w:cs="仿宋"/>
          <w:color w:val="auto"/>
          <w:sz w:val="28"/>
          <w:szCs w:val="28"/>
          <w:highlight w:val="none"/>
        </w:rPr>
        <w:t>过程</w:t>
      </w:r>
      <w:bookmarkEnd w:id="16"/>
      <w:bookmarkEnd w:id="17"/>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组织与实施。</w:t>
      </w:r>
      <w:r>
        <w:rPr>
          <w:rFonts w:hint="eastAsia" w:ascii="仿宋" w:hAnsi="仿宋" w:eastAsia="仿宋" w:cs="仿宋"/>
          <w:color w:val="auto"/>
          <w:sz w:val="28"/>
          <w:szCs w:val="28"/>
          <w:highlight w:val="none"/>
          <w:lang w:val="en-US" w:eastAsia="zh-CN"/>
        </w:rPr>
        <w:t>根据湛江市财政局《湛江财政局关于开展2023年市级财政资金绩效自评工作的通知》（湛财绩〔2023〕2号）的文件要求</w:t>
      </w:r>
      <w:r>
        <w:rPr>
          <w:rFonts w:hint="eastAsia" w:ascii="仿宋" w:hAnsi="仿宋" w:eastAsia="仿宋" w:cs="仿宋"/>
          <w:color w:val="auto"/>
          <w:sz w:val="28"/>
          <w:szCs w:val="28"/>
          <w:highlight w:val="none"/>
        </w:rPr>
        <w:t>，明确了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评价工作的目的、范围、内容和组织实施工作。20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受</w:t>
      </w:r>
      <w:r>
        <w:rPr>
          <w:rFonts w:hint="eastAsia" w:ascii="仿宋" w:hAnsi="仿宋" w:eastAsia="仿宋" w:cs="仿宋"/>
          <w:color w:val="auto"/>
          <w:sz w:val="28"/>
          <w:szCs w:val="28"/>
          <w:highlight w:val="none"/>
          <w:lang w:val="en-US" w:eastAsia="zh-CN"/>
        </w:rPr>
        <w:t>湛江市财政局</w:t>
      </w:r>
      <w:r>
        <w:rPr>
          <w:rFonts w:hint="eastAsia" w:ascii="仿宋" w:hAnsi="仿宋" w:eastAsia="仿宋" w:cs="仿宋"/>
          <w:color w:val="auto"/>
          <w:sz w:val="28"/>
          <w:szCs w:val="28"/>
          <w:highlight w:val="none"/>
        </w:rPr>
        <w:t>委托</w:t>
      </w:r>
      <w:r>
        <w:rPr>
          <w:rFonts w:hint="eastAsia" w:ascii="仿宋" w:hAnsi="仿宋" w:eastAsia="仿宋" w:cs="仿宋"/>
          <w:color w:val="auto"/>
          <w:sz w:val="28"/>
          <w:szCs w:val="28"/>
          <w:highlight w:val="none"/>
          <w:lang w:eastAsia="zh-CN"/>
        </w:rPr>
        <w:t>，本事务所高度重视，合理配备专业力量，组织</w:t>
      </w:r>
      <w:r>
        <w:rPr>
          <w:rFonts w:hint="eastAsia" w:ascii="仿宋" w:hAnsi="仿宋" w:eastAsia="仿宋" w:cs="仿宋"/>
          <w:color w:val="auto"/>
          <w:sz w:val="28"/>
          <w:szCs w:val="28"/>
          <w:highlight w:val="none"/>
        </w:rPr>
        <w:t>绩效评价工作</w:t>
      </w:r>
      <w:r>
        <w:rPr>
          <w:rFonts w:hint="eastAsia" w:ascii="仿宋" w:hAnsi="仿宋" w:eastAsia="仿宋" w:cs="仿宋"/>
          <w:color w:val="auto"/>
          <w:sz w:val="28"/>
          <w:szCs w:val="28"/>
          <w:highlight w:val="none"/>
          <w:lang w:eastAsia="zh-CN"/>
        </w:rPr>
        <w:t>专家小组，</w:t>
      </w:r>
      <w:r>
        <w:rPr>
          <w:rFonts w:hint="eastAsia" w:ascii="仿宋" w:hAnsi="仿宋" w:eastAsia="仿宋" w:cs="仿宋"/>
          <w:color w:val="auto"/>
          <w:sz w:val="28"/>
          <w:szCs w:val="28"/>
          <w:highlight w:val="none"/>
        </w:rPr>
        <w:t>制定评价工作实施方案，</w:t>
      </w:r>
      <w:r>
        <w:rPr>
          <w:rFonts w:hint="eastAsia" w:ascii="仿宋" w:hAnsi="仿宋" w:eastAsia="仿宋" w:cs="仿宋"/>
          <w:color w:val="auto"/>
          <w:sz w:val="28"/>
          <w:szCs w:val="28"/>
          <w:highlight w:val="none"/>
          <w:lang w:eastAsia="zh-CN"/>
        </w:rPr>
        <w:t>以认真负责的态度，保证本次绩效评价工作的有序展开。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bookmarkStart w:id="18" w:name="_Toc19029"/>
      <w:bookmarkStart w:id="19" w:name="_Toc22988"/>
      <w:r>
        <w:rPr>
          <w:rFonts w:hint="eastAsia" w:ascii="仿宋" w:hAnsi="仿宋" w:eastAsia="仿宋" w:cs="仿宋"/>
          <w:color w:val="auto"/>
          <w:sz w:val="28"/>
          <w:szCs w:val="28"/>
          <w:highlight w:val="none"/>
          <w:lang w:val="en-US" w:eastAsia="zh-CN"/>
        </w:rPr>
        <w:t>2.核实与勘验。绩效评价工作专家小组收集评价基础资料并整理分析，作为核查参考，科学确定核查方案，形成评价意见。</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3.形成评价报告。依据评价结论，并参考对评价单位递交自评材料的审核结果，加强意见沟通，对财政资金支出情况进行全面分析与综合评价，形成本次绩效评价核查报告。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评价</w:t>
      </w:r>
      <w:r>
        <w:rPr>
          <w:rFonts w:hint="eastAsia" w:ascii="仿宋" w:hAnsi="仿宋" w:eastAsia="仿宋" w:cs="仿宋"/>
          <w:color w:val="auto"/>
          <w:sz w:val="28"/>
          <w:szCs w:val="28"/>
          <w:highlight w:val="none"/>
        </w:rPr>
        <w:t>原则和方法</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湛江市财政局《湛江财政局关于开展2023年市级财政资金绩效自评工作的通知》（湛财绩〔2023〕2号）的文件要求</w:t>
      </w:r>
      <w:r>
        <w:rPr>
          <w:rFonts w:hint="eastAsia" w:ascii="仿宋" w:hAnsi="仿宋" w:eastAsia="仿宋" w:cs="仿宋"/>
          <w:color w:val="auto"/>
          <w:sz w:val="28"/>
          <w:szCs w:val="28"/>
          <w:highlight w:val="none"/>
        </w:rPr>
        <w:t>，结合本</w:t>
      </w:r>
      <w:r>
        <w:rPr>
          <w:rFonts w:hint="eastAsia" w:ascii="仿宋" w:hAnsi="仿宋" w:eastAsia="仿宋" w:cs="仿宋"/>
          <w:color w:val="auto"/>
          <w:sz w:val="28"/>
          <w:szCs w:val="28"/>
          <w:highlight w:val="none"/>
          <w:lang w:eastAsia="zh-CN"/>
        </w:rPr>
        <w:t>评价项目</w:t>
      </w:r>
      <w:r>
        <w:rPr>
          <w:rFonts w:hint="eastAsia" w:ascii="仿宋" w:hAnsi="仿宋" w:eastAsia="仿宋" w:cs="仿宋"/>
          <w:color w:val="auto"/>
          <w:sz w:val="28"/>
          <w:szCs w:val="28"/>
          <w:highlight w:val="none"/>
        </w:rPr>
        <w:t>资金支出的相关内容，突出预算支出绩效评价的特点</w:t>
      </w:r>
      <w:r>
        <w:rPr>
          <w:rFonts w:hint="eastAsia" w:ascii="仿宋" w:hAnsi="仿宋" w:eastAsia="仿宋" w:cs="仿宋"/>
          <w:color w:val="auto"/>
          <w:sz w:val="28"/>
          <w:szCs w:val="28"/>
          <w:highlight w:val="none"/>
          <w:lang w:eastAsia="zh-CN"/>
        </w:rPr>
        <w:t>，以资金支出的经济、社会效益和公众满意度作为衡量主管部门资金管理绩效的重要依据，</w:t>
      </w:r>
      <w:r>
        <w:rPr>
          <w:rFonts w:hint="eastAsia" w:ascii="仿宋" w:hAnsi="仿宋" w:eastAsia="仿宋" w:cs="仿宋"/>
          <w:color w:val="auto"/>
          <w:sz w:val="28"/>
          <w:szCs w:val="28"/>
          <w:highlight w:val="none"/>
        </w:rPr>
        <w:t>采取了目标预定与实施效果</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比较的评价方法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评价包括了定量指标分析和定性指标分析。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项目评价基准日为</w:t>
      </w:r>
      <w:r>
        <w:rPr>
          <w:rFonts w:hint="eastAsia" w:ascii="仿宋" w:hAnsi="仿宋" w:eastAsia="仿宋" w:cs="仿宋"/>
          <w:color w:val="auto"/>
          <w:sz w:val="28"/>
          <w:szCs w:val="28"/>
          <w:highlight w:val="none"/>
          <w:lang w:val="en-US" w:eastAsia="zh-CN"/>
        </w:rPr>
        <w:t>2022年12</w:t>
      </w:r>
      <w:r>
        <w:rPr>
          <w:rFonts w:hint="eastAsia" w:ascii="仿宋" w:hAnsi="仿宋" w:eastAsia="仿宋" w:cs="仿宋"/>
          <w:color w:val="auto"/>
          <w:sz w:val="28"/>
          <w:szCs w:val="28"/>
          <w:highlight w:val="none"/>
        </w:rPr>
        <w:t>月31日。</w:t>
      </w:r>
      <w:bookmarkStart w:id="20" w:name="bookmark68"/>
      <w:bookmarkEnd w:id="20"/>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21" w:name="_Toc1218"/>
      <w:r>
        <w:rPr>
          <w:rFonts w:hint="eastAsia" w:ascii="仿宋" w:hAnsi="仿宋" w:eastAsia="仿宋" w:cs="仿宋"/>
          <w:b/>
          <w:bCs/>
          <w:color w:val="auto"/>
          <w:sz w:val="28"/>
          <w:szCs w:val="28"/>
          <w:highlight w:val="none"/>
          <w:lang w:eastAsia="zh-CN"/>
        </w:rPr>
        <w:t>三、核查结论</w:t>
      </w:r>
      <w:bookmarkEnd w:id="2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表1 绩效评价结果等级划分标准</w:t>
      </w:r>
    </w:p>
    <w:tbl>
      <w:tblPr>
        <w:tblStyle w:val="8"/>
        <w:tblW w:w="4889" w:type="pct"/>
        <w:jc w:val="center"/>
        <w:tblLayout w:type="autofit"/>
        <w:tblCellMar>
          <w:top w:w="0" w:type="dxa"/>
          <w:left w:w="10" w:type="dxa"/>
          <w:bottom w:w="0" w:type="dxa"/>
          <w:right w:w="10" w:type="dxa"/>
        </w:tblCellMar>
      </w:tblPr>
      <w:tblGrid>
        <w:gridCol w:w="1074"/>
        <w:gridCol w:w="3859"/>
        <w:gridCol w:w="3402"/>
      </w:tblGrid>
      <w:tr>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13"/>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依据既定的指标体系和评分标准，结合</w:t>
      </w:r>
      <w:r>
        <w:rPr>
          <w:rFonts w:hint="eastAsia" w:ascii="仿宋" w:hAnsi="仿宋" w:eastAsia="仿宋" w:cs="仿宋"/>
          <w:color w:val="auto"/>
          <w:sz w:val="28"/>
          <w:szCs w:val="28"/>
          <w:highlight w:val="none"/>
          <w:lang w:val="en-US" w:eastAsia="zh-CN"/>
        </w:rPr>
        <w:t>湛江市土地储备管理中心</w:t>
      </w:r>
      <w:r>
        <w:rPr>
          <w:rFonts w:hint="default" w:ascii="仿宋" w:hAnsi="仿宋" w:eastAsia="仿宋" w:cs="仿宋"/>
          <w:color w:val="auto"/>
          <w:sz w:val="28"/>
          <w:szCs w:val="28"/>
          <w:highlight w:val="none"/>
          <w:lang w:val="en-US" w:eastAsia="zh-CN"/>
        </w:rPr>
        <w:t>提交的自评材料及核验的评价结果，</w:t>
      </w:r>
      <w:r>
        <w:rPr>
          <w:rFonts w:hint="eastAsia" w:ascii="仿宋" w:hAnsi="仿宋" w:eastAsia="仿宋" w:cs="仿宋"/>
          <w:color w:val="auto"/>
          <w:sz w:val="28"/>
          <w:szCs w:val="28"/>
          <w:highlight w:val="none"/>
          <w:lang w:val="en-US" w:eastAsia="zh-CN"/>
        </w:rPr>
        <w:t>2022年部门整体支出绩效评价核查</w:t>
      </w:r>
      <w:r>
        <w:rPr>
          <w:rFonts w:hint="default" w:ascii="仿宋" w:hAnsi="仿宋" w:eastAsia="仿宋" w:cs="仿宋"/>
          <w:color w:val="auto"/>
          <w:sz w:val="28"/>
          <w:szCs w:val="28"/>
          <w:highlight w:val="none"/>
          <w:lang w:val="en-US" w:eastAsia="zh-CN"/>
        </w:rPr>
        <w:t>得分为</w:t>
      </w:r>
      <w:r>
        <w:rPr>
          <w:rFonts w:hint="eastAsia" w:ascii="仿宋" w:hAnsi="仿宋" w:eastAsia="仿宋" w:cs="仿宋"/>
          <w:color w:val="auto"/>
          <w:sz w:val="28"/>
          <w:szCs w:val="28"/>
          <w:highlight w:val="none"/>
          <w:lang w:val="en-US" w:eastAsia="zh-CN"/>
        </w:rPr>
        <w:t>89.98</w:t>
      </w:r>
      <w:r>
        <w:rPr>
          <w:rFonts w:hint="default" w:ascii="仿宋" w:hAnsi="仿宋" w:eastAsia="仿宋" w:cs="仿宋"/>
          <w:color w:val="auto"/>
          <w:sz w:val="28"/>
          <w:szCs w:val="28"/>
          <w:highlight w:val="none"/>
          <w:lang w:val="en-US" w:eastAsia="zh-CN"/>
        </w:rPr>
        <w:t>分，等级为</w:t>
      </w:r>
      <w:r>
        <w:rPr>
          <w:rFonts w:hint="eastAsia" w:ascii="仿宋" w:hAnsi="仿宋" w:eastAsia="仿宋" w:cs="仿宋"/>
          <w:color w:val="auto"/>
          <w:sz w:val="28"/>
          <w:szCs w:val="28"/>
          <w:highlight w:val="none"/>
          <w:lang w:val="en-US" w:eastAsia="zh-CN"/>
        </w:rPr>
        <w:t>良</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详见表2：</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22" w:name="bookmark56"/>
      <w:bookmarkStart w:id="23" w:name="_Toc4575"/>
      <w:bookmarkStart w:id="24" w:name="bookmark55"/>
      <w:bookmarkStart w:id="25" w:name="_Toc1778"/>
      <w:bookmarkStart w:id="26" w:name="bookmark54"/>
      <w:r>
        <w:rPr>
          <w:rFonts w:hint="eastAsia" w:ascii="仿宋" w:hAnsi="仿宋" w:eastAsia="仿宋" w:cs="仿宋"/>
          <w:b/>
          <w:bCs/>
          <w:color w:val="auto"/>
          <w:sz w:val="28"/>
          <w:szCs w:val="28"/>
          <w:highlight w:val="none"/>
          <w:lang w:val="en-US" w:eastAsia="zh-CN"/>
        </w:rPr>
        <w:t>表2 部门整体支出绩效</w:t>
      </w:r>
      <w:r>
        <w:rPr>
          <w:rFonts w:hint="eastAsia" w:ascii="仿宋" w:hAnsi="仿宋" w:eastAsia="仿宋" w:cs="仿宋"/>
          <w:b/>
          <w:bCs/>
          <w:color w:val="auto"/>
          <w:sz w:val="28"/>
          <w:szCs w:val="28"/>
          <w:highlight w:val="none"/>
        </w:rPr>
        <w:t>评价</w:t>
      </w:r>
      <w:r>
        <w:rPr>
          <w:rFonts w:hint="eastAsia" w:ascii="仿宋" w:hAnsi="仿宋" w:eastAsia="仿宋" w:cs="仿宋"/>
          <w:b/>
          <w:bCs/>
          <w:color w:val="auto"/>
          <w:sz w:val="28"/>
          <w:szCs w:val="28"/>
          <w:highlight w:val="none"/>
          <w:lang w:eastAsia="zh-CN"/>
        </w:rPr>
        <w:t>评分汇</w:t>
      </w:r>
      <w:r>
        <w:rPr>
          <w:rFonts w:hint="eastAsia" w:ascii="仿宋" w:hAnsi="仿宋" w:eastAsia="仿宋" w:cs="仿宋"/>
          <w:b/>
          <w:bCs/>
          <w:color w:val="auto"/>
          <w:sz w:val="28"/>
          <w:szCs w:val="28"/>
          <w:highlight w:val="none"/>
        </w:rPr>
        <w:t>总表</w:t>
      </w:r>
      <w:bookmarkEnd w:id="22"/>
      <w:bookmarkEnd w:id="23"/>
      <w:bookmarkEnd w:id="24"/>
      <w:bookmarkEnd w:id="25"/>
      <w:bookmarkEnd w:id="26"/>
    </w:p>
    <w:tbl>
      <w:tblPr>
        <w:tblStyle w:val="8"/>
        <w:tblW w:w="4997" w:type="pct"/>
        <w:jc w:val="center"/>
        <w:tblLayout w:type="autofit"/>
        <w:tblCellMar>
          <w:top w:w="0" w:type="dxa"/>
          <w:left w:w="10" w:type="dxa"/>
          <w:bottom w:w="0" w:type="dxa"/>
          <w:right w:w="10" w:type="dxa"/>
        </w:tblCellMar>
      </w:tblPr>
      <w:tblGrid>
        <w:gridCol w:w="2136"/>
        <w:gridCol w:w="2125"/>
        <w:gridCol w:w="2125"/>
        <w:gridCol w:w="2133"/>
      </w:tblGrid>
      <w:tr>
        <w:trPr>
          <w:trHeight w:val="475" w:hRule="exact"/>
          <w:tblHeader/>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u w:val="none"/>
                <w:lang w:val="en-US" w:eastAsia="zh-CN" w:bidi="ar"/>
              </w:rPr>
              <w:t>一级指标</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u w:val="none"/>
                <w:lang w:val="en-US" w:eastAsia="zh-CN" w:bidi="ar"/>
              </w:rPr>
              <w:t>指标分值</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u w:val="none"/>
                <w:lang w:val="en-US" w:eastAsia="zh-CN" w:bidi="ar"/>
              </w:rPr>
              <w:t>评价得分</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eastAsia="zh-CN"/>
              </w:rPr>
            </w:pPr>
            <w:r>
              <w:rPr>
                <w:rFonts w:hint="default" w:ascii="仿宋" w:hAnsi="仿宋" w:eastAsia="仿宋" w:cs="仿宋"/>
                <w:b/>
                <w:bCs/>
                <w:i w:val="0"/>
                <w:iCs w:val="0"/>
                <w:color w:val="000000"/>
                <w:kern w:val="0"/>
                <w:sz w:val="24"/>
                <w:szCs w:val="24"/>
                <w:u w:val="none"/>
                <w:lang w:val="en-US" w:eastAsia="zh-CN" w:bidi="ar"/>
              </w:rPr>
              <w:t>得分率</w:t>
            </w:r>
          </w:p>
        </w:tc>
      </w:tr>
      <w:tr>
        <w:trPr>
          <w:trHeight w:val="461" w:hRule="exact"/>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rPr>
            </w:pPr>
            <w:r>
              <w:rPr>
                <w:rFonts w:hint="default" w:ascii="仿宋" w:hAnsi="仿宋" w:eastAsia="仿宋" w:cs="仿宋"/>
                <w:i w:val="0"/>
                <w:iCs w:val="0"/>
                <w:color w:val="000000"/>
                <w:kern w:val="0"/>
                <w:sz w:val="24"/>
                <w:szCs w:val="24"/>
                <w:u w:val="none"/>
                <w:lang w:val="en-US" w:eastAsia="zh-CN" w:bidi="ar"/>
              </w:rPr>
              <w:t>预算编制情况</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20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15.5</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77.50%</w:t>
            </w:r>
          </w:p>
        </w:tc>
      </w:tr>
      <w:tr>
        <w:trPr>
          <w:trHeight w:val="461" w:hRule="exact"/>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rPr>
            </w:pPr>
            <w:r>
              <w:rPr>
                <w:rFonts w:hint="default" w:ascii="仿宋" w:hAnsi="仿宋" w:eastAsia="仿宋" w:cs="仿宋"/>
                <w:i w:val="0"/>
                <w:iCs w:val="0"/>
                <w:color w:val="000000"/>
                <w:kern w:val="0"/>
                <w:sz w:val="24"/>
                <w:szCs w:val="24"/>
                <w:u w:val="none"/>
                <w:lang w:val="en-US" w:eastAsia="zh-CN" w:bidi="ar"/>
              </w:rPr>
              <w:t>预算执行情况</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40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38.37</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95.93%</w:t>
            </w:r>
          </w:p>
        </w:tc>
      </w:tr>
      <w:tr>
        <w:trPr>
          <w:trHeight w:val="456" w:hRule="exact"/>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eastAsia="zh-CN"/>
              </w:rPr>
            </w:pPr>
            <w:r>
              <w:rPr>
                <w:rFonts w:hint="default" w:ascii="仿宋" w:hAnsi="仿宋" w:eastAsia="仿宋" w:cs="仿宋"/>
                <w:i w:val="0"/>
                <w:iCs w:val="0"/>
                <w:color w:val="000000"/>
                <w:kern w:val="0"/>
                <w:sz w:val="24"/>
                <w:szCs w:val="24"/>
                <w:u w:val="none"/>
                <w:lang w:val="en-US" w:eastAsia="zh-CN" w:bidi="ar"/>
              </w:rPr>
              <w:t>预算监督情况</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10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9.8</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u w:val="none"/>
                <w:lang w:val="en-US" w:eastAsia="zh-CN" w:bidi="ar"/>
              </w:rPr>
              <w:t>98.00%</w:t>
            </w:r>
          </w:p>
        </w:tc>
      </w:tr>
      <w:tr>
        <w:trPr>
          <w:trHeight w:val="456" w:hRule="exact"/>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default" w:ascii="仿宋" w:hAnsi="仿宋" w:eastAsia="仿宋" w:cs="仿宋"/>
                <w:i w:val="0"/>
                <w:iCs w:val="0"/>
                <w:color w:val="000000"/>
                <w:kern w:val="0"/>
                <w:sz w:val="24"/>
                <w:szCs w:val="24"/>
                <w:u w:val="none"/>
                <w:lang w:val="en-US" w:eastAsia="zh-CN" w:bidi="ar"/>
              </w:rPr>
              <w:t>预算执行效益</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30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26.31</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87.70%</w:t>
            </w:r>
          </w:p>
        </w:tc>
      </w:tr>
      <w:tr>
        <w:trPr>
          <w:trHeight w:val="475" w:hRule="exact"/>
          <w:jc w:val="center"/>
        </w:trPr>
        <w:tc>
          <w:tcPr>
            <w:tcW w:w="21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default" w:ascii="仿宋" w:hAnsi="仿宋" w:eastAsia="仿宋" w:cs="仿宋"/>
                <w:i w:val="0"/>
                <w:iCs w:val="0"/>
                <w:color w:val="000000"/>
                <w:kern w:val="0"/>
                <w:sz w:val="24"/>
                <w:szCs w:val="24"/>
                <w:u w:val="none"/>
                <w:lang w:val="en-US" w:eastAsia="zh-CN" w:bidi="ar"/>
              </w:rPr>
              <w:t>加减分项</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0</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0.00%</w:t>
            </w:r>
          </w:p>
        </w:tc>
      </w:tr>
      <w:tr>
        <w:trPr>
          <w:trHeight w:val="475" w:hRule="exact"/>
          <w:jc w:val="center"/>
        </w:trPr>
        <w:tc>
          <w:tcPr>
            <w:tcW w:w="21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color w:val="000000"/>
                <w:spacing w:val="0"/>
                <w:w w:val="100"/>
                <w:position w:val="0"/>
                <w:sz w:val="24"/>
                <w:szCs w:val="24"/>
                <w:highlight w:val="none"/>
              </w:rPr>
            </w:pPr>
            <w:r>
              <w:rPr>
                <w:rFonts w:hint="default" w:ascii="仿宋" w:hAnsi="仿宋" w:eastAsia="仿宋" w:cs="仿宋"/>
                <w:b/>
                <w:bCs/>
                <w:i w:val="0"/>
                <w:iCs w:val="0"/>
                <w:color w:val="000000"/>
                <w:kern w:val="0"/>
                <w:sz w:val="24"/>
                <w:szCs w:val="24"/>
                <w:u w:val="none"/>
                <w:lang w:val="en-US" w:eastAsia="zh-CN" w:bidi="ar"/>
              </w:rPr>
              <w:t>评价总得分</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color w:val="000000"/>
                <w:spacing w:val="0"/>
                <w:w w:val="100"/>
                <w:position w:val="0"/>
                <w:sz w:val="24"/>
                <w:szCs w:val="24"/>
                <w:highlight w:val="none"/>
              </w:rPr>
            </w:pPr>
            <w:r>
              <w:rPr>
                <w:rFonts w:hint="default" w:ascii="仿宋" w:hAnsi="仿宋" w:eastAsia="仿宋" w:cs="仿宋"/>
                <w:b/>
                <w:bCs/>
                <w:i w:val="0"/>
                <w:iCs w:val="0"/>
                <w:color w:val="000000"/>
                <w:kern w:val="0"/>
                <w:sz w:val="24"/>
                <w:szCs w:val="24"/>
                <w:u w:val="none"/>
                <w:lang w:val="en-US" w:eastAsia="zh-CN" w:bidi="ar"/>
              </w:rPr>
              <w:t>100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i w:val="0"/>
                <w:iCs w:val="0"/>
                <w:color w:val="000000"/>
                <w:kern w:val="0"/>
                <w:sz w:val="24"/>
                <w:szCs w:val="24"/>
                <w:u w:val="none"/>
                <w:lang w:val="en-US" w:eastAsia="zh-CN" w:bidi="ar"/>
              </w:rPr>
              <w:t>89.98</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default" w:ascii="仿宋" w:hAnsi="仿宋" w:eastAsia="仿宋" w:cs="仿宋"/>
                <w:b/>
                <w:bCs/>
                <w:i w:val="0"/>
                <w:iCs w:val="0"/>
                <w:color w:val="000000"/>
                <w:kern w:val="0"/>
                <w:sz w:val="24"/>
                <w:szCs w:val="24"/>
                <w:u w:val="none"/>
                <w:lang w:val="en-US" w:eastAsia="zh-CN" w:bidi="ar"/>
              </w:rPr>
              <w:t>89.98%</w:t>
            </w:r>
          </w:p>
        </w:tc>
      </w:tr>
    </w:tbl>
    <w:p>
      <w:pPr>
        <w:pStyle w:val="7"/>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27" w:name="_Toc9575"/>
      <w:bookmarkStart w:id="28" w:name="_Toc3612"/>
      <w:r>
        <w:rPr>
          <w:rFonts w:hint="eastAsia" w:ascii="仿宋" w:hAnsi="仿宋" w:eastAsia="仿宋" w:cs="仿宋"/>
          <w:b/>
          <w:color w:val="auto"/>
          <w:kern w:val="2"/>
          <w:sz w:val="28"/>
          <w:szCs w:val="28"/>
          <w:highlight w:val="none"/>
          <w:lang w:eastAsia="zh-CN"/>
        </w:rPr>
        <w:t>四、</w:t>
      </w:r>
      <w:r>
        <w:rPr>
          <w:rFonts w:hint="eastAsia" w:ascii="仿宋" w:hAnsi="仿宋" w:eastAsia="仿宋" w:cs="仿宋"/>
          <w:b/>
          <w:color w:val="auto"/>
          <w:kern w:val="2"/>
          <w:sz w:val="28"/>
          <w:szCs w:val="28"/>
          <w:highlight w:val="none"/>
        </w:rPr>
        <w:t>存在问题</w:t>
      </w:r>
      <w:bookmarkEnd w:id="27"/>
      <w:r>
        <w:rPr>
          <w:rFonts w:hint="eastAsia" w:ascii="仿宋" w:hAnsi="仿宋" w:eastAsia="仿宋" w:cs="仿宋"/>
          <w:b/>
          <w:color w:val="auto"/>
          <w:kern w:val="2"/>
          <w:sz w:val="28"/>
          <w:szCs w:val="28"/>
          <w:highlight w:val="none"/>
          <w:lang w:eastAsia="zh-CN"/>
        </w:rPr>
        <w:t>及相关建议</w:t>
      </w:r>
      <w:bookmarkEnd w:id="28"/>
      <w:bookmarkStart w:id="29" w:name="一"/>
      <w:bookmarkEnd w:id="29"/>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30" w:name="_Toc11913"/>
      <w:bookmarkStart w:id="31" w:name="_Toc18552"/>
      <w:r>
        <w:rPr>
          <w:rFonts w:hint="eastAsia" w:ascii="仿宋" w:hAnsi="仿宋" w:eastAsia="仿宋" w:cs="仿宋"/>
          <w:b w:val="0"/>
          <w:bCs w:val="0"/>
          <w:color w:val="auto"/>
          <w:kern w:val="2"/>
          <w:sz w:val="28"/>
          <w:szCs w:val="28"/>
          <w:highlight w:val="none"/>
        </w:rPr>
        <w:t>（一）存在问题</w:t>
      </w:r>
      <w:bookmarkEnd w:id="30"/>
      <w:bookmarkEnd w:id="31"/>
      <w:bookmarkStart w:id="32" w:name="二"/>
      <w:bookmarkEnd w:id="32"/>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1.项目预算、功能分类和经济分类等预算编制有偏差，收入预决算差异率超50%。</w:t>
      </w:r>
    </w:p>
    <w:p>
      <w:pPr>
        <w:pStyle w:val="7"/>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0" w:firstLineChars="200"/>
        <w:contextualSpacing/>
        <w:jc w:val="both"/>
        <w:textAlignment w:val="auto"/>
        <w:outlineLvl w:val="9"/>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自评报告不够严谨，自评数据表中固定资产管理的出租、出借及处置收入上缴表格填写为是，自评报告中关于资产管理方面描述：出租、出借、处置国有固定资产严格按照收支两条线的原则，相关收入按规定及时、足额上缴国库，经查看国有固定资产报表，湛江市土地储备管理中心2022年出租、出借固定资产为 0，不存在出租、出借固定资产，自评材料不够严谨，酌情扣0.1分；出现自评得分与实际有偏差的情形，酌情扣0.1分。</w:t>
      </w:r>
    </w:p>
    <w:p>
      <w:pPr>
        <w:pStyle w:val="7"/>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val="en-US" w:eastAsia="zh-CN"/>
        </w:rPr>
      </w:pPr>
      <w:bookmarkStart w:id="33" w:name="_Toc22031"/>
      <w:bookmarkStart w:id="34" w:name="_Toc24779"/>
      <w:r>
        <w:rPr>
          <w:rFonts w:hint="eastAsia" w:ascii="仿宋" w:hAnsi="仿宋" w:eastAsia="仿宋" w:cs="仿宋"/>
          <w:b w:val="0"/>
          <w:bCs/>
          <w:color w:val="auto"/>
          <w:kern w:val="2"/>
          <w:sz w:val="28"/>
          <w:szCs w:val="28"/>
          <w:highlight w:val="none"/>
        </w:rPr>
        <w:t>（二）</w:t>
      </w:r>
      <w:bookmarkEnd w:id="33"/>
      <w:r>
        <w:rPr>
          <w:rFonts w:hint="eastAsia" w:ascii="仿宋" w:hAnsi="仿宋" w:eastAsia="仿宋" w:cs="仿宋"/>
          <w:b w:val="0"/>
          <w:bCs/>
          <w:color w:val="auto"/>
          <w:kern w:val="2"/>
          <w:sz w:val="28"/>
          <w:szCs w:val="28"/>
          <w:highlight w:val="none"/>
          <w:lang w:val="en-US" w:eastAsia="zh-CN"/>
        </w:rPr>
        <w:t>相关建议</w:t>
      </w:r>
      <w:bookmarkEnd w:id="34"/>
    </w:p>
    <w:p>
      <w:pPr>
        <w:pStyle w:val="7"/>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1.注重绩效目标、评价指标的关联性，更加科学合理地确定部门绩效目标和评价目标。结合实际情况科学预测，使预算编制贴合实际，切实可行，同时预算需要精细化，强化预算目标的的龙头作用。</w:t>
      </w: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2.加强绩效自评材料的内部审核，提高绩效自评工作质量。</w:t>
      </w: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default" w:ascii="仿宋" w:hAnsi="仿宋" w:eastAsia="仿宋" w:cs="仿宋"/>
          <w:color w:val="auto"/>
          <w:kern w:val="2"/>
          <w:sz w:val="28"/>
          <w:szCs w:val="28"/>
          <w:highlight w:val="none"/>
          <w:lang w:val="en-US" w:eastAsia="zh-CN"/>
        </w:rPr>
      </w:pP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firstLine="562" w:firstLineChars="200"/>
        <w:contextualSpacing/>
        <w:jc w:val="both"/>
        <w:textAlignment w:val="auto"/>
        <w:outlineLvl w:val="0"/>
        <w:rPr>
          <w:rFonts w:hint="eastAsia" w:ascii="仿宋" w:hAnsi="仿宋" w:eastAsia="仿宋" w:cs="仿宋"/>
          <w:color w:val="auto"/>
          <w:kern w:val="2"/>
          <w:sz w:val="28"/>
          <w:szCs w:val="28"/>
          <w:highlight w:val="none"/>
          <w:lang w:eastAsia="zh-CN"/>
        </w:rPr>
      </w:pPr>
      <w:bookmarkStart w:id="35" w:name="_Toc1386"/>
      <w:bookmarkStart w:id="36" w:name="_Toc7568"/>
      <w:r>
        <w:rPr>
          <w:rFonts w:hint="eastAsia" w:ascii="仿宋" w:hAnsi="仿宋" w:eastAsia="仿宋" w:cs="仿宋"/>
          <w:b/>
          <w:bCs/>
          <w:kern w:val="2"/>
          <w:sz w:val="28"/>
          <w:szCs w:val="28"/>
          <w:highlight w:val="none"/>
        </w:rPr>
        <w:t>附件：</w:t>
      </w:r>
      <w:bookmarkEnd w:id="35"/>
      <w:r>
        <w:rPr>
          <w:rFonts w:hint="eastAsia" w:ascii="仿宋" w:hAnsi="仿宋" w:eastAsia="仿宋" w:cs="仿宋"/>
          <w:b/>
          <w:bCs/>
          <w:kern w:val="2"/>
          <w:sz w:val="28"/>
          <w:szCs w:val="28"/>
          <w:highlight w:val="none"/>
          <w:lang w:val="en-US" w:eastAsia="zh-CN"/>
        </w:rPr>
        <w:t>湛江市土地储备管理中心2022年部门整体支出绩效指标评分表</w:t>
      </w:r>
      <w:bookmarkEnd w:id="36"/>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firstLine="4200" w:firstLineChars="1500"/>
        <w:contextualSpacing/>
        <w:jc w:val="both"/>
        <w:textAlignment w:val="auto"/>
        <w:rPr>
          <w:rFonts w:hint="eastAsia" w:ascii="仿宋" w:hAnsi="仿宋" w:eastAsia="仿宋" w:cs="仿宋"/>
          <w:color w:val="auto"/>
          <w:kern w:val="2"/>
          <w:sz w:val="28"/>
          <w:szCs w:val="28"/>
          <w:highlight w:val="none"/>
          <w:lang w:eastAsia="zh-CN"/>
        </w:rPr>
      </w:pP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right="45" w:firstLine="1400" w:firstLineChars="500"/>
        <w:contextualSpacing/>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2023年9月22日</w:t>
      </w:r>
    </w:p>
    <w:p/>
    <w:sectPr>
      <w:footerReference r:id="rId5" w:type="default"/>
      <w:pgSz w:w="11906" w:h="16838"/>
      <w:pgMar w:top="1134" w:right="1701" w:bottom="1361"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2000000000000000000"/>
    <w:charset w:val="86"/>
    <w:family w:val="script"/>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隶书">
    <w:altName w:val="报隶-简"/>
    <w:panose1 w:val="0201050906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报隶-简">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val="en-US" w:eastAsia="zh-CN"/>
      </w:rPr>
    </w:pPr>
  </w:p>
  <w:p>
    <w:pPr>
      <w:pStyle w:val="4"/>
      <w:jc w:val="center"/>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4"/>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GM3ZTg4YWYyYzI2ZGFmYTc4NDVjNTM5MDQyMGYifQ=="/>
  </w:docVars>
  <w:rsids>
    <w:rsidRoot w:val="0FDF4A9B"/>
    <w:rsid w:val="0FDF4A9B"/>
    <w:rsid w:val="49601CF1"/>
    <w:rsid w:val="55CF1CB7"/>
    <w:rsid w:val="67990A8F"/>
    <w:rsid w:val="6FFD7A48"/>
    <w:rsid w:val="FFBEE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eastAsia="宋体" w:cs="Times New Roman"/>
      <w:sz w:val="21"/>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_Style 1"/>
    <w:basedOn w:val="1"/>
    <w:qFormat/>
    <w:uiPriority w:val="0"/>
    <w:pPr>
      <w:ind w:firstLine="420" w:firstLineChars="200"/>
    </w:p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14">
    <w:name w:val="font51"/>
    <w:basedOn w:val="9"/>
    <w:uiPriority w:val="0"/>
    <w:rPr>
      <w:rFonts w:hint="default" w:ascii="仿宋" w:hAnsi="仿宋" w:eastAsia="仿宋" w:cs="仿宋"/>
      <w:b/>
      <w:bCs/>
      <w:color w:val="000000"/>
      <w:sz w:val="24"/>
      <w:szCs w:val="24"/>
      <w:u w:val="none"/>
    </w:rPr>
  </w:style>
  <w:style w:type="character" w:customStyle="1" w:styleId="15">
    <w:name w:val="font61"/>
    <w:basedOn w:val="9"/>
    <w:uiPriority w:val="0"/>
    <w:rPr>
      <w:rFonts w:hint="default" w:ascii="仿宋" w:hAnsi="仿宋" w:eastAsia="仿宋" w:cs="仿宋"/>
      <w:color w:val="000000"/>
      <w:sz w:val="24"/>
      <w:szCs w:val="24"/>
      <w:u w:val="none"/>
    </w:rPr>
  </w:style>
  <w:style w:type="character" w:customStyle="1" w:styleId="16">
    <w:name w:val="页码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2023-10-18T09:30:00Z</dcterms:created>
  <dc:creator>陈文霞</dc:creator>
  <cp:lastModifiedBy>陈文霞</cp:lastModifiedBy>
  <dcterms:modified xsi:type="dcterms:W3CDTF">2023-11-03T10:07:37Z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5AE96BDA162565222F542E65D54E7D62_41</vt:lpwstr>
  </property>
</Properties>
</file>