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p>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p>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keepNext w:val="0"/>
        <w:keepLines w:val="0"/>
        <w:pageBreakBefore w:val="0"/>
        <w:kinsoku/>
        <w:overflowPunct/>
        <w:topLinePunct w:val="0"/>
        <w:autoSpaceDE/>
        <w:autoSpaceDN/>
        <w:bidi w:val="0"/>
        <w:spacing w:line="360" w:lineRule="auto"/>
        <w:ind w:firstLine="2240" w:firstLineChars="700"/>
        <w:textAlignment w:val="auto"/>
        <w:rPr>
          <w:rFonts w:hint="eastAsia" w:ascii="仿宋" w:hAnsi="仿宋" w:eastAsia="仿宋" w:cs="仿宋"/>
          <w:sz w:val="32"/>
          <w:szCs w:val="32"/>
          <w:highlight w:val="none"/>
        </w:rPr>
        <w:sectPr>
          <w:headerReference r:id="rId3" w:type="default"/>
          <w:footerReference r:id="rId4" w:type="default"/>
          <w:footerReference r:id="rId5" w:type="even"/>
          <w:pgSz w:w="11906" w:h="16838"/>
          <w:pgMar w:top="1134" w:right="1701" w:bottom="1361" w:left="1701" w:header="851" w:footer="992" w:gutter="0"/>
          <w:pgNumType w:fmt="decimal" w:start="1"/>
          <w:cols w:space="425" w:num="2"/>
          <w:docGrid w:type="lines" w:linePitch="312" w:charSpace="0"/>
        </w:sect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rPr>
      </w:pPr>
      <w:r>
        <w:rPr>
          <w:rFonts w:hint="eastAsia" w:asciiTheme="minorEastAsia" w:hAnsiTheme="minorEastAsia" w:eastAsiaTheme="minorEastAsia"/>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6"/>
          <w:szCs w:val="36"/>
          <w:highlight w:val="none"/>
          <w:lang w:eastAsia="zh-CN"/>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w:t>
      </w:r>
      <w:r>
        <w:rPr>
          <w:rFonts w:hint="eastAsia" w:asciiTheme="minorEastAsia" w:hAnsiTheme="minorEastAsia" w:eastAsiaTheme="minorEastAsia"/>
          <w:b/>
          <w:bCs/>
          <w:sz w:val="36"/>
          <w:szCs w:val="36"/>
          <w:highlight w:val="none"/>
          <w:lang w:eastAsia="zh-CN"/>
        </w:rPr>
        <w:t>度</w:t>
      </w:r>
      <w:r>
        <w:rPr>
          <w:rFonts w:hint="eastAsia" w:asciiTheme="minorEastAsia" w:hAnsiTheme="minorEastAsia" w:eastAsiaTheme="minorEastAsia"/>
          <w:b/>
          <w:bCs/>
          <w:sz w:val="36"/>
          <w:szCs w:val="36"/>
          <w:highlight w:val="none"/>
        </w:rPr>
        <w:t>项目</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eastAsia="zh-CN"/>
        </w:rPr>
        <w:t>核查</w:t>
      </w:r>
      <w:r>
        <w:rPr>
          <w:rFonts w:hint="eastAsia" w:asciiTheme="minorEastAsia" w:hAnsiTheme="minorEastAsia" w:eastAsiaTheme="minorEastAsia"/>
          <w:b/>
          <w:bCs/>
          <w:sz w:val="36"/>
          <w:szCs w:val="36"/>
          <w:highlight w:val="none"/>
        </w:rPr>
        <w:t>报告</w:t>
      </w:r>
    </w:p>
    <w:p>
      <w:pPr>
        <w:jc w:val="center"/>
        <w:rPr>
          <w:rFonts w:ascii="Times New Roman" w:hAnsi="Times New Roman" w:eastAsia="仿宋_GB2312"/>
          <w:b/>
          <w:kern w:val="0"/>
          <w:sz w:val="36"/>
          <w:szCs w:val="36"/>
          <w:highlight w:val="none"/>
        </w:rPr>
      </w:pP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32"/>
          <w:szCs w:val="32"/>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p>
      <w:pPr>
        <w:pStyle w:val="37"/>
        <w:rPr>
          <w:rFonts w:hint="eastAsia" w:ascii="仿宋_GB2312" w:hAnsi="仿宋_GB2312" w:eastAsia="仿宋_GB2312" w:cs="仿宋_GB2312"/>
          <w:sz w:val="32"/>
          <w:szCs w:val="40"/>
          <w:highlight w:val="none"/>
        </w:rPr>
      </w:pPr>
    </w:p>
    <w:p>
      <w:pPr>
        <w:pStyle w:val="9"/>
        <w:widowControl/>
        <w:tabs>
          <w:tab w:val="right" w:leader="dot" w:pos="8958"/>
        </w:tabs>
        <w:spacing w:before="240" w:after="120" w:line="520" w:lineRule="exact"/>
        <w:jc w:val="both"/>
        <w:rPr>
          <w:rFonts w:hint="eastAsia" w:ascii="Cambria" w:hAnsi="Cambria" w:eastAsia="方正小标宋简体"/>
          <w:caps/>
          <w:sz w:val="36"/>
          <w:szCs w:val="36"/>
          <w:highlight w:val="none"/>
          <w:lang w:val="zh-CN"/>
        </w:rPr>
        <w:sectPr>
          <w:footerReference r:id="rId6"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jc w:val="center"/>
        <w:rPr>
          <w:rFonts w:hint="eastAsia" w:ascii="仿宋" w:hAnsi="仿宋" w:eastAsia="仿宋" w:cs="仿宋"/>
          <w:b/>
          <w:bCs/>
          <w:caps/>
          <w:kern w:val="2"/>
          <w:sz w:val="36"/>
          <w:szCs w:val="36"/>
          <w:highlight w:val="none"/>
          <w:lang w:val="en-US" w:eastAsia="zh-CN" w:bidi="ar-SA"/>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18" w:right="1418" w:bottom="1418" w:left="1418" w:header="851" w:footer="992" w:gutter="0"/>
          <w:pgNumType w:fmt="decimal"/>
          <w:cols w:space="720" w:num="1"/>
          <w:docGrid w:type="lines" w:linePitch="312" w:charSpace="0"/>
        </w:sect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_Toc4951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一、项目基本情况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_Toc4951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_Toc17530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（一）项目概况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_Toc17530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_Toc17257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（二）项目立项依据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_Toc17257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_Toc1156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（三）项目</w:t>
      </w:r>
      <w:r>
        <w:rPr>
          <w:rFonts w:hint="eastAsia" w:ascii="仿宋" w:hAnsi="仿宋" w:eastAsia="仿宋" w:cs="仿宋"/>
          <w:sz w:val="28"/>
          <w:szCs w:val="28"/>
          <w:highlight w:val="none"/>
        </w:rPr>
        <w:t>绩效目标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_Toc1156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_Toc26798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（四）项目建设内容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_Toc26798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_Toc25132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、核查工作开展情况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_Toc25132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_Toc28273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_Toc28273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_Toc24406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评价过程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_Toc24406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（三）评价原则和方法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_Toc19758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三、项目实施情况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_Toc19758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_Toc18632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项目实施情况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_Toc18632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_Toc18859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（二）项目资金情况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_Toc18859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_Toc15964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四、核查结论</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_Toc15964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_Toc13877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存在问题</w:t>
      </w:r>
      <w:r>
        <w:rPr>
          <w:rFonts w:hint="eastAsia" w:ascii="仿宋" w:hAnsi="仿宋" w:eastAsia="仿宋" w:cs="仿宋"/>
          <w:b/>
          <w:bCs/>
          <w:sz w:val="28"/>
          <w:szCs w:val="28"/>
          <w:highlight w:val="none"/>
          <w:lang w:eastAsia="zh-CN"/>
        </w:rPr>
        <w:t>及相关建议</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_Toc4560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_Toc121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eastAsia="zh-CN"/>
        </w:rPr>
        <w:t>湛江市民政局202</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年度项目支出</w:t>
      </w:r>
      <w:r>
        <w:rPr>
          <w:rFonts w:hint="eastAsia" w:ascii="仿宋" w:hAnsi="仿宋" w:eastAsia="仿宋" w:cs="仿宋"/>
          <w:b/>
          <w:bCs/>
          <w:sz w:val="28"/>
          <w:szCs w:val="28"/>
          <w:highlight w:val="none"/>
        </w:rPr>
        <w:t>绩效</w:t>
      </w:r>
      <w:r>
        <w:rPr>
          <w:rFonts w:hint="eastAsia" w:ascii="仿宋" w:hAnsi="仿宋" w:eastAsia="仿宋" w:cs="仿宋"/>
          <w:b/>
          <w:bCs/>
          <w:sz w:val="28"/>
          <w:szCs w:val="28"/>
          <w:highlight w:val="none"/>
          <w:lang w:val="en-US" w:eastAsia="zh-CN"/>
        </w:rPr>
        <w:t>指标评分表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32"/>
          <w:szCs w:val="32"/>
          <w:highlight w:val="none"/>
        </w:rPr>
      </w:pPr>
      <w:r>
        <w:rPr>
          <w:rFonts w:hint="eastAsia" w:ascii="仿宋" w:hAnsi="仿宋" w:eastAsia="仿宋" w:cs="仿宋"/>
          <w:sz w:val="28"/>
          <w:szCs w:val="28"/>
          <w:highlight w:val="none"/>
        </w:rPr>
        <w:fldChar w:fldCharType="end"/>
      </w:r>
    </w:p>
    <w:p>
      <w:pPr>
        <w:rPr>
          <w:highlight w:val="none"/>
        </w:rPr>
        <w:sectPr>
          <w:footerReference r:id="rId13" w:type="default"/>
          <w:pgSz w:w="11906" w:h="16838"/>
          <w:pgMar w:top="1418" w:right="1418" w:bottom="1418" w:left="1418" w:header="851" w:footer="992" w:gutter="0"/>
          <w:pgNumType w:fmt="decimal" w:start="1"/>
          <w:cols w:space="720" w:num="1"/>
          <w:docGrid w:type="lines" w:linePitch="312" w:charSpace="0"/>
        </w:sectPr>
      </w:pPr>
    </w:p>
    <w:tbl>
      <w:tblPr>
        <w:tblStyle w:val="13"/>
        <w:tblW w:w="0" w:type="auto"/>
        <w:jc w:val="center"/>
        <w:tblLayout w:type="fixed"/>
        <w:tblCellMar>
          <w:top w:w="0" w:type="dxa"/>
          <w:left w:w="108" w:type="dxa"/>
          <w:bottom w:w="0" w:type="dxa"/>
          <w:right w:w="108" w:type="dxa"/>
        </w:tblCellMar>
      </w:tblPr>
      <w:tblGrid>
        <w:gridCol w:w="1276"/>
        <w:gridCol w:w="7226"/>
      </w:tblGrid>
      <w:tr>
        <w:tblPrEx>
          <w:tblCellMar>
            <w:top w:w="0" w:type="dxa"/>
            <w:left w:w="108" w:type="dxa"/>
            <w:bottom w:w="0" w:type="dxa"/>
            <w:right w:w="108" w:type="dxa"/>
          </w:tblCellMar>
        </w:tblPrEx>
        <w:trPr>
          <w:cantSplit/>
          <w:trHeight w:val="629" w:hRule="atLeast"/>
          <w:jc w:val="center"/>
        </w:trPr>
        <w:tc>
          <w:tcPr>
            <w:tcW w:w="1276" w:type="dxa"/>
            <w:vMerge w:val="restart"/>
          </w:tcPr>
          <w:tbl>
            <w:tblPr>
              <w:tblStyle w:val="13"/>
              <w:tblW w:w="0" w:type="auto"/>
              <w:tblInd w:w="0" w:type="dxa"/>
              <w:tblLayout w:type="fixed"/>
              <w:tblCellMar>
                <w:top w:w="0" w:type="dxa"/>
                <w:left w:w="108" w:type="dxa"/>
                <w:bottom w:w="0" w:type="dxa"/>
                <w:right w:w="108" w:type="dxa"/>
              </w:tblCellMar>
            </w:tblPr>
            <w:tblGrid>
              <w:gridCol w:w="2522"/>
              <w:gridCol w:w="2522"/>
            </w:tblGrid>
            <w:tr>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60288" behindDoc="0" locked="0" layoutInCell="1" allowOverlap="1">
                        <wp:simplePos x="0" y="0"/>
                        <wp:positionH relativeFrom="column">
                          <wp:posOffset>-62865</wp:posOffset>
                        </wp:positionH>
                        <wp:positionV relativeFrom="paragraph">
                          <wp:posOffset>-1270</wp:posOffset>
                        </wp:positionV>
                        <wp:extent cx="695325" cy="695325"/>
                        <wp:effectExtent l="0" t="0" r="9525" b="9525"/>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blPrEx>
                <w:tblCellMar>
                  <w:top w:w="0" w:type="dxa"/>
                  <w:left w:w="108" w:type="dxa"/>
                  <w:bottom w:w="0" w:type="dxa"/>
                  <w:right w:w="108" w:type="dxa"/>
                </w:tblCellMar>
              </w:tblPrEx>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1312;mso-width-relative:page;mso-height-relative:page;" filled="f" stroked="t" coordsize="21600,21600" o:gfxdata="UEsDBAoAAAAAAIdO4kAAAAAAAAAAAAAAAAAEAAAAZHJzL1BLAwQUAAAACACHTuJAi5sEpdQAAAAI&#10;AQAADwAAAGRycy9kb3ducmV2LnhtbE2PwU7DMAyG70i8Q2QkbluSqaBSmk5iEpfdKBNwzBrTVjRO&#10;1WTd+vYYcYCj/f/6/LncXvwgZpxiH8iAXisQSE1wPbUGDq/PqxxETJacHQKhgQUjbKvrq9IWLpzp&#10;Bec6tYIhFAtroEtpLKSMTYfexnUYkTj7DJO3iceplW6yZ4b7QW6Uupfe9sQXOjvirsPmqz55pty9&#10;5097mx+WZag/HrLd234mb8ztjVaPIBJe0l8ZfvRZHSp2OoYTuSgGAyvN5slApjQIzvNMb0Acfxey&#10;KuX/B6pvUEsDBBQAAAAIAIdO4kDu+4EF/QEAAOADAAAOAAAAZHJzL2Uyb0RvYy54bWytUzuO2zAQ&#10;7QPkDgT7WLIXXtuC5S3W2DT5GEhyAJqiJAL8gcO17EvkAgHSJVXK9LnNbo6RIan9ZNNsERXkcDjz&#10;Zt7jaH1x1IochAdpTU2nk5ISYbhtpOlq+unj1aslJRCYaZiyRtT0JIBebF6+WA+uEjPbW9UITxDE&#10;QDW4mvYhuKoogPdCM5hYJwxettZrFvDou6LxbEB0rYpZWZ4Xg/WN85YLAPRu8yUdEf1zAG3bSi62&#10;ll9rYUJG9UKxgJSglw7oJnXbtoKH920LIhBVU2Qa0opF0N7HtdisWdV55nrJxxbYc1p4wkkzabDo&#10;PdSWBUauvfwHSkvuLdg2TLjVRSaSFEEW0/KJNh965kTiglKDuxcd/h8sf3fYeSKbmq4oMUzjg99+&#10;+Xnz+dvvX19xvf3xnayiSIODCmMvzc6PJ3A7HxkfW6/jjlzIEQeqXC1mS5T3hPb5bLlYzLPI4hgI&#10;x4D52fysnGMAx4j0AMUDiPMQXgurSTRqqqSJ/FnFDm8gYGEMvQuJbmOvpFLpDZUhA1ZcZWiGg9ni&#10;QGAV7ZAcmI4SpjqceB58ggSrZBPTIxD4bn+pPDmwOCfpy0E9a0T2rubozlSAhbe2ye4pFsx+7G2E&#10;SX3+hR+b3jLoc066ilCYogxuUd2sZ7T2tjklmZMfHz4FjkMaJ+vxOWU//Ji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bBKXUAAAACAEAAA8AAAAAAAAAAQAgAAAAIgAAAGRycy9kb3ducmV2Lnht&#10;bFBLAQIUABQAAAAIAIdO4kDu+4EF/QEAAOADAAAOAAAAAAAAAAEAIAAAACMBAABkcnMvZTJvRG9j&#10;LnhtbFBLBQYAAAAABgAGAFkBAACSBQAAAAA=&#10;">
                      <v:fill on="f" focussize="0,0"/>
                      <v:stroke weight="1.5pt" color="#000000 [3200]" joinstyle="round"/>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blPrEx>
          <w:tblCellMar>
            <w:top w:w="0" w:type="dxa"/>
            <w:left w:w="108" w:type="dxa"/>
            <w:bottom w:w="0" w:type="dxa"/>
            <w:right w:w="108" w:type="dxa"/>
          </w:tblCellMar>
        </w:tblPrEx>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kinsoku/>
        <w:wordWrap/>
        <w:overflowPunct/>
        <w:topLinePunct w:val="0"/>
        <w:autoSpaceDE/>
        <w:autoSpaceDN/>
        <w:bidi w:val="0"/>
        <w:snapToGrid w:val="0"/>
        <w:spacing w:line="360" w:lineRule="auto"/>
        <w:ind w:firstLine="480" w:firstLineChars="200"/>
        <w:jc w:val="right"/>
        <w:textAlignment w:val="auto"/>
        <w:rPr>
          <w:rFonts w:hint="eastAsia" w:ascii="仿宋" w:hAnsi="仿宋" w:eastAsia="仿宋" w:cs="仿宋"/>
          <w:color w:val="auto"/>
          <w:kern w:val="2"/>
          <w:sz w:val="28"/>
          <w:szCs w:val="28"/>
          <w:highlight w:val="none"/>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37"/>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6"/>
          <w:szCs w:val="36"/>
          <w:highlight w:val="none"/>
          <w:lang w:eastAsia="zh-CN"/>
        </w:rPr>
      </w:pPr>
      <w:r>
        <w:rPr>
          <w:rFonts w:hint="eastAsia" w:ascii="宋体" w:hAnsi="宋体" w:eastAsia="宋体" w:cs="宋体"/>
          <w:b/>
          <w:bCs/>
          <w:sz w:val="36"/>
          <w:szCs w:val="36"/>
          <w:highlight w:val="none"/>
          <w:lang w:eastAsia="zh-CN"/>
        </w:rPr>
        <w:t>202</w:t>
      </w:r>
      <w:r>
        <w:rPr>
          <w:rFonts w:hint="eastAsia" w:ascii="宋体" w:hAnsi="宋体" w:cs="宋体"/>
          <w:b/>
          <w:bCs/>
          <w:sz w:val="36"/>
          <w:szCs w:val="36"/>
          <w:highlight w:val="none"/>
          <w:lang w:val="en-US" w:eastAsia="zh-CN"/>
        </w:rPr>
        <w:t>2</w:t>
      </w:r>
      <w:r>
        <w:rPr>
          <w:rFonts w:hint="eastAsia" w:ascii="宋体" w:hAnsi="宋体" w:eastAsia="宋体" w:cs="宋体"/>
          <w:b/>
          <w:bCs/>
          <w:sz w:val="36"/>
          <w:szCs w:val="36"/>
          <w:highlight w:val="none"/>
          <w:lang w:eastAsia="zh-CN"/>
        </w:rPr>
        <w:t>年度项目支出绩效</w:t>
      </w:r>
      <w:r>
        <w:rPr>
          <w:rFonts w:hint="eastAsia" w:ascii="宋体" w:hAnsi="宋体" w:cs="宋体"/>
          <w:b/>
          <w:bCs/>
          <w:sz w:val="36"/>
          <w:szCs w:val="36"/>
          <w:highlight w:val="none"/>
          <w:lang w:eastAsia="zh-CN"/>
        </w:rPr>
        <w:t>核查</w:t>
      </w:r>
      <w:r>
        <w:rPr>
          <w:rFonts w:hint="eastAsia" w:ascii="宋体" w:hAnsi="宋体" w:eastAsia="宋体" w:cs="宋体"/>
          <w:b/>
          <w:bCs/>
          <w:sz w:val="36"/>
          <w:szCs w:val="36"/>
          <w:highlight w:val="none"/>
          <w:lang w:eastAsia="zh-CN"/>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color w:val="auto"/>
          <w:kern w:val="2"/>
          <w:sz w:val="32"/>
          <w:szCs w:val="32"/>
          <w:highlight w:val="none"/>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《广东省人民政府关于加强统筹进一步深化预算管理制度改革的实施意见》（粤府〔2021〕34 号）的文件精神，按照财政部关于印发《项目支出绩效评价管理办法》的通知</w:t>
      </w:r>
      <w:r>
        <w:rPr>
          <w:rFonts w:hint="eastAsia" w:ascii="仿宋" w:hAnsi="仿宋" w:eastAsia="仿宋" w:cs="仿宋"/>
          <w:color w:val="auto"/>
          <w:kern w:val="2"/>
          <w:sz w:val="28"/>
          <w:szCs w:val="28"/>
          <w:highlight w:val="none"/>
          <w:lang w:val="en-US" w:eastAsia="zh-CN"/>
        </w:rPr>
        <w:t>(</w:t>
      </w:r>
      <w:r>
        <w:rPr>
          <w:rFonts w:hint="eastAsia" w:ascii="仿宋" w:hAnsi="仿宋" w:eastAsia="仿宋" w:cs="仿宋"/>
          <w:color w:val="auto"/>
          <w:kern w:val="2"/>
          <w:sz w:val="28"/>
          <w:szCs w:val="28"/>
          <w:highlight w:val="none"/>
        </w:rPr>
        <w:t>财预〔202</w:t>
      </w:r>
      <w:r>
        <w:rPr>
          <w:rFonts w:hint="eastAsia" w:ascii="仿宋" w:hAnsi="仿宋" w:eastAsia="仿宋" w:cs="仿宋"/>
          <w:color w:val="auto"/>
          <w:kern w:val="2"/>
          <w:sz w:val="28"/>
          <w:szCs w:val="28"/>
          <w:highlight w:val="none"/>
          <w:lang w:val="en-US" w:eastAsia="zh-CN"/>
        </w:rPr>
        <w:t>0</w:t>
      </w:r>
      <w:r>
        <w:rPr>
          <w:rFonts w:hint="eastAsia" w:ascii="仿宋" w:hAnsi="仿宋" w:eastAsia="仿宋" w:cs="仿宋"/>
          <w:color w:val="auto"/>
          <w:kern w:val="2"/>
          <w:sz w:val="28"/>
          <w:szCs w:val="28"/>
          <w:highlight w:val="none"/>
        </w:rPr>
        <w:t>〕10号</w:t>
      </w:r>
      <w:r>
        <w:rPr>
          <w:rFonts w:hint="eastAsia" w:ascii="仿宋" w:hAnsi="仿宋" w:eastAsia="仿宋" w:cs="仿宋"/>
          <w:color w:val="auto"/>
          <w:kern w:val="2"/>
          <w:sz w:val="28"/>
          <w:szCs w:val="28"/>
          <w:highlight w:val="none"/>
          <w:lang w:val="en-US" w:eastAsia="zh-CN"/>
        </w:rPr>
        <w:t>)以及</w:t>
      </w:r>
      <w:r>
        <w:rPr>
          <w:rFonts w:hint="eastAsia" w:ascii="仿宋" w:hAnsi="仿宋" w:eastAsia="仿宋" w:cs="仿宋"/>
          <w:color w:val="auto"/>
          <w:kern w:val="2"/>
          <w:sz w:val="28"/>
          <w:szCs w:val="28"/>
          <w:highlight w:val="none"/>
          <w:lang w:eastAsia="zh-CN"/>
        </w:rPr>
        <w:t>湛江市财政局《湛江财政局关于开展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等有关</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湛江市财政局</w:t>
      </w:r>
      <w:r>
        <w:rPr>
          <w:rFonts w:hint="eastAsia" w:ascii="仿宋" w:hAnsi="仿宋" w:eastAsia="仿宋" w:cs="仿宋"/>
          <w:color w:val="auto"/>
          <w:kern w:val="2"/>
          <w:sz w:val="28"/>
          <w:szCs w:val="28"/>
          <w:highlight w:val="none"/>
        </w:rPr>
        <w:t>委托，</w:t>
      </w:r>
      <w:r>
        <w:rPr>
          <w:rFonts w:hint="eastAsia" w:ascii="仿宋" w:hAnsi="仿宋" w:eastAsia="仿宋" w:cs="仿宋"/>
          <w:kern w:val="0"/>
          <w:sz w:val="28"/>
          <w:szCs w:val="28"/>
          <w:highlight w:val="none"/>
          <w:lang w:eastAsia="zh-CN"/>
        </w:rPr>
        <w:t>广东诚安信会计师事务所</w:t>
      </w:r>
      <w:r>
        <w:rPr>
          <w:rFonts w:hint="eastAsia" w:ascii="仿宋" w:hAnsi="仿宋" w:eastAsia="仿宋" w:cs="仿宋"/>
          <w:color w:val="auto"/>
          <w:sz w:val="28"/>
          <w:szCs w:val="28"/>
          <w:highlight w:val="none"/>
          <w:lang w:val="en-US" w:eastAsia="zh-CN"/>
        </w:rPr>
        <w:t>对湛江市民政局2022年度项目支出</w:t>
      </w:r>
      <w:r>
        <w:rPr>
          <w:rFonts w:hint="eastAsia" w:ascii="仿宋" w:hAnsi="仿宋" w:eastAsia="仿宋" w:cs="仿宋"/>
          <w:color w:val="auto"/>
          <w:sz w:val="28"/>
          <w:szCs w:val="28"/>
          <w:highlight w:val="none"/>
          <w:lang w:eastAsia="zh-CN"/>
        </w:rPr>
        <w:t>进行</w:t>
      </w:r>
      <w:r>
        <w:rPr>
          <w:rFonts w:hint="eastAsia" w:ascii="仿宋" w:hAnsi="仿宋" w:eastAsia="仿宋" w:cs="仿宋"/>
          <w:color w:val="auto"/>
          <w:sz w:val="28"/>
          <w:szCs w:val="28"/>
          <w:highlight w:val="none"/>
        </w:rPr>
        <w:t>绩效评价</w:t>
      </w:r>
      <w:r>
        <w:rPr>
          <w:rFonts w:hint="eastAsia" w:ascii="仿宋" w:hAnsi="仿宋" w:eastAsia="仿宋" w:cs="仿宋"/>
          <w:color w:val="auto"/>
          <w:kern w:val="2"/>
          <w:sz w:val="28"/>
          <w:szCs w:val="28"/>
          <w:highlight w:val="none"/>
        </w:rPr>
        <w:t>。专家小组通过对</w:t>
      </w:r>
      <w:r>
        <w:rPr>
          <w:rFonts w:hint="eastAsia" w:ascii="仿宋" w:hAnsi="仿宋" w:eastAsia="仿宋" w:cs="仿宋"/>
          <w:color w:val="auto"/>
          <w:kern w:val="2"/>
          <w:sz w:val="28"/>
          <w:szCs w:val="28"/>
          <w:highlight w:val="none"/>
          <w:lang w:eastAsia="zh-CN"/>
        </w:rPr>
        <w:t>湛江市应急管理局</w:t>
      </w:r>
      <w:r>
        <w:rPr>
          <w:rFonts w:hint="eastAsia" w:ascii="仿宋" w:hAnsi="仿宋" w:eastAsia="仿宋" w:cs="仿宋"/>
          <w:color w:val="auto"/>
          <w:kern w:val="2"/>
          <w:sz w:val="28"/>
          <w:szCs w:val="28"/>
          <w:highlight w:val="none"/>
          <w:lang w:val="en-US" w:eastAsia="zh-CN"/>
        </w:rPr>
        <w:t>的涉评材料</w:t>
      </w:r>
      <w:r>
        <w:rPr>
          <w:rFonts w:hint="eastAsia" w:ascii="仿宋" w:hAnsi="仿宋" w:eastAsia="仿宋" w:cs="仿宋"/>
          <w:color w:val="auto"/>
          <w:kern w:val="2"/>
          <w:sz w:val="28"/>
          <w:szCs w:val="28"/>
          <w:highlight w:val="none"/>
        </w:rPr>
        <w:t>审核、资金使用管理的合法、合规、合理的审</w:t>
      </w:r>
      <w:r>
        <w:rPr>
          <w:rFonts w:hint="eastAsia" w:ascii="仿宋" w:hAnsi="仿宋" w:eastAsia="仿宋" w:cs="仿宋"/>
          <w:color w:val="auto"/>
          <w:kern w:val="2"/>
          <w:sz w:val="28"/>
          <w:szCs w:val="28"/>
          <w:highlight w:val="none"/>
          <w:lang w:eastAsia="zh-CN"/>
        </w:rPr>
        <w:t>查</w:t>
      </w:r>
      <w:r>
        <w:rPr>
          <w:rFonts w:hint="eastAsia" w:ascii="仿宋" w:hAnsi="仿宋" w:eastAsia="仿宋" w:cs="仿宋"/>
          <w:color w:val="auto"/>
          <w:kern w:val="2"/>
          <w:sz w:val="28"/>
          <w:szCs w:val="28"/>
          <w:highlight w:val="none"/>
        </w:rPr>
        <w:t>，询问了解，进行综合分析、客观公正评价，得出评价结论，并形成《</w:t>
      </w:r>
      <w:r>
        <w:rPr>
          <w:rFonts w:hint="eastAsia" w:ascii="仿宋" w:hAnsi="仿宋" w:eastAsia="仿宋" w:cs="仿宋"/>
          <w:color w:val="auto"/>
          <w:sz w:val="28"/>
          <w:szCs w:val="28"/>
          <w:highlight w:val="none"/>
          <w:lang w:eastAsia="zh-CN"/>
        </w:rPr>
        <w:t>湛江市民政局202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年度项目支出绩效核查报告</w:t>
      </w:r>
      <w:r>
        <w:rPr>
          <w:rFonts w:hint="eastAsia" w:ascii="仿宋" w:hAnsi="仿宋" w:eastAsia="仿宋" w:cs="仿宋"/>
          <w:color w:val="auto"/>
          <w:kern w:val="2"/>
          <w:sz w:val="28"/>
          <w:szCs w:val="28"/>
          <w:highlight w:val="none"/>
        </w:rPr>
        <w:t>》，报告内容具体如下：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 w:name="_Toc17798"/>
      <w:bookmarkStart w:id="3" w:name="_Toc19058"/>
      <w:bookmarkStart w:id="4" w:name="_Toc4951"/>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、项目</w:t>
      </w:r>
      <w:bookmarkEnd w:id="3"/>
      <w:r>
        <w:rPr>
          <w:rFonts w:hint="eastAsia" w:ascii="仿宋" w:hAnsi="仿宋" w:eastAsia="仿宋" w:cs="仿宋"/>
          <w:b/>
          <w:bCs/>
          <w:color w:val="auto"/>
          <w:sz w:val="28"/>
          <w:szCs w:val="28"/>
          <w:highlight w:val="none"/>
          <w:lang w:val="en-US" w:eastAsia="zh-CN"/>
        </w:rPr>
        <w:t>基本情况</w:t>
      </w:r>
      <w:bookmarkEnd w:id="4"/>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5" w:name="_Toc30136"/>
      <w:bookmarkStart w:id="6" w:name="_Toc6078"/>
      <w:bookmarkStart w:id="7" w:name="_Toc17530"/>
      <w:r>
        <w:rPr>
          <w:rFonts w:hint="eastAsia" w:ascii="仿宋" w:hAnsi="仿宋" w:eastAsia="仿宋" w:cs="仿宋"/>
          <w:color w:val="auto"/>
          <w:sz w:val="28"/>
          <w:szCs w:val="28"/>
          <w:highlight w:val="none"/>
          <w:lang w:eastAsia="zh-CN"/>
        </w:rPr>
        <w:t>（一）</w:t>
      </w:r>
      <w:bookmarkEnd w:id="5"/>
      <w:bookmarkEnd w:id="6"/>
      <w:r>
        <w:rPr>
          <w:rFonts w:hint="eastAsia" w:ascii="仿宋" w:hAnsi="仿宋" w:eastAsia="仿宋" w:cs="仿宋"/>
          <w:color w:val="auto"/>
          <w:sz w:val="28"/>
          <w:szCs w:val="28"/>
          <w:highlight w:val="none"/>
          <w:lang w:eastAsia="zh-CN"/>
        </w:rPr>
        <w:t>项目概况</w:t>
      </w:r>
      <w:bookmarkEnd w:id="7"/>
    </w:p>
    <w:p>
      <w:pPr>
        <w:keepNext w:val="0"/>
        <w:keepLines w:val="0"/>
        <w:pageBreakBefore w:val="0"/>
        <w:kinsoku/>
        <w:wordWrap/>
        <w:overflowPunct/>
        <w:topLinePunct w:val="0"/>
        <w:autoSpaceDE/>
        <w:autoSpaceDN/>
        <w:bidi w:val="0"/>
        <w:adjustRightInd/>
        <w:snapToGrid w:val="0"/>
        <w:spacing w:line="560" w:lineRule="exact"/>
        <w:ind w:left="1959" w:leftChars="266" w:hanging="1400" w:hangingChars="500"/>
        <w:jc w:val="both"/>
        <w:textAlignment w:val="auto"/>
        <w:rPr>
          <w:rFonts w:hint="default" w:ascii="仿宋" w:hAnsi="仿宋" w:eastAsia="仿宋" w:cs="仿宋"/>
          <w:color w:val="auto"/>
          <w:sz w:val="28"/>
          <w:szCs w:val="28"/>
          <w:highlight w:val="none"/>
          <w:lang w:val="en-US" w:eastAsia="zh-CN"/>
        </w:rPr>
      </w:pPr>
      <w:bookmarkStart w:id="8" w:name="_Toc14172"/>
      <w:r>
        <w:rPr>
          <w:rFonts w:hint="eastAsia" w:ascii="仿宋" w:hAnsi="仿宋" w:eastAsia="仿宋" w:cs="仿宋"/>
          <w:color w:val="auto"/>
          <w:sz w:val="28"/>
          <w:szCs w:val="28"/>
          <w:highlight w:val="none"/>
          <w:lang w:val="en-US" w:eastAsia="zh-CN"/>
        </w:rPr>
        <w:t>项目名称：残疾人两项补贴</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项目单位：湛江市民政局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项目评价金额：6000万元</w:t>
      </w:r>
      <w:bookmarkEnd w:id="8"/>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9" w:name="_Toc17615"/>
      <w:bookmarkStart w:id="10" w:name="_Toc17257"/>
      <w:r>
        <w:rPr>
          <w:rFonts w:hint="eastAsia" w:ascii="仿宋" w:hAnsi="仿宋" w:eastAsia="仿宋" w:cs="仿宋"/>
          <w:color w:val="auto"/>
          <w:sz w:val="28"/>
          <w:szCs w:val="28"/>
          <w:highlight w:val="none"/>
          <w:lang w:eastAsia="zh-CN"/>
        </w:rPr>
        <w:t>（二）</w:t>
      </w:r>
      <w:bookmarkEnd w:id="9"/>
      <w:r>
        <w:rPr>
          <w:rFonts w:hint="eastAsia" w:ascii="仿宋" w:hAnsi="仿宋" w:eastAsia="仿宋" w:cs="仿宋"/>
          <w:color w:val="auto"/>
          <w:sz w:val="28"/>
          <w:szCs w:val="28"/>
          <w:highlight w:val="none"/>
          <w:lang w:eastAsia="zh-CN"/>
        </w:rPr>
        <w:t>项目立项依据</w:t>
      </w:r>
      <w:bookmarkEnd w:id="10"/>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根据《广东省民政厅 广东省财政厅 广东省残疾人联合会关于印发广东省困难残疾人生活补贴和重度残疾人护理补贴实施办法的通知》(粤民规字〔2021〕1号)、《广东省财政厅 广东省民政厅 广东省残疾人联合会关于2022-2025 年提高我省残疾人两项补贴标准的通知》(粤财社〔2021〕325 号)和《关于下达2022年残疾人两项补贴市级补助资金的通知》(湛财社〔2022〕113号)文件要求，为符合条件的残疾人发放困难生活补贴和重度残疾人护理补贴。</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13952"/>
      <w:bookmarkStart w:id="12" w:name="_Toc7652"/>
      <w:bookmarkStart w:id="13" w:name="_Toc1156"/>
      <w:r>
        <w:rPr>
          <w:rFonts w:hint="eastAsia" w:ascii="仿宋" w:hAnsi="仿宋" w:eastAsia="仿宋" w:cs="仿宋"/>
          <w:color w:val="auto"/>
          <w:sz w:val="28"/>
          <w:szCs w:val="28"/>
          <w:highlight w:val="none"/>
          <w:lang w:eastAsia="zh-CN"/>
        </w:rPr>
        <w:t>（三）</w:t>
      </w:r>
      <w:bookmarkEnd w:id="11"/>
      <w:bookmarkEnd w:id="12"/>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绩效目标</w:t>
      </w:r>
      <w:bookmarkEnd w:id="13"/>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bookmarkStart w:id="14" w:name="_Toc3963"/>
      <w:bookmarkStart w:id="15" w:name="_Toc16787"/>
      <w:r>
        <w:rPr>
          <w:rFonts w:hint="eastAsia" w:ascii="仿宋" w:hAnsi="仿宋" w:eastAsia="仿宋" w:cs="仿宋"/>
          <w:color w:val="auto"/>
          <w:sz w:val="28"/>
          <w:szCs w:val="28"/>
          <w:highlight w:val="none"/>
          <w:lang w:val="en-US" w:eastAsia="zh-CN"/>
        </w:rPr>
        <w:t>2022年底前按时按标准发放困难残疾人生活补贴约5.5万人，发放重度残疾人护理补贴人数约9.7万人。</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6" w:name="_Toc26798"/>
      <w:r>
        <w:rPr>
          <w:rFonts w:hint="eastAsia" w:ascii="仿宋" w:hAnsi="仿宋" w:eastAsia="仿宋" w:cs="仿宋"/>
          <w:color w:val="auto"/>
          <w:sz w:val="28"/>
          <w:szCs w:val="28"/>
          <w:highlight w:val="none"/>
          <w:lang w:val="en-US" w:eastAsia="zh-CN"/>
        </w:rPr>
        <w:t>（四）</w:t>
      </w:r>
      <w:bookmarkEnd w:id="14"/>
      <w:bookmarkEnd w:id="15"/>
      <w:r>
        <w:rPr>
          <w:rFonts w:hint="eastAsia" w:ascii="仿宋" w:hAnsi="仿宋" w:eastAsia="仿宋" w:cs="仿宋"/>
          <w:color w:val="auto"/>
          <w:sz w:val="28"/>
          <w:szCs w:val="28"/>
          <w:highlight w:val="none"/>
          <w:lang w:val="en-US" w:eastAsia="zh-CN"/>
        </w:rPr>
        <w:t>项目建设内容</w:t>
      </w:r>
      <w:bookmarkEnd w:id="16"/>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bookmarkStart w:id="17" w:name="_Toc6754"/>
      <w:bookmarkStart w:id="18" w:name="_Toc22929"/>
      <w:r>
        <w:rPr>
          <w:rFonts w:hint="eastAsia" w:ascii="仿宋" w:hAnsi="仿宋" w:eastAsia="仿宋" w:cs="仿宋"/>
          <w:color w:val="auto"/>
          <w:sz w:val="28"/>
          <w:szCs w:val="28"/>
          <w:highlight w:val="none"/>
          <w:lang w:val="en-US" w:eastAsia="zh-CN"/>
        </w:rPr>
        <w:t>残疾人两项补贴发放范围覆盖10个县（市、区）和福利院内符合领取补贴条件的残疾人。2022年困难残疾人生活补贴标准为188元/月，重度残疾人护理补贴标准为252元/月.人。</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9" w:name="_Toc25132"/>
      <w:r>
        <w:rPr>
          <w:rFonts w:hint="eastAsia" w:ascii="仿宋" w:hAnsi="仿宋" w:eastAsia="仿宋" w:cs="仿宋"/>
          <w:b/>
          <w:bCs/>
          <w:color w:val="auto"/>
          <w:sz w:val="28"/>
          <w:szCs w:val="28"/>
          <w:highlight w:val="none"/>
        </w:rPr>
        <w:t>二</w:t>
      </w:r>
      <w:bookmarkEnd w:id="17"/>
      <w:r>
        <w:rPr>
          <w:rFonts w:hint="eastAsia" w:ascii="仿宋" w:hAnsi="仿宋" w:eastAsia="仿宋" w:cs="仿宋"/>
          <w:b/>
          <w:bCs/>
          <w:color w:val="auto"/>
          <w:sz w:val="28"/>
          <w:szCs w:val="28"/>
          <w:highlight w:val="none"/>
          <w:lang w:eastAsia="zh-CN"/>
        </w:rPr>
        <w:t>、核查工作开展情况</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0" w:name="_Toc28273"/>
      <w:bookmarkStart w:id="21" w:name="_Toc10065"/>
      <w:bookmarkStart w:id="22" w:name="_Toc7852"/>
      <w:bookmarkStart w:id="23" w:name="_Toc1218"/>
      <w:r>
        <w:rPr>
          <w:rFonts w:hint="eastAsia" w:ascii="仿宋" w:hAnsi="仿宋" w:eastAsia="仿宋" w:cs="仿宋"/>
          <w:color w:val="auto"/>
          <w:sz w:val="28"/>
          <w:szCs w:val="28"/>
          <w:highlight w:val="none"/>
        </w:rPr>
        <w:t>（一）评价目的</w:t>
      </w:r>
      <w:bookmarkEnd w:id="20"/>
      <w:bookmarkEnd w:id="21"/>
      <w:bookmarkEnd w:id="2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规范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合理的评价方法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评价指标和评分标准，对财政资金的分配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使用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产出及效果等进行客观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公正的测量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4" w:name="_Toc20897"/>
      <w:bookmarkStart w:id="25" w:name="_Toc24406"/>
      <w:bookmarkStart w:id="26" w:name="_Toc15857"/>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评价过程</w:t>
      </w:r>
      <w:bookmarkEnd w:id="24"/>
      <w:bookmarkEnd w:id="25"/>
      <w:bookmarkEnd w:id="26"/>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w:t>
      </w:r>
      <w:r>
        <w:rPr>
          <w:rFonts w:hint="eastAsia" w:ascii="仿宋" w:hAnsi="仿宋" w:eastAsia="仿宋" w:cs="仿宋"/>
          <w:color w:val="auto"/>
          <w:kern w:val="2"/>
          <w:sz w:val="28"/>
          <w:szCs w:val="28"/>
          <w:highlight w:val="none"/>
          <w:lang w:val="en-US" w:eastAsia="zh-CN"/>
        </w:rPr>
        <w:t>湛江市财政局</w:t>
      </w:r>
      <w:r>
        <w:rPr>
          <w:rFonts w:hint="eastAsia" w:ascii="仿宋" w:hAnsi="仿宋" w:eastAsia="仿宋" w:cs="仿宋"/>
          <w:color w:val="auto"/>
          <w:kern w:val="2"/>
          <w:sz w:val="28"/>
          <w:szCs w:val="28"/>
          <w:highlight w:val="none"/>
          <w:lang w:eastAsia="zh-CN"/>
        </w:rPr>
        <w:t>《湛江财政局关于开展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范围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内容和组织实施工</w:t>
      </w:r>
      <w:r>
        <w:rPr>
          <w:rFonts w:hint="eastAsia" w:ascii="仿宋" w:hAnsi="仿宋" w:eastAsia="仿宋" w:cs="仿宋"/>
          <w:color w:val="auto"/>
          <w:sz w:val="28"/>
          <w:szCs w:val="28"/>
          <w:highlight w:val="none"/>
          <w:lang w:val="en-US" w:eastAsia="zh-CN"/>
        </w:rPr>
        <w:t>作。2023年9月，受湛江市财政局委托，本事务所高度重视，合理配备专业力量，组织绩效评价工作组，制定评价工作实施方案，以认真负责的态度，保证本次绩效评价工作的有序展开。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bookmarkStart w:id="27" w:name="_Toc19029"/>
      <w:bookmarkStart w:id="28" w:name="_Toc3007"/>
      <w:bookmarkStart w:id="29" w:name="_Toc22988"/>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核实与勘验。绩效评价工作专家小组收集评价基础资料并整理分析，作为核查参考，科学确定核查方案</w:t>
      </w:r>
      <w:r>
        <w:rPr>
          <w:rFonts w:hint="eastAsia" w:ascii="仿宋" w:hAnsi="仿宋" w:eastAsia="仿宋" w:cs="仿宋"/>
          <w:color w:val="auto"/>
          <w:sz w:val="28"/>
          <w:szCs w:val="28"/>
          <w:highlight w:val="none"/>
        </w:rPr>
        <w:t>，形成评价意见。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形成评价报告。依据评价结论，并参考对评价单位递交自评材料的审核结果，加强意见沟通，对财政资金支出情况进行全面分析与综合评价，形成本次绩效评价</w:t>
      </w:r>
      <w:r>
        <w:rPr>
          <w:rFonts w:hint="eastAsia" w:ascii="仿宋" w:hAnsi="仿宋" w:eastAsia="仿宋" w:cs="仿宋"/>
          <w:color w:val="auto"/>
          <w:sz w:val="28"/>
          <w:szCs w:val="28"/>
          <w:highlight w:val="none"/>
          <w:lang w:eastAsia="zh-CN"/>
        </w:rPr>
        <w:t>核查</w:t>
      </w:r>
      <w:r>
        <w:rPr>
          <w:rFonts w:hint="eastAsia" w:ascii="仿宋" w:hAnsi="仿宋" w:eastAsia="仿宋" w:cs="仿宋"/>
          <w:color w:val="auto"/>
          <w:sz w:val="28"/>
          <w:szCs w:val="28"/>
          <w:highlight w:val="none"/>
        </w:rPr>
        <w:t>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（三）评价原则和方法</w:t>
      </w:r>
      <w:bookmarkEnd w:id="27"/>
      <w:bookmarkEnd w:id="28"/>
      <w:bookmarkEnd w:id="2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kern w:val="2"/>
          <w:sz w:val="28"/>
          <w:szCs w:val="28"/>
          <w:highlight w:val="none"/>
          <w:lang w:val="en-US" w:eastAsia="zh-CN"/>
        </w:rPr>
        <w:t>湛江市财政局</w:t>
      </w:r>
      <w:r>
        <w:rPr>
          <w:rFonts w:hint="eastAsia" w:ascii="仿宋" w:hAnsi="仿宋" w:eastAsia="仿宋" w:cs="仿宋"/>
          <w:color w:val="auto"/>
          <w:kern w:val="2"/>
          <w:sz w:val="28"/>
          <w:szCs w:val="28"/>
          <w:highlight w:val="none"/>
          <w:lang w:eastAsia="zh-CN"/>
        </w:rPr>
        <w:t>《湛江财政局关于开展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0"/>
        <w:rPr>
          <w:rFonts w:hint="eastAsia" w:ascii="仿宋" w:hAnsi="仿宋" w:eastAsia="仿宋" w:cs="仿宋"/>
          <w:color w:val="auto"/>
          <w:sz w:val="28"/>
          <w:szCs w:val="28"/>
          <w:highlight w:val="none"/>
          <w:lang w:eastAsia="zh-CN"/>
        </w:rPr>
      </w:pPr>
      <w:bookmarkStart w:id="30" w:name="_Toc2217"/>
      <w:r>
        <w:rPr>
          <w:rFonts w:hint="eastAsia" w:ascii="仿宋" w:hAnsi="仿宋" w:eastAsia="仿宋" w:cs="仿宋"/>
          <w:color w:val="auto"/>
          <w:sz w:val="28"/>
          <w:szCs w:val="28"/>
          <w:highlight w:val="none"/>
          <w:lang w:eastAsia="zh-CN"/>
        </w:rPr>
        <w:t>项目评价基准日为</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lang w:eastAsia="zh-CN"/>
        </w:rPr>
        <w:t>日。</w:t>
      </w:r>
      <w:bookmarkEnd w:id="30"/>
      <w:bookmarkStart w:id="31" w:name="bookmark68"/>
      <w:bookmarkEnd w:id="31"/>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32" w:name="_Toc19758"/>
      <w:r>
        <w:rPr>
          <w:rFonts w:hint="eastAsia" w:ascii="仿宋" w:hAnsi="仿宋" w:eastAsia="仿宋" w:cs="仿宋"/>
          <w:b/>
          <w:bCs/>
          <w:color w:val="auto"/>
          <w:sz w:val="28"/>
          <w:szCs w:val="28"/>
          <w:highlight w:val="none"/>
          <w:lang w:eastAsia="zh-CN"/>
        </w:rPr>
        <w:t>三、项目实施情况</w:t>
      </w:r>
      <w:bookmarkEnd w:id="3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33" w:name="_Toc18632"/>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项目实施情况</w:t>
      </w:r>
      <w:bookmarkEnd w:id="3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2022年度共下达市级补助资金6000万元，实际支出5895.66万元，结余104.34万元。2022年全市领取困难残疾人生活补贴人数44564人，领取重疾残疾人护理补贴人数97238人，发放标准依据《广东省财政厅 广东省民政厅 广东省残疾人联合会关于2022-2025年提高我省残疾人两项补贴标准的通知》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粤</w:t>
      </w:r>
      <w:r>
        <w:rPr>
          <w:rFonts w:hint="eastAsia" w:ascii="仿宋" w:hAnsi="仿宋" w:eastAsia="仿宋" w:cs="仿宋"/>
          <w:color w:val="auto"/>
          <w:sz w:val="28"/>
          <w:szCs w:val="28"/>
          <w:highlight w:val="none"/>
          <w:lang w:val="en-US" w:eastAsia="zh-CN"/>
        </w:rPr>
        <w:t>财社〔2021〕325</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文件规定标准。</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34" w:name="_Toc18859"/>
      <w:r>
        <w:rPr>
          <w:rFonts w:hint="eastAsia" w:ascii="仿宋" w:hAnsi="仿宋" w:eastAsia="仿宋" w:cs="仿宋"/>
          <w:color w:val="auto"/>
          <w:sz w:val="28"/>
          <w:szCs w:val="28"/>
          <w:highlight w:val="none"/>
          <w:lang w:eastAsia="zh-CN"/>
        </w:rPr>
        <w:t>项目资金情况</w:t>
      </w:r>
      <w:bookmarkEnd w:id="3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1.资金来源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资金来源为市级补助资金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湛财社〔2022〕113</w:t>
      </w:r>
      <w:r>
        <w:rPr>
          <w:rFonts w:hint="eastAsia" w:ascii="仿宋" w:hAnsi="仿宋" w:eastAsia="仿宋" w:cs="仿宋"/>
          <w:color w:val="auto"/>
          <w:sz w:val="28"/>
          <w:szCs w:val="28"/>
          <w:highlight w:val="none"/>
        </w:rPr>
        <w:t>号）。</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2.资金到位情况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2022年计划安排资金6000万元,实际到位资金6000万元。</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资金使用情况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截止评价基准日，实际已支付的202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年财政资金共计</w:t>
      </w:r>
      <w:r>
        <w:rPr>
          <w:rFonts w:hint="eastAsia" w:ascii="仿宋" w:hAnsi="仿宋" w:eastAsia="仿宋" w:cs="仿宋"/>
          <w:color w:val="auto"/>
          <w:sz w:val="28"/>
          <w:szCs w:val="28"/>
          <w:highlight w:val="none"/>
          <w:lang w:val="en-US" w:eastAsia="zh-CN"/>
        </w:rPr>
        <w:t>5895.66</w:t>
      </w:r>
      <w:r>
        <w:rPr>
          <w:rFonts w:hint="eastAsia" w:ascii="仿宋" w:hAnsi="仿宋" w:eastAsia="仿宋" w:cs="仿宋"/>
          <w:color w:val="auto"/>
          <w:sz w:val="28"/>
          <w:szCs w:val="28"/>
          <w:highlight w:val="none"/>
          <w:lang w:eastAsia="zh-CN"/>
        </w:rPr>
        <w:t>万元，资金使用率</w:t>
      </w:r>
      <w:r>
        <w:rPr>
          <w:rFonts w:hint="eastAsia" w:ascii="仿宋" w:hAnsi="仿宋" w:eastAsia="仿宋" w:cs="仿宋"/>
          <w:color w:val="auto"/>
          <w:sz w:val="28"/>
          <w:szCs w:val="28"/>
          <w:highlight w:val="none"/>
          <w:lang w:val="en-US" w:eastAsia="zh-CN"/>
        </w:rPr>
        <w:t>98.26</w:t>
      </w:r>
      <w:r>
        <w:rPr>
          <w:rFonts w:hint="eastAsia" w:ascii="仿宋" w:hAnsi="仿宋" w:eastAsia="仿宋" w:cs="仿宋"/>
          <w:color w:val="auto"/>
          <w:sz w:val="28"/>
          <w:szCs w:val="28"/>
          <w:highlight w:val="none"/>
          <w:lang w:eastAsia="zh-CN"/>
        </w:rPr>
        <w:t>%，均用于残疾人两项补贴的发放。</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35" w:name="_Toc15964"/>
      <w:r>
        <w:rPr>
          <w:rFonts w:hint="eastAsia" w:ascii="仿宋" w:hAnsi="仿宋" w:eastAsia="仿宋" w:cs="仿宋"/>
          <w:b/>
          <w:bCs/>
          <w:color w:val="auto"/>
          <w:sz w:val="28"/>
          <w:szCs w:val="28"/>
          <w:highlight w:val="none"/>
          <w:lang w:eastAsia="zh-CN"/>
        </w:rPr>
        <w:t>四、核查结论</w:t>
      </w:r>
      <w:bookmarkEnd w:id="23"/>
      <w:bookmarkEnd w:id="3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36" w:name="_Toc3606"/>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13"/>
        <w:tblW w:w="4889" w:type="pct"/>
        <w:jc w:val="center"/>
        <w:tblLayout w:type="autofit"/>
        <w:tblCellMar>
          <w:top w:w="0" w:type="dxa"/>
          <w:left w:w="10" w:type="dxa"/>
          <w:bottom w:w="0" w:type="dxa"/>
          <w:right w:w="10" w:type="dxa"/>
        </w:tblCellMar>
      </w:tblPr>
      <w:tblGrid>
        <w:gridCol w:w="1074"/>
        <w:gridCol w:w="3859"/>
        <w:gridCol w:w="3402"/>
      </w:tblGrid>
      <w:tr>
        <w:tblPrEx>
          <w:tblCellMar>
            <w:top w:w="0" w:type="dxa"/>
            <w:left w:w="10" w:type="dxa"/>
            <w:bottom w:w="0" w:type="dxa"/>
            <w:right w:w="10" w:type="dxa"/>
          </w:tblCellMar>
        </w:tblPrEx>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blPrEx>
          <w:tblCellMar>
            <w:top w:w="0" w:type="dxa"/>
            <w:left w:w="10" w:type="dxa"/>
            <w:bottom w:w="0" w:type="dxa"/>
            <w:right w:w="10" w:type="dxa"/>
          </w:tblCellMar>
        </w:tblPrEx>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blPrEx>
          <w:tblCellMar>
            <w:top w:w="0" w:type="dxa"/>
            <w:left w:w="10" w:type="dxa"/>
            <w:bottom w:w="0" w:type="dxa"/>
            <w:right w:w="10" w:type="dxa"/>
          </w:tblCellMar>
        </w:tblPrEx>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4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依据既定的指标体系和评分标准，结合湛江市民政局提交的自评材料及核验的评价结果，2022年项目支出绩效核查得分为88.71分，等级为良。详见表2：</w:t>
      </w:r>
      <w:bookmarkStart w:id="57" w:name="_GoBack"/>
      <w:bookmarkEnd w:id="57"/>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37" w:name="_Toc1778"/>
      <w:bookmarkStart w:id="38" w:name="bookmark54"/>
      <w:bookmarkStart w:id="39" w:name="_Toc4575"/>
      <w:bookmarkStart w:id="40" w:name="bookmark55"/>
      <w:bookmarkStart w:id="41" w:name="bookmark56"/>
      <w:r>
        <w:rPr>
          <w:rFonts w:hint="eastAsia" w:ascii="仿宋" w:hAnsi="仿宋" w:eastAsia="仿宋" w:cs="仿宋"/>
          <w:b/>
          <w:bCs/>
          <w:color w:val="auto"/>
          <w:sz w:val="28"/>
          <w:szCs w:val="28"/>
          <w:highlight w:val="none"/>
          <w:lang w:val="en-US" w:eastAsia="zh-CN"/>
        </w:rPr>
        <w:t>表2 项目支出</w:t>
      </w:r>
      <w:r>
        <w:rPr>
          <w:rFonts w:hint="eastAsia" w:ascii="仿宋" w:hAnsi="仿宋" w:eastAsia="仿宋" w:cs="仿宋"/>
          <w:b/>
          <w:bCs/>
          <w:color w:val="auto"/>
          <w:sz w:val="28"/>
          <w:szCs w:val="28"/>
          <w:highlight w:val="none"/>
        </w:rPr>
        <w:t>绩效</w:t>
      </w:r>
      <w:r>
        <w:rPr>
          <w:rFonts w:hint="eastAsia" w:ascii="仿宋" w:hAnsi="仿宋" w:eastAsia="仿宋" w:cs="仿宋"/>
          <w:b/>
          <w:bCs/>
          <w:color w:val="auto"/>
          <w:sz w:val="28"/>
          <w:szCs w:val="28"/>
          <w:highlight w:val="none"/>
          <w:lang w:eastAsia="zh-CN"/>
        </w:rPr>
        <w:t>核查评分汇</w:t>
      </w:r>
      <w:r>
        <w:rPr>
          <w:rFonts w:hint="eastAsia" w:ascii="仿宋" w:hAnsi="仿宋" w:eastAsia="仿宋" w:cs="仿宋"/>
          <w:b/>
          <w:bCs/>
          <w:color w:val="auto"/>
          <w:sz w:val="28"/>
          <w:szCs w:val="28"/>
          <w:highlight w:val="none"/>
        </w:rPr>
        <w:t>总表</w:t>
      </w:r>
      <w:bookmarkEnd w:id="37"/>
      <w:bookmarkEnd w:id="38"/>
      <w:bookmarkEnd w:id="39"/>
      <w:bookmarkEnd w:id="40"/>
      <w:bookmarkEnd w:id="41"/>
    </w:p>
    <w:tbl>
      <w:tblPr>
        <w:tblStyle w:val="13"/>
        <w:tblW w:w="4997" w:type="pct"/>
        <w:jc w:val="center"/>
        <w:tblLayout w:type="autofit"/>
        <w:tblCellMar>
          <w:top w:w="0" w:type="dxa"/>
          <w:left w:w="10" w:type="dxa"/>
          <w:bottom w:w="0" w:type="dxa"/>
          <w:right w:w="10" w:type="dxa"/>
        </w:tblCellMar>
      </w:tblPr>
      <w:tblGrid>
        <w:gridCol w:w="2136"/>
        <w:gridCol w:w="2125"/>
        <w:gridCol w:w="2125"/>
        <w:gridCol w:w="2133"/>
      </w:tblGrid>
      <w:tr>
        <w:tblPrEx>
          <w:tblCellMar>
            <w:top w:w="0" w:type="dxa"/>
            <w:left w:w="10" w:type="dxa"/>
            <w:bottom w:w="0" w:type="dxa"/>
            <w:right w:w="10" w:type="dxa"/>
          </w:tblCellMar>
        </w:tblPrEx>
        <w:trPr>
          <w:trHeight w:val="475" w:hRule="exact"/>
          <w:tblHeader/>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指标分值</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评价得分</w:t>
            </w:r>
          </w:p>
        </w:tc>
        <w:tc>
          <w:tcPr>
            <w:tcW w:w="1251" w:type="pct"/>
            <w:tcBorders>
              <w:top w:val="single" w:color="auto" w:sz="4" w:space="0"/>
              <w:left w:val="single" w:color="auto" w:sz="4" w:space="0"/>
              <w:righ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得分率</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eastAsia="zh-CN"/>
              </w:rPr>
            </w:pPr>
            <w:r>
              <w:rPr>
                <w:rFonts w:hint="eastAsia" w:ascii="仿宋" w:hAnsi="仿宋" w:eastAsia="仿宋" w:cs="仿宋"/>
                <w:color w:val="000000"/>
                <w:spacing w:val="0"/>
                <w:w w:val="100"/>
                <w:position w:val="0"/>
                <w:sz w:val="24"/>
                <w:szCs w:val="24"/>
                <w:highlight w:val="none"/>
                <w:lang w:eastAsia="zh-CN"/>
              </w:rPr>
              <w:t>决策</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18</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17</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94.44%</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color w:val="000000"/>
                <w:spacing w:val="0"/>
                <w:w w:val="100"/>
                <w:position w:val="0"/>
                <w:sz w:val="24"/>
                <w:szCs w:val="24"/>
                <w:highlight w:val="none"/>
                <w:lang w:eastAsia="zh-CN"/>
              </w:rPr>
              <w:t>过程</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22</w:t>
            </w:r>
          </w:p>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20.71</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94.14%</w:t>
            </w:r>
          </w:p>
        </w:tc>
      </w:tr>
      <w:tr>
        <w:tblPrEx>
          <w:tblCellMar>
            <w:top w:w="0" w:type="dxa"/>
            <w:left w:w="10" w:type="dxa"/>
            <w:bottom w:w="0" w:type="dxa"/>
            <w:right w:w="10" w:type="dxa"/>
          </w:tblCellMar>
        </w:tblPrEx>
        <w:trPr>
          <w:trHeight w:val="456" w:hRule="exact"/>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产出</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83.33%</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效益</w:t>
            </w:r>
          </w:p>
        </w:tc>
        <w:tc>
          <w:tcPr>
            <w:tcW w:w="1247"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26</w:t>
            </w:r>
          </w:p>
        </w:tc>
        <w:tc>
          <w:tcPr>
            <w:tcW w:w="2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86.67%</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评价总得分</w:t>
            </w:r>
          </w:p>
        </w:tc>
        <w:tc>
          <w:tcPr>
            <w:tcW w:w="1247"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100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88.71</w:t>
            </w:r>
          </w:p>
        </w:tc>
        <w:tc>
          <w:tcPr>
            <w:tcW w:w="2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88.71%</w:t>
            </w:r>
          </w:p>
        </w:tc>
      </w:tr>
      <w:bookmarkEnd w:id="36"/>
    </w:tbl>
    <w:p>
      <w:pPr>
        <w:pStyle w:val="11"/>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42" w:name="_Toc9575"/>
      <w:bookmarkStart w:id="43" w:name="_Toc13877"/>
      <w:bookmarkStart w:id="44" w:name="_Toc3612"/>
      <w:r>
        <w:rPr>
          <w:rFonts w:hint="eastAsia" w:ascii="仿宋" w:hAnsi="仿宋" w:eastAsia="仿宋" w:cs="仿宋"/>
          <w:b/>
          <w:color w:val="auto"/>
          <w:kern w:val="2"/>
          <w:sz w:val="28"/>
          <w:szCs w:val="28"/>
          <w:highlight w:val="none"/>
          <w:lang w:eastAsia="zh-CN"/>
        </w:rPr>
        <w:t>五、</w:t>
      </w:r>
      <w:r>
        <w:rPr>
          <w:rFonts w:hint="eastAsia" w:ascii="仿宋" w:hAnsi="仿宋" w:eastAsia="仿宋" w:cs="仿宋"/>
          <w:b/>
          <w:color w:val="auto"/>
          <w:kern w:val="2"/>
          <w:sz w:val="28"/>
          <w:szCs w:val="28"/>
          <w:highlight w:val="none"/>
        </w:rPr>
        <w:t>存在问题</w:t>
      </w:r>
      <w:bookmarkEnd w:id="42"/>
      <w:r>
        <w:rPr>
          <w:rFonts w:hint="eastAsia" w:ascii="仿宋" w:hAnsi="仿宋" w:eastAsia="仿宋" w:cs="仿宋"/>
          <w:b/>
          <w:color w:val="auto"/>
          <w:kern w:val="2"/>
          <w:sz w:val="28"/>
          <w:szCs w:val="28"/>
          <w:highlight w:val="none"/>
          <w:lang w:eastAsia="zh-CN"/>
        </w:rPr>
        <w:t>及相关建议</w:t>
      </w:r>
      <w:bookmarkEnd w:id="43"/>
      <w:bookmarkEnd w:id="44"/>
      <w:bookmarkStart w:id="45" w:name="一"/>
      <w:bookmarkEnd w:id="45"/>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46" w:name="_Toc11913"/>
      <w:bookmarkStart w:id="47" w:name="_Toc18552"/>
      <w:bookmarkStart w:id="48" w:name="_Toc1745"/>
      <w:r>
        <w:rPr>
          <w:rFonts w:hint="eastAsia" w:ascii="仿宋" w:hAnsi="仿宋" w:eastAsia="仿宋" w:cs="仿宋"/>
          <w:b w:val="0"/>
          <w:bCs w:val="0"/>
          <w:color w:val="auto"/>
          <w:kern w:val="2"/>
          <w:sz w:val="28"/>
          <w:szCs w:val="28"/>
          <w:highlight w:val="none"/>
        </w:rPr>
        <w:t>（一）存在问题</w:t>
      </w:r>
      <w:bookmarkEnd w:id="46"/>
      <w:bookmarkEnd w:id="47"/>
      <w:bookmarkEnd w:id="48"/>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9" w:name="_Toc18582"/>
      <w:r>
        <w:rPr>
          <w:rFonts w:hint="eastAsia" w:ascii="仿宋" w:hAnsi="仿宋" w:eastAsia="仿宋" w:cs="仿宋"/>
          <w:b w:val="0"/>
          <w:bCs w:val="0"/>
          <w:color w:val="auto"/>
          <w:kern w:val="2"/>
          <w:sz w:val="28"/>
          <w:szCs w:val="28"/>
          <w:highlight w:val="none"/>
          <w:lang w:val="en-US" w:eastAsia="zh-CN"/>
        </w:rPr>
        <w:t>1.</w:t>
      </w:r>
      <w:bookmarkEnd w:id="49"/>
      <w:r>
        <w:rPr>
          <w:rFonts w:hint="eastAsia" w:ascii="仿宋" w:hAnsi="仿宋" w:eastAsia="仿宋" w:cs="仿宋"/>
          <w:b w:val="0"/>
          <w:bCs w:val="0"/>
          <w:color w:val="auto"/>
          <w:kern w:val="2"/>
          <w:sz w:val="28"/>
          <w:szCs w:val="28"/>
          <w:highlight w:val="none"/>
          <w:lang w:val="en-US" w:eastAsia="zh-CN"/>
        </w:rPr>
        <w:t>部门预算项目绩效申报表中数量指标对于困难残疾人生活补贴人数约5.5万人，2022年全市领取困难残疾人生活补贴人数44564人，人数偏差19%。</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2.残疾人人数是残疾人两项补贴的决定性因素，人员信息台账及数据传递的准确性，直接影响效率性，还有可能造成“多发漏发”的现象。</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3.对受银行办理政策限制和残疾对象无法亲自申请办理等问题，需主动协调解决，并加大政策宣传力度，以确保符合条件的残疾对象知悉两项补贴申领事宜。</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default" w:ascii="仿宋" w:hAnsi="仿宋" w:eastAsia="仿宋" w:cs="仿宋"/>
          <w:b w:val="0"/>
          <w:bCs w:val="0"/>
          <w:color w:val="auto"/>
          <w:kern w:val="2"/>
          <w:sz w:val="28"/>
          <w:szCs w:val="28"/>
          <w:highlight w:val="none"/>
          <w:lang w:val="en-US" w:eastAsia="zh-CN"/>
        </w:rPr>
      </w:pPr>
      <w:bookmarkStart w:id="50" w:name="_Toc10597"/>
      <w:r>
        <w:rPr>
          <w:rFonts w:hint="eastAsia" w:ascii="仿宋" w:hAnsi="仿宋" w:eastAsia="仿宋" w:cs="仿宋"/>
          <w:b w:val="0"/>
          <w:bCs w:val="0"/>
          <w:color w:val="auto"/>
          <w:kern w:val="2"/>
          <w:sz w:val="28"/>
          <w:szCs w:val="28"/>
          <w:highlight w:val="none"/>
          <w:lang w:val="en-US" w:eastAsia="zh-CN"/>
        </w:rPr>
        <w:t>4.</w:t>
      </w:r>
      <w:bookmarkEnd w:id="50"/>
      <w:r>
        <w:rPr>
          <w:rFonts w:hint="eastAsia" w:ascii="仿宋" w:hAnsi="仿宋" w:eastAsia="仿宋" w:cs="仿宋"/>
          <w:b w:val="0"/>
          <w:bCs w:val="0"/>
          <w:color w:val="auto"/>
          <w:kern w:val="2"/>
          <w:sz w:val="28"/>
          <w:szCs w:val="28"/>
          <w:highlight w:val="none"/>
          <w:lang w:val="en-US" w:eastAsia="zh-CN"/>
        </w:rPr>
        <w:t>绩效自评不够严谨。自评材料质量方面，相关佐证材料不完整，自评评分表为100分，未严格对照评分标准进行自评。</w:t>
      </w:r>
    </w:p>
    <w:p>
      <w:pPr>
        <w:pStyle w:val="11"/>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eastAsia="zh-CN"/>
        </w:rPr>
      </w:pPr>
      <w:bookmarkStart w:id="51" w:name="_Toc22031"/>
      <w:bookmarkStart w:id="52" w:name="_Toc4560"/>
      <w:bookmarkStart w:id="53" w:name="_Toc24779"/>
      <w:r>
        <w:rPr>
          <w:rFonts w:hint="eastAsia" w:ascii="仿宋" w:hAnsi="仿宋" w:eastAsia="仿宋" w:cs="仿宋"/>
          <w:b w:val="0"/>
          <w:bCs/>
          <w:color w:val="auto"/>
          <w:kern w:val="2"/>
          <w:sz w:val="28"/>
          <w:szCs w:val="28"/>
          <w:highlight w:val="none"/>
        </w:rPr>
        <w:t>（二）</w:t>
      </w:r>
      <w:bookmarkEnd w:id="51"/>
      <w:r>
        <w:rPr>
          <w:rFonts w:hint="eastAsia" w:ascii="仿宋" w:hAnsi="仿宋" w:eastAsia="仿宋" w:cs="仿宋"/>
          <w:b w:val="0"/>
          <w:bCs/>
          <w:color w:val="auto"/>
          <w:kern w:val="2"/>
          <w:sz w:val="28"/>
          <w:szCs w:val="28"/>
          <w:highlight w:val="none"/>
          <w:lang w:val="en-US" w:eastAsia="zh-CN"/>
        </w:rPr>
        <w:t>相关建议</w:t>
      </w:r>
      <w:bookmarkEnd w:id="52"/>
      <w:bookmarkEnd w:id="53"/>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1.对预算做到从严从紧，对预算影响因素进行科学预测，进而合理预测预算资金。</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2.增强服务意识，加大民生福利政策的宣传，以确保符合条件的人群应享尽享。同时加强管理，避免出现</w:t>
      </w:r>
      <w:r>
        <w:rPr>
          <w:rFonts w:hint="eastAsia" w:ascii="仿宋" w:hAnsi="仿宋" w:eastAsia="仿宋" w:cs="仿宋"/>
          <w:b w:val="0"/>
          <w:bCs w:val="0"/>
          <w:color w:val="auto"/>
          <w:kern w:val="2"/>
          <w:sz w:val="28"/>
          <w:szCs w:val="28"/>
          <w:highlight w:val="none"/>
          <w:lang w:val="en-US" w:eastAsia="zh-CN"/>
        </w:rPr>
        <w:t>“多发漏发”的现象。</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3.需要加强绩效自评工作</w:t>
      </w:r>
      <w:bookmarkStart w:id="54" w:name="_Toc1386"/>
      <w:bookmarkStart w:id="55" w:name="_Toc7568"/>
      <w:bookmarkStart w:id="56" w:name="_Toc121"/>
      <w:r>
        <w:rPr>
          <w:rFonts w:hint="eastAsia" w:ascii="仿宋" w:hAnsi="仿宋" w:eastAsia="仿宋" w:cs="仿宋"/>
          <w:color w:val="auto"/>
          <w:kern w:val="2"/>
          <w:sz w:val="28"/>
          <w:szCs w:val="28"/>
          <w:highlight w:val="none"/>
          <w:lang w:val="en-US" w:eastAsia="zh-CN"/>
        </w:rPr>
        <w:t>审核把关。对于报送的自评材料完整性、准确性加以关注。</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bCs/>
          <w:kern w:val="2"/>
          <w:sz w:val="28"/>
          <w:szCs w:val="28"/>
          <w:highlight w:val="none"/>
        </w:rPr>
      </w:pP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附件：</w:t>
      </w:r>
      <w:bookmarkEnd w:id="54"/>
      <w:r>
        <w:rPr>
          <w:rFonts w:hint="eastAsia" w:ascii="仿宋" w:hAnsi="仿宋" w:eastAsia="仿宋" w:cs="仿宋"/>
          <w:b/>
          <w:bCs/>
          <w:kern w:val="2"/>
          <w:sz w:val="28"/>
          <w:szCs w:val="28"/>
          <w:highlight w:val="none"/>
          <w:lang w:eastAsia="zh-CN"/>
        </w:rPr>
        <w:t>湛江市民政局20</w:t>
      </w:r>
      <w:r>
        <w:rPr>
          <w:rFonts w:hint="eastAsia" w:ascii="仿宋" w:hAnsi="仿宋" w:eastAsia="仿宋" w:cs="仿宋"/>
          <w:b/>
          <w:bCs/>
          <w:kern w:val="2"/>
          <w:sz w:val="28"/>
          <w:szCs w:val="28"/>
          <w:highlight w:val="none"/>
          <w:lang w:val="en-US" w:eastAsia="zh-CN"/>
        </w:rPr>
        <w:t>22</w:t>
      </w:r>
      <w:r>
        <w:rPr>
          <w:rFonts w:hint="eastAsia" w:ascii="仿宋" w:hAnsi="仿宋" w:eastAsia="仿宋" w:cs="仿宋"/>
          <w:b/>
          <w:bCs/>
          <w:kern w:val="2"/>
          <w:sz w:val="28"/>
          <w:szCs w:val="28"/>
          <w:highlight w:val="none"/>
          <w:lang w:eastAsia="zh-CN"/>
        </w:rPr>
        <w:t>年度项目支出</w:t>
      </w:r>
      <w:r>
        <w:rPr>
          <w:rFonts w:hint="eastAsia" w:ascii="仿宋" w:hAnsi="仿宋" w:eastAsia="仿宋" w:cs="仿宋"/>
          <w:b/>
          <w:bCs/>
          <w:kern w:val="2"/>
          <w:sz w:val="28"/>
          <w:szCs w:val="28"/>
          <w:highlight w:val="none"/>
        </w:rPr>
        <w:t>绩效</w:t>
      </w:r>
      <w:r>
        <w:rPr>
          <w:rFonts w:hint="eastAsia" w:ascii="仿宋" w:hAnsi="仿宋" w:eastAsia="仿宋" w:cs="仿宋"/>
          <w:b/>
          <w:bCs/>
          <w:kern w:val="2"/>
          <w:sz w:val="28"/>
          <w:szCs w:val="28"/>
          <w:highlight w:val="none"/>
          <w:lang w:val="en-US" w:eastAsia="zh-CN"/>
        </w:rPr>
        <w:t>指标评分表</w:t>
      </w:r>
      <w:bookmarkEnd w:id="55"/>
      <w:bookmarkEnd w:id="56"/>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contextualSpacing/>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eastAsia" w:ascii="仿宋" w:hAnsi="仿宋" w:eastAsia="仿宋" w:cs="仿宋"/>
          <w:color w:val="auto"/>
          <w:kern w:val="2"/>
          <w:sz w:val="28"/>
          <w:szCs w:val="28"/>
          <w:highlight w:val="none"/>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eastAsia" w:ascii="仿宋" w:hAnsi="仿宋" w:eastAsia="仿宋" w:cs="仿宋"/>
          <w:color w:val="auto"/>
          <w:kern w:val="2"/>
          <w:sz w:val="28"/>
          <w:szCs w:val="28"/>
          <w:highlight w:val="none"/>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320" w:firstLineChars="19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2023年9月24日</w:t>
      </w:r>
    </w:p>
    <w:p>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仿宋" w:hAnsi="仿宋" w:eastAsia="仿宋" w:cs="仿宋"/>
          <w:sz w:val="28"/>
          <w:szCs w:val="28"/>
          <w:highlight w:val="none"/>
          <w:lang w:val="en-US" w:eastAsia="zh-CN"/>
        </w:rPr>
      </w:pPr>
    </w:p>
    <w:sectPr>
      <w:footerReference r:id="rId14" w:type="default"/>
      <w:pgSz w:w="11906" w:h="16838"/>
      <w:pgMar w:top="1134" w:right="1701" w:bottom="1361"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BAE19E-7221-4759-949E-C54CEEAA17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2" w:fontKey="{37AC7CA7-F94F-4686-8668-6FC3285C33C3}"/>
  </w:font>
  <w:font w:name="方正小标宋简体">
    <w:panose1 w:val="02000000000000000000"/>
    <w:charset w:val="86"/>
    <w:family w:val="script"/>
    <w:pitch w:val="default"/>
    <w:sig w:usb0="00000001" w:usb1="08000000" w:usb2="00000000" w:usb3="00000000" w:csb0="00040000" w:csb1="00000000"/>
    <w:embedRegular r:id="rId3" w:fontKey="{EF636305-FDEC-457E-A4EA-A7CDF5A5DC56}"/>
  </w:font>
  <w:font w:name="仿宋_GB2312">
    <w:panose1 w:val="02010609030101010101"/>
    <w:charset w:val="86"/>
    <w:family w:val="modern"/>
    <w:pitch w:val="default"/>
    <w:sig w:usb0="00000001" w:usb1="080E0000" w:usb2="00000000" w:usb3="00000000" w:csb0="00040000" w:csb1="00000000"/>
    <w:embedRegular r:id="rId4" w:fontKey="{E17D4DB6-1D1D-4BB6-91D6-DEFABF16AC2F}"/>
  </w:font>
  <w:font w:name="Cambria">
    <w:panose1 w:val="02040503050406030204"/>
    <w:charset w:val="00"/>
    <w:family w:val="roman"/>
    <w:pitch w:val="default"/>
    <w:sig w:usb0="E00006FF" w:usb1="420024FF" w:usb2="02000000" w:usb3="00000000" w:csb0="2000019F" w:csb1="00000000"/>
    <w:embedRegular r:id="rId5" w:fontKey="{3F3DBA60-A807-46D4-83FD-E5749DD48E28}"/>
  </w:font>
  <w:font w:name="隶书">
    <w:panose1 w:val="02010509060101010101"/>
    <w:charset w:val="86"/>
    <w:family w:val="modern"/>
    <w:pitch w:val="default"/>
    <w:sig w:usb0="00000001" w:usb1="080E0000" w:usb2="00000000" w:usb3="00000000" w:csb0="00040000" w:csb1="00000000"/>
    <w:embedRegular r:id="rId6" w:fontKey="{AB3BFD2B-D7DD-4FFF-A95D-37005A83F806}"/>
  </w:font>
  <w:font w:name="Arial Unicode MS">
    <w:panose1 w:val="020B0604020202020204"/>
    <w:charset w:val="86"/>
    <w:family w:val="auto"/>
    <w:pitch w:val="default"/>
    <w:sig w:usb0="FFFFFFFF" w:usb1="E9FFFFFF" w:usb2="0000003F" w:usb3="00000000" w:csb0="603F01FF" w:csb1="FFFF0000"/>
    <w:embedRegular r:id="rId7" w:fontKey="{9317EC0E-1F89-4F95-A829-8EC1CDD879CC}"/>
  </w:font>
  <w:font w:name="微软雅黑">
    <w:panose1 w:val="020B0503020204020204"/>
    <w:charset w:val="86"/>
    <w:family w:val="auto"/>
    <w:pitch w:val="default"/>
    <w:sig w:usb0="80000287" w:usb1="2ACF3C50" w:usb2="00000016" w:usb3="00000000" w:csb0="0004001F" w:csb1="00000000"/>
    <w:embedRegular r:id="rId8" w:fontKey="{6A790B53-4082-43A1-8AFB-6F37BDD125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7"/>
      <w:jc w:val="center"/>
      <w:rPr>
        <w:rFonts w:hint="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p>
  <w:p>
    <w:pPr>
      <w:pStyle w:val="7"/>
      <w:jc w:val="center"/>
      <w:rPr>
        <w:rFonts w:hint="eastAsia"/>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7"/>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D6FB8"/>
    <w:multiLevelType w:val="singleLevel"/>
    <w:tmpl w:val="038D6F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Tc5NzM3MjE4YjVkYzlhZWZjZjYzOTgxNjZhYmIifQ=="/>
  </w:docVars>
  <w:rsids>
    <w:rsidRoot w:val="006553FD"/>
    <w:rsid w:val="000610D8"/>
    <w:rsid w:val="0034462D"/>
    <w:rsid w:val="00510E5D"/>
    <w:rsid w:val="00587A6D"/>
    <w:rsid w:val="006118BF"/>
    <w:rsid w:val="006553FD"/>
    <w:rsid w:val="009052E9"/>
    <w:rsid w:val="009716A5"/>
    <w:rsid w:val="0098202C"/>
    <w:rsid w:val="00AD367A"/>
    <w:rsid w:val="00CB203E"/>
    <w:rsid w:val="00CB7E42"/>
    <w:rsid w:val="00F74B25"/>
    <w:rsid w:val="00FB1BDD"/>
    <w:rsid w:val="00FD1F19"/>
    <w:rsid w:val="0143088D"/>
    <w:rsid w:val="0144147A"/>
    <w:rsid w:val="014B448A"/>
    <w:rsid w:val="02613768"/>
    <w:rsid w:val="02972A4D"/>
    <w:rsid w:val="031E1D1A"/>
    <w:rsid w:val="032479D2"/>
    <w:rsid w:val="04214C51"/>
    <w:rsid w:val="046F248F"/>
    <w:rsid w:val="04914425"/>
    <w:rsid w:val="04E13A54"/>
    <w:rsid w:val="04E26306"/>
    <w:rsid w:val="04FC4F84"/>
    <w:rsid w:val="0538276F"/>
    <w:rsid w:val="054C316F"/>
    <w:rsid w:val="055A2662"/>
    <w:rsid w:val="05C143B1"/>
    <w:rsid w:val="05E11832"/>
    <w:rsid w:val="05E91BB0"/>
    <w:rsid w:val="07254F2F"/>
    <w:rsid w:val="07336CFD"/>
    <w:rsid w:val="074971FC"/>
    <w:rsid w:val="076A3237"/>
    <w:rsid w:val="07BC3F10"/>
    <w:rsid w:val="08566A7B"/>
    <w:rsid w:val="08711ACB"/>
    <w:rsid w:val="08966833"/>
    <w:rsid w:val="08E2451B"/>
    <w:rsid w:val="08E72467"/>
    <w:rsid w:val="094D3822"/>
    <w:rsid w:val="099A6C2D"/>
    <w:rsid w:val="09B554AF"/>
    <w:rsid w:val="09BC676A"/>
    <w:rsid w:val="0A0145CC"/>
    <w:rsid w:val="0A2F1F54"/>
    <w:rsid w:val="0A4B19B8"/>
    <w:rsid w:val="0AF858DE"/>
    <w:rsid w:val="0B2F77D2"/>
    <w:rsid w:val="0B4D3BF1"/>
    <w:rsid w:val="0BCB0FBA"/>
    <w:rsid w:val="0BD455AB"/>
    <w:rsid w:val="0C0B5597"/>
    <w:rsid w:val="0CA46B2F"/>
    <w:rsid w:val="0CC47EE3"/>
    <w:rsid w:val="0D2F28F9"/>
    <w:rsid w:val="0D3A38D0"/>
    <w:rsid w:val="0D42774F"/>
    <w:rsid w:val="0D657CAC"/>
    <w:rsid w:val="0DFB06D7"/>
    <w:rsid w:val="0DFC749D"/>
    <w:rsid w:val="0E3B31DF"/>
    <w:rsid w:val="0E58393F"/>
    <w:rsid w:val="0E9F7958"/>
    <w:rsid w:val="0EB91135"/>
    <w:rsid w:val="0EC36E68"/>
    <w:rsid w:val="0F1518AA"/>
    <w:rsid w:val="0F386966"/>
    <w:rsid w:val="0F4551ED"/>
    <w:rsid w:val="0F6328B2"/>
    <w:rsid w:val="0FEE0E1C"/>
    <w:rsid w:val="10145081"/>
    <w:rsid w:val="1018468C"/>
    <w:rsid w:val="102052AA"/>
    <w:rsid w:val="10B50A33"/>
    <w:rsid w:val="10D9230E"/>
    <w:rsid w:val="10E10886"/>
    <w:rsid w:val="1121639C"/>
    <w:rsid w:val="11473FEA"/>
    <w:rsid w:val="11480948"/>
    <w:rsid w:val="11763879"/>
    <w:rsid w:val="117A5C2C"/>
    <w:rsid w:val="11891292"/>
    <w:rsid w:val="118A26B6"/>
    <w:rsid w:val="11901EDC"/>
    <w:rsid w:val="11A313FB"/>
    <w:rsid w:val="11D34974"/>
    <w:rsid w:val="12146903"/>
    <w:rsid w:val="12547238"/>
    <w:rsid w:val="127D6E0B"/>
    <w:rsid w:val="12D96F5E"/>
    <w:rsid w:val="134E0E97"/>
    <w:rsid w:val="13890E63"/>
    <w:rsid w:val="13B72459"/>
    <w:rsid w:val="13CF2577"/>
    <w:rsid w:val="13DA6E65"/>
    <w:rsid w:val="13E5068D"/>
    <w:rsid w:val="13F47B5D"/>
    <w:rsid w:val="13FA1CE9"/>
    <w:rsid w:val="14483D94"/>
    <w:rsid w:val="14BC5351"/>
    <w:rsid w:val="15093436"/>
    <w:rsid w:val="15284D87"/>
    <w:rsid w:val="15410885"/>
    <w:rsid w:val="15915022"/>
    <w:rsid w:val="15E70573"/>
    <w:rsid w:val="16600424"/>
    <w:rsid w:val="168B0AE8"/>
    <w:rsid w:val="16DA1BD6"/>
    <w:rsid w:val="16E35462"/>
    <w:rsid w:val="16E53E09"/>
    <w:rsid w:val="16F73DB7"/>
    <w:rsid w:val="174B7366"/>
    <w:rsid w:val="177A3D9C"/>
    <w:rsid w:val="17B14443"/>
    <w:rsid w:val="17EA62B4"/>
    <w:rsid w:val="183A4DC4"/>
    <w:rsid w:val="18825DD6"/>
    <w:rsid w:val="189B5956"/>
    <w:rsid w:val="18C55DE8"/>
    <w:rsid w:val="18D30286"/>
    <w:rsid w:val="18D568ED"/>
    <w:rsid w:val="19293347"/>
    <w:rsid w:val="19411E16"/>
    <w:rsid w:val="19476F4C"/>
    <w:rsid w:val="19872509"/>
    <w:rsid w:val="19A9175B"/>
    <w:rsid w:val="19DA628A"/>
    <w:rsid w:val="19DB4ABE"/>
    <w:rsid w:val="1A365B6F"/>
    <w:rsid w:val="1A725ABB"/>
    <w:rsid w:val="1B062571"/>
    <w:rsid w:val="1C712883"/>
    <w:rsid w:val="1C884703"/>
    <w:rsid w:val="1C940F1F"/>
    <w:rsid w:val="1CC63464"/>
    <w:rsid w:val="1CF4064E"/>
    <w:rsid w:val="1D04257E"/>
    <w:rsid w:val="1D2B3141"/>
    <w:rsid w:val="1D837797"/>
    <w:rsid w:val="1D8D125D"/>
    <w:rsid w:val="1DA455BF"/>
    <w:rsid w:val="1DD16691"/>
    <w:rsid w:val="1DDE2DCF"/>
    <w:rsid w:val="1DE92197"/>
    <w:rsid w:val="1E1C62C1"/>
    <w:rsid w:val="1E285CBA"/>
    <w:rsid w:val="1E3D7C6D"/>
    <w:rsid w:val="1E6F2104"/>
    <w:rsid w:val="1EA60122"/>
    <w:rsid w:val="1EC45F77"/>
    <w:rsid w:val="1EF90052"/>
    <w:rsid w:val="1F4B5069"/>
    <w:rsid w:val="1F741490"/>
    <w:rsid w:val="1FB449B9"/>
    <w:rsid w:val="20CE7DDA"/>
    <w:rsid w:val="20DF0472"/>
    <w:rsid w:val="2119252B"/>
    <w:rsid w:val="214A44E5"/>
    <w:rsid w:val="218336A1"/>
    <w:rsid w:val="21C13B79"/>
    <w:rsid w:val="223512C7"/>
    <w:rsid w:val="22812CEF"/>
    <w:rsid w:val="22B7205F"/>
    <w:rsid w:val="234C07DB"/>
    <w:rsid w:val="2357213C"/>
    <w:rsid w:val="241A0105"/>
    <w:rsid w:val="2426609F"/>
    <w:rsid w:val="243D7FA3"/>
    <w:rsid w:val="245E247D"/>
    <w:rsid w:val="248301B4"/>
    <w:rsid w:val="24CA6428"/>
    <w:rsid w:val="24DB67F3"/>
    <w:rsid w:val="24F85B4F"/>
    <w:rsid w:val="250D7824"/>
    <w:rsid w:val="25572797"/>
    <w:rsid w:val="25680356"/>
    <w:rsid w:val="256A3FC4"/>
    <w:rsid w:val="25EE348E"/>
    <w:rsid w:val="264F1FC7"/>
    <w:rsid w:val="26535612"/>
    <w:rsid w:val="26800EC7"/>
    <w:rsid w:val="2682216C"/>
    <w:rsid w:val="270E6816"/>
    <w:rsid w:val="272A4EF4"/>
    <w:rsid w:val="27796EA6"/>
    <w:rsid w:val="27923BEF"/>
    <w:rsid w:val="27C465B8"/>
    <w:rsid w:val="286D2A41"/>
    <w:rsid w:val="28C4372E"/>
    <w:rsid w:val="29140A5E"/>
    <w:rsid w:val="291B1D32"/>
    <w:rsid w:val="292A7FA0"/>
    <w:rsid w:val="29D206E5"/>
    <w:rsid w:val="2A1328A0"/>
    <w:rsid w:val="2B1E59B9"/>
    <w:rsid w:val="2B55319D"/>
    <w:rsid w:val="2B7650C9"/>
    <w:rsid w:val="2B824410"/>
    <w:rsid w:val="2BA032B8"/>
    <w:rsid w:val="2BAF5C4C"/>
    <w:rsid w:val="2BCA04EF"/>
    <w:rsid w:val="2BFA7A6E"/>
    <w:rsid w:val="2C3167C0"/>
    <w:rsid w:val="2C5C3248"/>
    <w:rsid w:val="2C64125E"/>
    <w:rsid w:val="2CE71032"/>
    <w:rsid w:val="2D493F84"/>
    <w:rsid w:val="2D7816D2"/>
    <w:rsid w:val="2E123EA1"/>
    <w:rsid w:val="2E3842B9"/>
    <w:rsid w:val="2F6B63A4"/>
    <w:rsid w:val="2F950E14"/>
    <w:rsid w:val="2FA228D5"/>
    <w:rsid w:val="2FC715D2"/>
    <w:rsid w:val="2FC972BA"/>
    <w:rsid w:val="2FD64E4D"/>
    <w:rsid w:val="2FD774C9"/>
    <w:rsid w:val="300E4B87"/>
    <w:rsid w:val="30227AED"/>
    <w:rsid w:val="309B2D5D"/>
    <w:rsid w:val="30E779E6"/>
    <w:rsid w:val="315035B3"/>
    <w:rsid w:val="31594282"/>
    <w:rsid w:val="32096A79"/>
    <w:rsid w:val="322E3DFF"/>
    <w:rsid w:val="32342C3E"/>
    <w:rsid w:val="323B67F2"/>
    <w:rsid w:val="32877139"/>
    <w:rsid w:val="331B32D4"/>
    <w:rsid w:val="33957669"/>
    <w:rsid w:val="339925AD"/>
    <w:rsid w:val="339A6E21"/>
    <w:rsid w:val="33B33864"/>
    <w:rsid w:val="348C4EDB"/>
    <w:rsid w:val="349C4D6D"/>
    <w:rsid w:val="34A00B14"/>
    <w:rsid w:val="34C51394"/>
    <w:rsid w:val="355949A8"/>
    <w:rsid w:val="356B22AB"/>
    <w:rsid w:val="35AD7627"/>
    <w:rsid w:val="361A1CBD"/>
    <w:rsid w:val="36671A7B"/>
    <w:rsid w:val="36764DFA"/>
    <w:rsid w:val="374705CF"/>
    <w:rsid w:val="37573784"/>
    <w:rsid w:val="3779311D"/>
    <w:rsid w:val="37AB38CA"/>
    <w:rsid w:val="37F069F3"/>
    <w:rsid w:val="386018A7"/>
    <w:rsid w:val="38A357FF"/>
    <w:rsid w:val="38D83DA0"/>
    <w:rsid w:val="391261EF"/>
    <w:rsid w:val="391467C0"/>
    <w:rsid w:val="39322F0F"/>
    <w:rsid w:val="399E39A9"/>
    <w:rsid w:val="3A1B4BCC"/>
    <w:rsid w:val="3A501992"/>
    <w:rsid w:val="3A687C40"/>
    <w:rsid w:val="3B131EB2"/>
    <w:rsid w:val="3B3213E9"/>
    <w:rsid w:val="3B4518B2"/>
    <w:rsid w:val="3BB5472F"/>
    <w:rsid w:val="3BD744AF"/>
    <w:rsid w:val="3C215E42"/>
    <w:rsid w:val="3C357632"/>
    <w:rsid w:val="3C7D4B5C"/>
    <w:rsid w:val="3CC2788D"/>
    <w:rsid w:val="3CDF462C"/>
    <w:rsid w:val="3D01613F"/>
    <w:rsid w:val="3D131B16"/>
    <w:rsid w:val="3D171E23"/>
    <w:rsid w:val="3DA46E62"/>
    <w:rsid w:val="3DD220B1"/>
    <w:rsid w:val="3E0A2557"/>
    <w:rsid w:val="3E433B2F"/>
    <w:rsid w:val="3E9A1ED7"/>
    <w:rsid w:val="3EAC39A6"/>
    <w:rsid w:val="3EC97F7C"/>
    <w:rsid w:val="3F58505F"/>
    <w:rsid w:val="3F6B55F5"/>
    <w:rsid w:val="3F737B86"/>
    <w:rsid w:val="3F831836"/>
    <w:rsid w:val="406A323D"/>
    <w:rsid w:val="407C0939"/>
    <w:rsid w:val="40957C27"/>
    <w:rsid w:val="40EF3CF2"/>
    <w:rsid w:val="417235CA"/>
    <w:rsid w:val="422623A5"/>
    <w:rsid w:val="4256763B"/>
    <w:rsid w:val="42D16657"/>
    <w:rsid w:val="42E15FC6"/>
    <w:rsid w:val="435D59AE"/>
    <w:rsid w:val="43670011"/>
    <w:rsid w:val="43B2241F"/>
    <w:rsid w:val="43BD3CDE"/>
    <w:rsid w:val="44516381"/>
    <w:rsid w:val="44747C78"/>
    <w:rsid w:val="44915BF6"/>
    <w:rsid w:val="44B5075F"/>
    <w:rsid w:val="44EF48D1"/>
    <w:rsid w:val="45976EB0"/>
    <w:rsid w:val="45C41750"/>
    <w:rsid w:val="46065001"/>
    <w:rsid w:val="462907DC"/>
    <w:rsid w:val="471A0E3A"/>
    <w:rsid w:val="474E2263"/>
    <w:rsid w:val="47B34B2C"/>
    <w:rsid w:val="47B96206"/>
    <w:rsid w:val="47E701C3"/>
    <w:rsid w:val="482903AF"/>
    <w:rsid w:val="48736866"/>
    <w:rsid w:val="48896B97"/>
    <w:rsid w:val="48A17D12"/>
    <w:rsid w:val="499C69CB"/>
    <w:rsid w:val="49D901DE"/>
    <w:rsid w:val="49E57CBF"/>
    <w:rsid w:val="49FA7E2C"/>
    <w:rsid w:val="4A0C70AF"/>
    <w:rsid w:val="4AA03489"/>
    <w:rsid w:val="4AA46C3D"/>
    <w:rsid w:val="4AE70F64"/>
    <w:rsid w:val="4B2D7E7A"/>
    <w:rsid w:val="4B6E76C1"/>
    <w:rsid w:val="4B7508EB"/>
    <w:rsid w:val="4B8E213E"/>
    <w:rsid w:val="4BC04DC1"/>
    <w:rsid w:val="4C02765E"/>
    <w:rsid w:val="4C532704"/>
    <w:rsid w:val="4CF42DDD"/>
    <w:rsid w:val="4D082D41"/>
    <w:rsid w:val="4D170761"/>
    <w:rsid w:val="4D4D7654"/>
    <w:rsid w:val="4DCD1808"/>
    <w:rsid w:val="4E1E1819"/>
    <w:rsid w:val="4E39442C"/>
    <w:rsid w:val="4E5008D0"/>
    <w:rsid w:val="4EB86D6D"/>
    <w:rsid w:val="4ED102F6"/>
    <w:rsid w:val="4EE0513F"/>
    <w:rsid w:val="4F293FD1"/>
    <w:rsid w:val="4F7F3277"/>
    <w:rsid w:val="4F9D64E6"/>
    <w:rsid w:val="4F9D7425"/>
    <w:rsid w:val="50151A64"/>
    <w:rsid w:val="50502881"/>
    <w:rsid w:val="508A644B"/>
    <w:rsid w:val="51046643"/>
    <w:rsid w:val="51577100"/>
    <w:rsid w:val="517155CB"/>
    <w:rsid w:val="51B6571C"/>
    <w:rsid w:val="521F6A2C"/>
    <w:rsid w:val="52306C59"/>
    <w:rsid w:val="523625E6"/>
    <w:rsid w:val="52E71802"/>
    <w:rsid w:val="52E81D78"/>
    <w:rsid w:val="532B36F7"/>
    <w:rsid w:val="53691489"/>
    <w:rsid w:val="537F60A7"/>
    <w:rsid w:val="538E654D"/>
    <w:rsid w:val="53F570AB"/>
    <w:rsid w:val="543426BF"/>
    <w:rsid w:val="54576093"/>
    <w:rsid w:val="54767185"/>
    <w:rsid w:val="54806739"/>
    <w:rsid w:val="54972046"/>
    <w:rsid w:val="549A4073"/>
    <w:rsid w:val="54A808BB"/>
    <w:rsid w:val="54B50B17"/>
    <w:rsid w:val="54E975BD"/>
    <w:rsid w:val="54FA6421"/>
    <w:rsid w:val="55D17FE7"/>
    <w:rsid w:val="563B5D4D"/>
    <w:rsid w:val="569745A7"/>
    <w:rsid w:val="56B15BEA"/>
    <w:rsid w:val="56E06F7F"/>
    <w:rsid w:val="56FC33A3"/>
    <w:rsid w:val="57E41DCC"/>
    <w:rsid w:val="57E866BC"/>
    <w:rsid w:val="57FF601C"/>
    <w:rsid w:val="580376B3"/>
    <w:rsid w:val="581623A1"/>
    <w:rsid w:val="5842131C"/>
    <w:rsid w:val="587873A1"/>
    <w:rsid w:val="59192988"/>
    <w:rsid w:val="598A2DDA"/>
    <w:rsid w:val="5AA0484E"/>
    <w:rsid w:val="5AFD7996"/>
    <w:rsid w:val="5B023A60"/>
    <w:rsid w:val="5B1E41F8"/>
    <w:rsid w:val="5B543CBA"/>
    <w:rsid w:val="5B5F685F"/>
    <w:rsid w:val="5B90790F"/>
    <w:rsid w:val="5BE318D4"/>
    <w:rsid w:val="5C637435"/>
    <w:rsid w:val="5C99060D"/>
    <w:rsid w:val="5CDD5A18"/>
    <w:rsid w:val="5D046280"/>
    <w:rsid w:val="5D4E06D0"/>
    <w:rsid w:val="5D6E5996"/>
    <w:rsid w:val="5D7D12D2"/>
    <w:rsid w:val="5DD51BDF"/>
    <w:rsid w:val="5DD919B1"/>
    <w:rsid w:val="5E493261"/>
    <w:rsid w:val="5E8D16E1"/>
    <w:rsid w:val="5EA02954"/>
    <w:rsid w:val="5EAE0FA0"/>
    <w:rsid w:val="5EC1169B"/>
    <w:rsid w:val="5EEE6F69"/>
    <w:rsid w:val="5F1E43FC"/>
    <w:rsid w:val="5F2222C2"/>
    <w:rsid w:val="5F2A743A"/>
    <w:rsid w:val="5F38683C"/>
    <w:rsid w:val="5FEC26FB"/>
    <w:rsid w:val="602A1867"/>
    <w:rsid w:val="602C5C12"/>
    <w:rsid w:val="602E3933"/>
    <w:rsid w:val="603D3AFA"/>
    <w:rsid w:val="6054590E"/>
    <w:rsid w:val="60553426"/>
    <w:rsid w:val="60806F1F"/>
    <w:rsid w:val="60BB71C0"/>
    <w:rsid w:val="60CC31B4"/>
    <w:rsid w:val="60F86860"/>
    <w:rsid w:val="61034F55"/>
    <w:rsid w:val="61054235"/>
    <w:rsid w:val="611363A8"/>
    <w:rsid w:val="61411F15"/>
    <w:rsid w:val="61BB4F24"/>
    <w:rsid w:val="61FF4602"/>
    <w:rsid w:val="6282244A"/>
    <w:rsid w:val="62F91F51"/>
    <w:rsid w:val="63002286"/>
    <w:rsid w:val="633D167C"/>
    <w:rsid w:val="63A11A3F"/>
    <w:rsid w:val="63CB6CB5"/>
    <w:rsid w:val="64355F0E"/>
    <w:rsid w:val="64583B72"/>
    <w:rsid w:val="64AD23E1"/>
    <w:rsid w:val="64AE21E2"/>
    <w:rsid w:val="64D532A9"/>
    <w:rsid w:val="64FD2099"/>
    <w:rsid w:val="64FF6ADE"/>
    <w:rsid w:val="652146FB"/>
    <w:rsid w:val="654F001E"/>
    <w:rsid w:val="657F4273"/>
    <w:rsid w:val="65866261"/>
    <w:rsid w:val="66170870"/>
    <w:rsid w:val="66483F1B"/>
    <w:rsid w:val="665B625D"/>
    <w:rsid w:val="66EE1EAE"/>
    <w:rsid w:val="66F93DCA"/>
    <w:rsid w:val="67232083"/>
    <w:rsid w:val="67401089"/>
    <w:rsid w:val="67626AA4"/>
    <w:rsid w:val="677B6565"/>
    <w:rsid w:val="67B703C4"/>
    <w:rsid w:val="67CB2B39"/>
    <w:rsid w:val="67FC3AB9"/>
    <w:rsid w:val="68385372"/>
    <w:rsid w:val="68620E2B"/>
    <w:rsid w:val="68991E73"/>
    <w:rsid w:val="68996E16"/>
    <w:rsid w:val="689F4625"/>
    <w:rsid w:val="68D86BF9"/>
    <w:rsid w:val="68D92092"/>
    <w:rsid w:val="694F4EA7"/>
    <w:rsid w:val="69576324"/>
    <w:rsid w:val="69925B38"/>
    <w:rsid w:val="69956D79"/>
    <w:rsid w:val="69F76873"/>
    <w:rsid w:val="6A4D4D3C"/>
    <w:rsid w:val="6AC141B9"/>
    <w:rsid w:val="6B2011A7"/>
    <w:rsid w:val="6BAC44E5"/>
    <w:rsid w:val="6BB71D8B"/>
    <w:rsid w:val="6BEE4619"/>
    <w:rsid w:val="6C0729DB"/>
    <w:rsid w:val="6C1D74FA"/>
    <w:rsid w:val="6C3A407C"/>
    <w:rsid w:val="6C4D5BCC"/>
    <w:rsid w:val="6C5C1D08"/>
    <w:rsid w:val="6CC532FE"/>
    <w:rsid w:val="6CCA0373"/>
    <w:rsid w:val="6CDA534F"/>
    <w:rsid w:val="6CEB7475"/>
    <w:rsid w:val="6CED7F50"/>
    <w:rsid w:val="6D0C1F17"/>
    <w:rsid w:val="6D0C450A"/>
    <w:rsid w:val="6D2125AC"/>
    <w:rsid w:val="6D5C2995"/>
    <w:rsid w:val="6D986AE8"/>
    <w:rsid w:val="6E661DDA"/>
    <w:rsid w:val="6ED9511F"/>
    <w:rsid w:val="6F333008"/>
    <w:rsid w:val="6F43268C"/>
    <w:rsid w:val="6F4627D8"/>
    <w:rsid w:val="6FC14765"/>
    <w:rsid w:val="6FF95953"/>
    <w:rsid w:val="709B4E02"/>
    <w:rsid w:val="70D97FEC"/>
    <w:rsid w:val="718D4B73"/>
    <w:rsid w:val="72047050"/>
    <w:rsid w:val="7274314A"/>
    <w:rsid w:val="73013B9C"/>
    <w:rsid w:val="733818D1"/>
    <w:rsid w:val="73832845"/>
    <w:rsid w:val="73F25AF4"/>
    <w:rsid w:val="73F45AF2"/>
    <w:rsid w:val="73F6747D"/>
    <w:rsid w:val="74424693"/>
    <w:rsid w:val="746A2535"/>
    <w:rsid w:val="746C7816"/>
    <w:rsid w:val="74753E0F"/>
    <w:rsid w:val="74C672AC"/>
    <w:rsid w:val="755C0AD9"/>
    <w:rsid w:val="756822D6"/>
    <w:rsid w:val="758B2F20"/>
    <w:rsid w:val="75CD0A0C"/>
    <w:rsid w:val="75CF04C6"/>
    <w:rsid w:val="7624358B"/>
    <w:rsid w:val="766E23DB"/>
    <w:rsid w:val="76AC5CF8"/>
    <w:rsid w:val="76D55E4D"/>
    <w:rsid w:val="771E15F5"/>
    <w:rsid w:val="779A6251"/>
    <w:rsid w:val="77A777E6"/>
    <w:rsid w:val="77FE095C"/>
    <w:rsid w:val="785557B8"/>
    <w:rsid w:val="78EC2E1F"/>
    <w:rsid w:val="79227053"/>
    <w:rsid w:val="792D5A15"/>
    <w:rsid w:val="797931D4"/>
    <w:rsid w:val="79907BF0"/>
    <w:rsid w:val="79A63026"/>
    <w:rsid w:val="79AC59BE"/>
    <w:rsid w:val="79C8509A"/>
    <w:rsid w:val="79D33489"/>
    <w:rsid w:val="7A3C068E"/>
    <w:rsid w:val="7A5F5AFA"/>
    <w:rsid w:val="7A65732D"/>
    <w:rsid w:val="7A824ED6"/>
    <w:rsid w:val="7A9E67AE"/>
    <w:rsid w:val="7AE8284E"/>
    <w:rsid w:val="7B5C106C"/>
    <w:rsid w:val="7B954F76"/>
    <w:rsid w:val="7B9626DB"/>
    <w:rsid w:val="7BF520BE"/>
    <w:rsid w:val="7BFF748F"/>
    <w:rsid w:val="7C144CEC"/>
    <w:rsid w:val="7C203A7C"/>
    <w:rsid w:val="7C585A5D"/>
    <w:rsid w:val="7C697AF2"/>
    <w:rsid w:val="7C932C89"/>
    <w:rsid w:val="7CAC6088"/>
    <w:rsid w:val="7CFA7A4E"/>
    <w:rsid w:val="7D417FD2"/>
    <w:rsid w:val="7DA24A30"/>
    <w:rsid w:val="7DD92D27"/>
    <w:rsid w:val="7DE94561"/>
    <w:rsid w:val="7DEB2E3A"/>
    <w:rsid w:val="7DFC6567"/>
    <w:rsid w:val="7E103FAB"/>
    <w:rsid w:val="7E9313DA"/>
    <w:rsid w:val="7EE31F15"/>
    <w:rsid w:val="7F1475B9"/>
    <w:rsid w:val="7F682B8A"/>
    <w:rsid w:val="7FE83911"/>
    <w:rsid w:val="7FF62B36"/>
    <w:rsid w:val="7FFE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ind w:left="161"/>
    </w:pPr>
    <w:rPr>
      <w:rFonts w:hint="eastAsia" w:ascii="Microsoft JhengHei" w:hAnsi="Microsoft JhengHei" w:eastAsia="Microsoft JhengHei" w:cs="Times New Roman"/>
      <w:sz w:val="24"/>
      <w:szCs w:val="24"/>
    </w:r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5"/>
    <w:unhideWhenUsed/>
    <w:qFormat/>
    <w:uiPriority w:val="99"/>
    <w:pPr>
      <w:ind w:firstLine="420" w:firstLineChars="100"/>
    </w:p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666666"/>
      <w:u w:val="none"/>
    </w:rPr>
  </w:style>
  <w:style w:type="character" w:styleId="18">
    <w:name w:val="HTML Definition"/>
    <w:basedOn w:val="14"/>
    <w:qFormat/>
    <w:uiPriority w:val="0"/>
    <w:rPr>
      <w:i/>
      <w:iCs/>
    </w:rPr>
  </w:style>
  <w:style w:type="character" w:styleId="19">
    <w:name w:val="Hyperlink"/>
    <w:basedOn w:val="14"/>
    <w:qFormat/>
    <w:uiPriority w:val="0"/>
    <w:rPr>
      <w:color w:val="666666"/>
      <w:u w:val="none"/>
    </w:rPr>
  </w:style>
  <w:style w:type="character" w:styleId="20">
    <w:name w:val="HTML Code"/>
    <w:basedOn w:val="14"/>
    <w:qFormat/>
    <w:uiPriority w:val="0"/>
    <w:rPr>
      <w:rFonts w:hint="default" w:ascii="Consolas" w:hAnsi="Consolas" w:eastAsia="Consolas" w:cs="Consolas"/>
      <w:color w:val="C7254E"/>
      <w:sz w:val="21"/>
      <w:szCs w:val="21"/>
      <w:shd w:val="clear" w:fill="F9F2F4"/>
    </w:rPr>
  </w:style>
  <w:style w:type="character" w:styleId="21">
    <w:name w:val="HTML Keyboard"/>
    <w:basedOn w:val="14"/>
    <w:qFormat/>
    <w:uiPriority w:val="0"/>
    <w:rPr>
      <w:rFonts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文档结构图 Char"/>
    <w:basedOn w:val="14"/>
    <w:link w:val="24"/>
    <w:semiHidden/>
    <w:qFormat/>
    <w:uiPriority w:val="0"/>
    <w:rPr>
      <w:rFonts w:ascii="宋体"/>
      <w:kern w:val="2"/>
      <w:sz w:val="18"/>
      <w:szCs w:val="18"/>
    </w:rPr>
  </w:style>
  <w:style w:type="paragraph" w:customStyle="1" w:styleId="24">
    <w:name w:val="文档结构图1"/>
    <w:basedOn w:val="1"/>
    <w:link w:val="23"/>
    <w:qFormat/>
    <w:uiPriority w:val="0"/>
    <w:rPr>
      <w:rFonts w:ascii="宋体"/>
      <w:sz w:val="18"/>
      <w:szCs w:val="18"/>
    </w:rPr>
  </w:style>
  <w:style w:type="paragraph" w:customStyle="1" w:styleId="25">
    <w:name w:val="批注框文本1"/>
    <w:basedOn w:val="1"/>
    <w:qFormat/>
    <w:uiPriority w:val="0"/>
    <w:rPr>
      <w:sz w:val="18"/>
      <w:szCs w:val="18"/>
    </w:rPr>
  </w:style>
  <w:style w:type="paragraph" w:customStyle="1" w:styleId="26">
    <w:name w:val="0"/>
    <w:basedOn w:val="1"/>
    <w:qFormat/>
    <w:uiPriority w:val="0"/>
    <w:pPr>
      <w:widowControl/>
      <w:snapToGrid w:val="0"/>
      <w:spacing w:line="408" w:lineRule="auto"/>
      <w:ind w:left="1"/>
    </w:pPr>
    <w:rPr>
      <w:color w:val="000000"/>
      <w:kern w:val="0"/>
      <w:szCs w:val="21"/>
    </w:rPr>
  </w:style>
  <w:style w:type="paragraph" w:customStyle="1" w:styleId="27">
    <w:name w:val="正文文本缩进1"/>
    <w:basedOn w:val="1"/>
    <w:qFormat/>
    <w:uiPriority w:val="0"/>
    <w:pPr>
      <w:spacing w:line="560" w:lineRule="atLeast"/>
      <w:ind w:firstLine="542" w:firstLineChars="200"/>
    </w:pPr>
    <w:rPr>
      <w:rFonts w:ascii="宋体"/>
      <w:sz w:val="24"/>
      <w:szCs w:val="20"/>
    </w:rPr>
  </w:style>
  <w:style w:type="paragraph" w:customStyle="1" w:styleId="28">
    <w:name w:val="正文文本缩进 21"/>
    <w:basedOn w:val="1"/>
    <w:qFormat/>
    <w:uiPriority w:val="0"/>
    <w:pPr>
      <w:spacing w:after="120" w:line="480" w:lineRule="auto"/>
      <w:ind w:left="200" w:leftChars="200"/>
    </w:pPr>
  </w:style>
  <w:style w:type="character" w:customStyle="1" w:styleId="29">
    <w:name w:val="页码1"/>
    <w:basedOn w:val="14"/>
    <w:qFormat/>
    <w:uiPriority w:val="0"/>
  </w:style>
  <w:style w:type="character" w:customStyle="1" w:styleId="30">
    <w:name w:val="批注框文本 Char"/>
    <w:basedOn w:val="14"/>
    <w:link w:val="6"/>
    <w:qFormat/>
    <w:uiPriority w:val="0"/>
    <w:rPr>
      <w:kern w:val="2"/>
      <w:sz w:val="18"/>
      <w:szCs w:val="18"/>
    </w:rPr>
  </w:style>
  <w:style w:type="character" w:customStyle="1" w:styleId="31">
    <w:name w:val="font11"/>
    <w:basedOn w:val="14"/>
    <w:qFormat/>
    <w:uiPriority w:val="0"/>
    <w:rPr>
      <w:rFonts w:hint="eastAsia" w:ascii="宋体" w:hAnsi="宋体" w:eastAsia="宋体" w:cs="宋体"/>
      <w:color w:val="000000"/>
      <w:sz w:val="20"/>
      <w:szCs w:val="20"/>
      <w:u w:val="none"/>
    </w:rPr>
  </w:style>
  <w:style w:type="character" w:customStyle="1" w:styleId="32">
    <w:name w:val="正文 + Arial Char"/>
    <w:link w:val="33"/>
    <w:qFormat/>
    <w:uiPriority w:val="0"/>
    <w:rPr>
      <w:rFonts w:ascii="Arial" w:cs="Arial"/>
    </w:rPr>
  </w:style>
  <w:style w:type="paragraph" w:customStyle="1" w:styleId="33">
    <w:name w:val="正文 + Arial"/>
    <w:basedOn w:val="1"/>
    <w:link w:val="32"/>
    <w:qFormat/>
    <w:uiPriority w:val="0"/>
    <w:pPr>
      <w:spacing w:after="120" w:afterLines="50" w:line="360" w:lineRule="auto"/>
      <w:ind w:firstLine="420" w:firstLineChars="200"/>
    </w:pPr>
    <w:rPr>
      <w:rFonts w:ascii="Arial" w:cs="Arial"/>
    </w:rPr>
  </w:style>
  <w:style w:type="paragraph" w:customStyle="1" w:styleId="34">
    <w:name w:val="列出段落1"/>
    <w:basedOn w:val="1"/>
    <w:qFormat/>
    <w:uiPriority w:val="0"/>
    <w:pPr>
      <w:ind w:firstLine="420" w:firstLineChars="200"/>
    </w:pPr>
    <w:rPr>
      <w:rFonts w:ascii="Calibri" w:hAnsi="Calibri"/>
      <w:szCs w:val="22"/>
    </w:rPr>
  </w:style>
  <w:style w:type="paragraph" w:customStyle="1" w:styleId="35">
    <w:name w:val="列出段落11"/>
    <w:basedOn w:val="1"/>
    <w:qFormat/>
    <w:uiPriority w:val="0"/>
    <w:pPr>
      <w:ind w:firstLine="420" w:firstLineChars="200"/>
    </w:pPr>
    <w:rPr>
      <w:rFonts w:ascii="Calibri" w:hAnsi="Calibri"/>
      <w:szCs w:val="22"/>
    </w:rPr>
  </w:style>
  <w:style w:type="paragraph" w:customStyle="1" w:styleId="36">
    <w:name w:val="￥正文"/>
    <w:basedOn w:val="1"/>
    <w:qFormat/>
    <w:uiPriority w:val="0"/>
    <w:pPr>
      <w:widowControl/>
      <w:spacing w:beforeLines="50" w:afterLines="50" w:line="500" w:lineRule="exact"/>
      <w:ind w:firstLine="200" w:firstLineChars="200"/>
    </w:pPr>
    <w:rPr>
      <w:rFonts w:ascii="Times New Roman" w:hAnsi="Times New Roman" w:eastAsia="宋体" w:cs="Times New Roman"/>
      <w:kern w:val="0"/>
      <w:sz w:val="24"/>
      <w:szCs w:val="20"/>
    </w:rPr>
  </w:style>
  <w:style w:type="paragraph" w:customStyle="1" w:styleId="37">
    <w:name w:val="_Style 1"/>
    <w:basedOn w:val="1"/>
    <w:qFormat/>
    <w:uiPriority w:val="0"/>
    <w:pPr>
      <w:ind w:firstLine="420" w:firstLineChars="200"/>
    </w:pPr>
  </w:style>
  <w:style w:type="paragraph" w:customStyle="1" w:styleId="38">
    <w:name w:val="Body text|1"/>
    <w:basedOn w:val="1"/>
    <w:qFormat/>
    <w:uiPriority w:val="0"/>
    <w:pPr>
      <w:widowControl w:val="0"/>
      <w:shd w:val="clear" w:color="auto" w:fill="auto"/>
      <w:spacing w:line="269" w:lineRule="auto"/>
    </w:pPr>
    <w:rPr>
      <w:rFonts w:ascii="宋体" w:hAnsi="宋体" w:eastAsia="宋体" w:cs="宋体"/>
      <w:sz w:val="20"/>
      <w:szCs w:val="20"/>
      <w:u w:val="none"/>
      <w:shd w:val="clear" w:color="auto" w:fill="auto"/>
      <w:lang w:val="zh-TW" w:eastAsia="zh-TW" w:bidi="zh-TW"/>
    </w:rPr>
  </w:style>
  <w:style w:type="paragraph" w:customStyle="1" w:styleId="39">
    <w:name w:val="Heading #1|1"/>
    <w:basedOn w:val="1"/>
    <w:qFormat/>
    <w:uiPriority w:val="0"/>
    <w:pPr>
      <w:widowControl w:val="0"/>
      <w:shd w:val="clear" w:color="auto" w:fill="auto"/>
      <w:spacing w:after="420" w:line="574" w:lineRule="exact"/>
      <w:outlineLvl w:val="0"/>
    </w:pPr>
    <w:rPr>
      <w:rFonts w:ascii="宋体" w:hAnsi="宋体" w:eastAsia="宋体" w:cs="宋体"/>
      <w:sz w:val="34"/>
      <w:szCs w:val="34"/>
      <w:u w:val="none"/>
      <w:shd w:val="clear" w:color="auto" w:fill="auto"/>
      <w:lang w:val="zh-TW" w:eastAsia="zh-TW" w:bidi="zh-TW"/>
    </w:rPr>
  </w:style>
  <w:style w:type="paragraph" w:customStyle="1" w:styleId="40">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character" w:customStyle="1" w:styleId="43">
    <w:name w:val="time"/>
    <w:basedOn w:val="14"/>
    <w:qFormat/>
    <w:uiPriority w:val="0"/>
  </w:style>
  <w:style w:type="character" w:customStyle="1" w:styleId="44">
    <w:name w:val="print"/>
    <w:basedOn w:val="14"/>
    <w:qFormat/>
    <w:uiPriority w:val="0"/>
  </w:style>
  <w:style w:type="character" w:customStyle="1" w:styleId="45">
    <w:name w:val="font"/>
    <w:basedOn w:val="14"/>
    <w:qFormat/>
    <w:uiPriority w:val="0"/>
  </w:style>
  <w:style w:type="character" w:customStyle="1" w:styleId="46">
    <w:name w:val="on"/>
    <w:basedOn w:val="14"/>
    <w:qFormat/>
    <w:uiPriority w:val="0"/>
    <w:rPr>
      <w:color w:val="1987D6"/>
    </w:rPr>
  </w:style>
  <w:style w:type="character" w:customStyle="1" w:styleId="47">
    <w:name w:val="hover26"/>
    <w:basedOn w:val="14"/>
    <w:qFormat/>
    <w:uiPriority w:val="0"/>
    <w:rPr>
      <w:shd w:val="clear" w:fill="FF9900"/>
    </w:rPr>
  </w:style>
  <w:style w:type="character" w:customStyle="1" w:styleId="48">
    <w:name w:val="hover27"/>
    <w:basedOn w:val="14"/>
    <w:qFormat/>
    <w:uiPriority w:val="0"/>
    <w:rPr>
      <w:shd w:val="clear" w:fill="EEEEEE"/>
    </w:rPr>
  </w:style>
  <w:style w:type="character" w:customStyle="1" w:styleId="49">
    <w:name w:val="tit"/>
    <w:basedOn w:val="14"/>
    <w:qFormat/>
    <w:uiPriority w:val="0"/>
    <w:rPr>
      <w:sz w:val="24"/>
      <w:szCs w:val="24"/>
    </w:rPr>
  </w:style>
  <w:style w:type="character" w:customStyle="1" w:styleId="50">
    <w:name w:val="hover28"/>
    <w:basedOn w:val="14"/>
    <w:qFormat/>
    <w:uiPriority w:val="0"/>
    <w:rPr>
      <w:color w:val="AAAAAA"/>
    </w:rPr>
  </w:style>
  <w:style w:type="character" w:customStyle="1" w:styleId="51">
    <w:name w:val="hour_am"/>
    <w:basedOn w:val="14"/>
    <w:qFormat/>
    <w:uiPriority w:val="0"/>
  </w:style>
  <w:style w:type="character" w:customStyle="1" w:styleId="52">
    <w:name w:val="old"/>
    <w:basedOn w:val="14"/>
    <w:qFormat/>
    <w:uiPriority w:val="0"/>
    <w:rPr>
      <w:color w:val="999999"/>
    </w:rPr>
  </w:style>
  <w:style w:type="character" w:customStyle="1" w:styleId="53">
    <w:name w:val="glyphicon14"/>
    <w:basedOn w:val="14"/>
    <w:qFormat/>
    <w:uiPriority w:val="0"/>
  </w:style>
  <w:style w:type="character" w:customStyle="1" w:styleId="54">
    <w:name w:val="hour_pm"/>
    <w:basedOn w:val="14"/>
    <w:qFormat/>
    <w:uiPriority w:val="0"/>
  </w:style>
  <w:style w:type="character" w:customStyle="1" w:styleId="55">
    <w:name w:val="bsharetext"/>
    <w:basedOn w:val="14"/>
    <w:qFormat/>
    <w:uiPriority w:val="0"/>
  </w:style>
  <w:style w:type="character" w:customStyle="1" w:styleId="56">
    <w:name w:val="hover21"/>
    <w:basedOn w:val="14"/>
    <w:qFormat/>
    <w:uiPriority w:val="0"/>
    <w:rPr>
      <w:color w:val="AAAAAA"/>
    </w:rPr>
  </w:style>
  <w:style w:type="character" w:customStyle="1" w:styleId="57">
    <w:name w:val="on4"/>
    <w:basedOn w:val="14"/>
    <w:qFormat/>
    <w:uiPriority w:val="0"/>
    <w:rPr>
      <w:color w:val="1987D6"/>
    </w:rPr>
  </w:style>
  <w:style w:type="character" w:customStyle="1" w:styleId="58">
    <w:name w:val="hover19"/>
    <w:basedOn w:val="14"/>
    <w:qFormat/>
    <w:uiPriority w:val="0"/>
    <w:rPr>
      <w:shd w:val="clear" w:fill="FF9900"/>
    </w:rPr>
  </w:style>
  <w:style w:type="character" w:customStyle="1" w:styleId="59">
    <w:name w:val="hover20"/>
    <w:basedOn w:val="14"/>
    <w:qFormat/>
    <w:uiPriority w:val="0"/>
    <w:rPr>
      <w:shd w:val="clear" w:fill="EEEEEE"/>
    </w:rPr>
  </w:style>
  <w:style w:type="character" w:customStyle="1" w:styleId="60">
    <w:name w:val="calendar-head__next-range-btn"/>
    <w:basedOn w:val="14"/>
    <w:qFormat/>
    <w:uiPriority w:val="0"/>
    <w:rPr>
      <w:vanish/>
    </w:rPr>
  </w:style>
  <w:style w:type="character" w:customStyle="1" w:styleId="61">
    <w:name w:val="calendar-head__text-display"/>
    <w:basedOn w:val="14"/>
    <w:qFormat/>
    <w:uiPriority w:val="0"/>
    <w:rPr>
      <w:vanish/>
    </w:rPr>
  </w:style>
  <w:style w:type="character" w:customStyle="1" w:styleId="62">
    <w:name w:val="hover"/>
    <w:basedOn w:val="14"/>
    <w:qFormat/>
    <w:uiPriority w:val="0"/>
    <w:rPr>
      <w:color w:val="2F6EA2"/>
    </w:rPr>
  </w:style>
  <w:style w:type="character" w:customStyle="1" w:styleId="63">
    <w:name w:val="calendar-head__next-month-btn"/>
    <w:basedOn w:val="14"/>
    <w:qFormat/>
    <w:uiPriority w:val="0"/>
  </w:style>
  <w:style w:type="character" w:customStyle="1" w:styleId="64">
    <w:name w:val="calendar-head__next-year-btn"/>
    <w:basedOn w:val="14"/>
    <w:qFormat/>
    <w:uiPriority w:val="0"/>
  </w:style>
  <w:style w:type="character" w:customStyle="1" w:styleId="65">
    <w:name w:val="calendar-head__prev-range-btn"/>
    <w:basedOn w:val="14"/>
    <w:qFormat/>
    <w:uiPriority w:val="0"/>
    <w:rPr>
      <w:vanish/>
    </w:rPr>
  </w:style>
  <w:style w:type="character" w:customStyle="1" w:styleId="66">
    <w:name w:val="calendar-head__year-range"/>
    <w:basedOn w:val="14"/>
    <w:qFormat/>
    <w:uiPriority w:val="0"/>
    <w:rPr>
      <w:vanish/>
    </w:rPr>
  </w:style>
  <w:style w:type="character" w:customStyle="1" w:styleId="67">
    <w:name w:val="active2"/>
    <w:basedOn w:val="14"/>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Pages>
  <Words>3138</Words>
  <Characters>3486</Characters>
  <Lines>9</Lines>
  <Paragraphs>2</Paragraphs>
  <TotalTime>2</TotalTime>
  <ScaleCrop>false</ScaleCrop>
  <LinksUpToDate>false</LinksUpToDate>
  <CharactersWithSpaces>3524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2016-01-16T08:04:00Z</dcterms:created>
  <dc:creator>Billgates</dc:creator>
  <cp:lastModifiedBy>Molly</cp:lastModifiedBy>
  <cp:lastPrinted>2021-12-29T11:01:00Z</cp:lastPrinted>
  <dcterms:modified xsi:type="dcterms:W3CDTF">2023-11-01T15:23:26Z</dcterms:modified>
  <dc:title>广东省徐闻新华书店报表附注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CE48AF3B319842409ACD3EA8FE2EC111</vt:lpwstr>
  </property>
</Properties>
</file>