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仿宋"/>
          <w:b/>
          <w:spacing w:val="20"/>
          <w:sz w:val="32"/>
          <w:szCs w:val="32"/>
          <w:highlight w:val="none"/>
        </w:rPr>
      </w:pPr>
    </w:p>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仿宋"/>
          <w:b/>
          <w:spacing w:val="20"/>
          <w:sz w:val="32"/>
          <w:szCs w:val="32"/>
          <w:highlight w:val="none"/>
        </w:rPr>
      </w:pPr>
    </w:p>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仿宋"/>
          <w:b/>
          <w:spacing w:val="20"/>
          <w:sz w:val="32"/>
          <w:szCs w:val="32"/>
          <w:highlight w:val="none"/>
        </w:rPr>
      </w:pPr>
      <w:r>
        <w:rPr>
          <w:rFonts w:hint="eastAsia" w:ascii="仿宋" w:hAnsi="仿宋" w:eastAsia="仿宋" w:cs="仿宋"/>
          <w:b/>
          <w:spacing w:val="20"/>
          <w:sz w:val="32"/>
          <w:szCs w:val="32"/>
          <w:highlight w:val="none"/>
        </w:rPr>
        <w:t xml:space="preserve">  </w:t>
      </w:r>
    </w:p>
    <w:p>
      <w:pPr>
        <w:keepNext w:val="0"/>
        <w:keepLines w:val="0"/>
        <w:pageBreakBefore w:val="0"/>
        <w:kinsoku/>
        <w:overflowPunct/>
        <w:topLinePunct w:val="0"/>
        <w:autoSpaceDE/>
        <w:autoSpaceDN/>
        <w:bidi w:val="0"/>
        <w:spacing w:line="360" w:lineRule="auto"/>
        <w:ind w:firstLine="2240" w:firstLineChars="700"/>
        <w:textAlignment w:val="auto"/>
        <w:rPr>
          <w:rFonts w:hint="eastAsia" w:ascii="仿宋" w:hAnsi="仿宋" w:eastAsia="仿宋" w:cs="仿宋"/>
          <w:sz w:val="32"/>
          <w:szCs w:val="32"/>
          <w:highlight w:val="none"/>
        </w:rPr>
        <w:sectPr>
          <w:headerReference r:id="rId3" w:type="default"/>
          <w:footerReference r:id="rId4" w:type="default"/>
          <w:footerReference r:id="rId5" w:type="even"/>
          <w:pgSz w:w="11906" w:h="16838"/>
          <w:pgMar w:top="1134" w:right="1701" w:bottom="1361" w:left="1701" w:header="851" w:footer="992" w:gutter="0"/>
          <w:pgNumType w:fmt="decimal" w:start="1"/>
          <w:cols w:space="425" w:num="2"/>
          <w:docGrid w:type="lines" w:linePitch="312" w:charSpace="0"/>
        </w:sectPr>
      </w:pPr>
    </w:p>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hint="eastAsia" w:asciiTheme="minorEastAsia" w:hAnsiTheme="minorEastAsia" w:eastAsiaTheme="minorEastAsia"/>
          <w:b/>
          <w:bCs/>
          <w:sz w:val="36"/>
          <w:szCs w:val="36"/>
          <w:highlight w:val="none"/>
        </w:rPr>
      </w:pPr>
      <w:r>
        <w:rPr>
          <w:rFonts w:hint="eastAsia" w:asciiTheme="minorEastAsia" w:hAnsiTheme="minorEastAsia" w:eastAsiaTheme="minorEastAsia"/>
          <w:b/>
          <w:bCs/>
          <w:sz w:val="36"/>
          <w:szCs w:val="36"/>
          <w:highlight w:val="none"/>
          <w:lang w:eastAsia="zh-CN"/>
        </w:rPr>
        <w:t>湛江市民政局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6"/>
          <w:szCs w:val="36"/>
          <w:highlight w:val="none"/>
          <w:lang w:eastAsia="zh-CN"/>
        </w:rPr>
      </w:pPr>
      <w:r>
        <w:rPr>
          <w:rFonts w:hint="eastAsia" w:asciiTheme="minorEastAsia" w:hAnsiTheme="minorEastAsia" w:eastAsiaTheme="minorEastAsia"/>
          <w:b/>
          <w:bCs/>
          <w:sz w:val="36"/>
          <w:szCs w:val="36"/>
          <w:highlight w:val="none"/>
        </w:rPr>
        <w:t>202</w:t>
      </w:r>
      <w:r>
        <w:rPr>
          <w:rFonts w:hint="eastAsia" w:asciiTheme="minorEastAsia" w:hAnsiTheme="minorEastAsia" w:eastAsiaTheme="minorEastAsia"/>
          <w:b/>
          <w:bCs/>
          <w:sz w:val="36"/>
          <w:szCs w:val="36"/>
          <w:highlight w:val="none"/>
          <w:lang w:val="en-US" w:eastAsia="zh-CN"/>
        </w:rPr>
        <w:t>2</w:t>
      </w:r>
      <w:r>
        <w:rPr>
          <w:rFonts w:hint="eastAsia" w:asciiTheme="minorEastAsia" w:hAnsiTheme="minorEastAsia" w:eastAsiaTheme="minorEastAsia"/>
          <w:b/>
          <w:bCs/>
          <w:sz w:val="36"/>
          <w:szCs w:val="36"/>
          <w:highlight w:val="none"/>
        </w:rPr>
        <w:t>年</w:t>
      </w:r>
      <w:r>
        <w:rPr>
          <w:rFonts w:hint="eastAsia" w:asciiTheme="minorEastAsia" w:hAnsiTheme="minorEastAsia" w:eastAsiaTheme="minorEastAsia"/>
          <w:b/>
          <w:bCs/>
          <w:sz w:val="36"/>
          <w:szCs w:val="36"/>
          <w:highlight w:val="none"/>
          <w:lang w:eastAsia="zh-CN"/>
        </w:rPr>
        <w:t>度</w:t>
      </w:r>
      <w:r>
        <w:rPr>
          <w:rFonts w:hint="eastAsia" w:asciiTheme="minorEastAsia" w:hAnsiTheme="minorEastAsia" w:eastAsiaTheme="minorEastAsia"/>
          <w:b/>
          <w:bCs/>
          <w:sz w:val="36"/>
          <w:szCs w:val="36"/>
          <w:highlight w:val="none"/>
        </w:rPr>
        <w:t>项目</w:t>
      </w:r>
      <w:r>
        <w:rPr>
          <w:rFonts w:hint="eastAsia" w:asciiTheme="minorEastAsia" w:hAnsiTheme="minorEastAsia" w:eastAsiaTheme="minorEastAsia"/>
          <w:b/>
          <w:bCs/>
          <w:sz w:val="36"/>
          <w:szCs w:val="36"/>
          <w:highlight w:val="none"/>
          <w:lang w:eastAsia="zh-CN"/>
        </w:rPr>
        <w:t>支出</w:t>
      </w:r>
      <w:r>
        <w:rPr>
          <w:rFonts w:hint="eastAsia" w:asciiTheme="minorEastAsia" w:hAnsiTheme="minorEastAsia" w:eastAsiaTheme="minorEastAsia"/>
          <w:b/>
          <w:bCs/>
          <w:sz w:val="36"/>
          <w:szCs w:val="36"/>
          <w:highlight w:val="none"/>
        </w:rPr>
        <w:t>绩效</w:t>
      </w:r>
      <w:r>
        <w:rPr>
          <w:rFonts w:hint="eastAsia" w:asciiTheme="minorEastAsia" w:hAnsiTheme="minorEastAsia" w:eastAsiaTheme="minorEastAsia"/>
          <w:b/>
          <w:bCs/>
          <w:sz w:val="36"/>
          <w:szCs w:val="36"/>
          <w:highlight w:val="none"/>
          <w:lang w:eastAsia="zh-CN"/>
        </w:rPr>
        <w:t>核查</w:t>
      </w:r>
      <w:r>
        <w:rPr>
          <w:rFonts w:hint="eastAsia" w:asciiTheme="minorEastAsia" w:hAnsiTheme="minorEastAsia" w:eastAsiaTheme="minorEastAsia"/>
          <w:b/>
          <w:bCs/>
          <w:sz w:val="36"/>
          <w:szCs w:val="36"/>
          <w:highlight w:val="none"/>
        </w:rPr>
        <w:t>报告</w:t>
      </w:r>
    </w:p>
    <w:p>
      <w:pPr>
        <w:jc w:val="center"/>
        <w:rPr>
          <w:rFonts w:ascii="Times New Roman" w:hAnsi="Times New Roman" w:eastAsia="仿宋_GB2312"/>
          <w:b/>
          <w:kern w:val="0"/>
          <w:sz w:val="36"/>
          <w:szCs w:val="36"/>
          <w:highlight w:val="none"/>
        </w:rPr>
      </w:pPr>
      <w:r>
        <w:rPr>
          <w:rFonts w:hint="eastAsia" w:ascii="Times New Roman" w:hAnsi="Times New Roman" w:eastAsia="仿宋_GB2312"/>
          <w:b/>
          <w:kern w:val="0"/>
          <w:sz w:val="36"/>
          <w:szCs w:val="36"/>
          <w:highlight w:val="none"/>
        </w:rPr>
        <w:t xml:space="preserve"> </w:t>
      </w: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ind w:firstLine="843" w:firstLineChars="300"/>
        <w:rPr>
          <w:rFonts w:ascii="Times New Roman" w:hAnsi="Times New Roman" w:eastAsia="仿宋_GB2312"/>
          <w:kern w:val="0"/>
          <w:sz w:val="28"/>
          <w:szCs w:val="28"/>
          <w:highlight w:val="none"/>
        </w:rPr>
      </w:pPr>
      <w:r>
        <w:rPr>
          <w:rFonts w:hint="eastAsia" w:ascii="仿宋" w:hAnsi="仿宋" w:eastAsia="仿宋" w:cs="仿宋"/>
          <w:b/>
          <w:bCs/>
          <w:kern w:val="0"/>
          <w:sz w:val="28"/>
          <w:szCs w:val="28"/>
          <w:highlight w:val="none"/>
          <w:lang w:eastAsia="zh-CN"/>
        </w:rPr>
        <w:t>委托单位：</w:t>
      </w:r>
      <w:r>
        <w:rPr>
          <w:rFonts w:hint="eastAsia" w:ascii="仿宋" w:hAnsi="仿宋" w:eastAsia="仿宋" w:cs="仿宋"/>
          <w:kern w:val="0"/>
          <w:sz w:val="28"/>
          <w:szCs w:val="28"/>
          <w:highlight w:val="none"/>
          <w:lang w:eastAsia="zh-CN"/>
        </w:rPr>
        <w:t>湛江市财政局</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评价机构：</w:t>
      </w:r>
      <w:r>
        <w:rPr>
          <w:rFonts w:hint="eastAsia" w:ascii="仿宋" w:hAnsi="仿宋" w:eastAsia="仿宋" w:cs="仿宋"/>
          <w:kern w:val="0"/>
          <w:sz w:val="28"/>
          <w:szCs w:val="28"/>
          <w:highlight w:val="none"/>
          <w:lang w:eastAsia="zh-CN"/>
        </w:rPr>
        <w:t>广东诚安信会计师事务所（特殊普通合伙）</w:t>
      </w:r>
    </w:p>
    <w:p>
      <w:pPr>
        <w:ind w:firstLine="843" w:firstLineChars="300"/>
        <w:rPr>
          <w:rFonts w:hint="eastAsia" w:ascii="仿宋" w:hAnsi="仿宋" w:eastAsia="仿宋" w:cs="仿宋"/>
          <w:kern w:val="0"/>
          <w:sz w:val="32"/>
          <w:szCs w:val="32"/>
          <w:highlight w:val="none"/>
          <w:lang w:eastAsia="zh-CN"/>
        </w:rPr>
      </w:pPr>
      <w:r>
        <w:rPr>
          <w:rFonts w:hint="eastAsia" w:ascii="仿宋" w:hAnsi="仿宋" w:eastAsia="仿宋" w:cs="仿宋"/>
          <w:b/>
          <w:bCs/>
          <w:kern w:val="0"/>
          <w:sz w:val="28"/>
          <w:szCs w:val="28"/>
          <w:highlight w:val="none"/>
          <w:lang w:eastAsia="zh-CN"/>
        </w:rPr>
        <w:t>评价日期：</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eastAsia="zh-CN"/>
        </w:rPr>
        <w:t>月</w:t>
      </w:r>
    </w:p>
    <w:p>
      <w:pPr>
        <w:pStyle w:val="9"/>
        <w:rPr>
          <w:rFonts w:hint="eastAsia" w:ascii="仿宋_GB2312" w:hAnsi="仿宋_GB2312" w:eastAsia="仿宋_GB2312" w:cs="仿宋_GB2312"/>
          <w:sz w:val="32"/>
          <w:szCs w:val="40"/>
          <w:highlight w:val="none"/>
        </w:rPr>
      </w:pPr>
    </w:p>
    <w:p>
      <w:pPr>
        <w:pStyle w:val="5"/>
        <w:widowControl/>
        <w:tabs>
          <w:tab w:val="right" w:leader="dot" w:pos="8958"/>
        </w:tabs>
        <w:spacing w:before="240" w:after="120" w:line="520" w:lineRule="exact"/>
        <w:jc w:val="both"/>
        <w:rPr>
          <w:rFonts w:hint="eastAsia" w:ascii="Cambria" w:hAnsi="Cambria" w:eastAsia="方正小标宋简体"/>
          <w:caps/>
          <w:sz w:val="36"/>
          <w:szCs w:val="36"/>
          <w:highlight w:val="none"/>
          <w:lang w:val="zh-CN"/>
        </w:rPr>
        <w:sectPr>
          <w:footerReference r:id="rId6" w:type="default"/>
          <w:type w:val="continuous"/>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spacing w:val="20"/>
          <w:sz w:val="32"/>
          <w:szCs w:val="32"/>
          <w:highlight w:val="none"/>
        </w:rPr>
      </w:pPr>
      <w:r>
        <w:rPr>
          <w:rFonts w:hint="eastAsia" w:ascii="仿宋" w:hAnsi="仿宋" w:eastAsia="仿宋" w:cs="仿宋"/>
          <w:b/>
          <w:spacing w:val="20"/>
          <w:sz w:val="32"/>
          <w:szCs w:val="32"/>
          <w:highlight w:val="none"/>
        </w:rPr>
        <w:t xml:space="preserve"> </w:t>
      </w:r>
    </w:p>
    <w:p>
      <w:pPr>
        <w:jc w:val="center"/>
        <w:rPr>
          <w:rFonts w:hint="eastAsia" w:ascii="仿宋" w:hAnsi="仿宋" w:eastAsia="仿宋" w:cs="仿宋"/>
          <w:b/>
          <w:bCs/>
          <w:caps/>
          <w:kern w:val="2"/>
          <w:sz w:val="36"/>
          <w:szCs w:val="36"/>
          <w:highlight w:val="none"/>
          <w:lang w:val="en-US" w:eastAsia="zh-CN" w:bidi="ar-SA"/>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1418" w:right="1418" w:bottom="1418" w:left="1418" w:header="851" w:footer="992" w:gutter="0"/>
          <w:pgNumType w:fmt="decimal"/>
          <w:cols w:space="720" w:num="1"/>
          <w:docGrid w:type="lines" w:linePitch="312" w:charSpace="0"/>
        </w:sect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highlight w:val="none"/>
          <w:lang w:val="en-US" w:eastAsia="zh-CN" w:bidi="ar-SA"/>
        </w:rPr>
      </w:pPr>
    </w:p>
    <w:p>
      <w:pPr>
        <w:spacing w:before="0" w:beforeLines="0" w:after="0" w:afterLines="0" w:line="240" w:lineRule="auto"/>
        <w:ind w:left="0" w:leftChars="0" w:right="0" w:rightChars="0" w:firstLine="0" w:firstLineChars="0"/>
        <w:jc w:val="center"/>
        <w:rPr>
          <w:rFonts w:hint="eastAsia"/>
          <w:sz w:val="32"/>
          <w:szCs w:val="32"/>
          <w:highlight w:val="none"/>
        </w:rPr>
      </w:pPr>
      <w:r>
        <w:rPr>
          <w:rFonts w:hint="eastAsia" w:ascii="仿宋" w:hAnsi="仿宋" w:eastAsia="仿宋" w:cs="仿宋"/>
          <w:b/>
          <w:bCs/>
          <w:sz w:val="32"/>
          <w:szCs w:val="32"/>
          <w:highlight w:val="none"/>
        </w:rPr>
        <w:t>目录</w:t>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"1-2" \h \u </w:instrText>
      </w:r>
      <w:r>
        <w:rPr>
          <w:rFonts w:hint="eastAsia" w:ascii="仿宋" w:hAnsi="仿宋" w:eastAsia="仿宋" w:cs="仿宋"/>
          <w:sz w:val="28"/>
          <w:szCs w:val="28"/>
          <w:highlight w:val="none"/>
        </w:rPr>
        <w:fldChar w:fldCharType="separate"/>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_Toc4951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val="en-US" w:eastAsia="zh-CN"/>
        </w:rPr>
        <w:t>一、项目基本情况</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_Toc4951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_Toc17530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（一）项目概况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_Toc17530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_Toc17257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（二）项目立项依据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_Toc17257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_Toc1156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（三）项目</w:t>
      </w:r>
      <w:r>
        <w:rPr>
          <w:rFonts w:hint="eastAsia" w:ascii="仿宋" w:hAnsi="仿宋" w:eastAsia="仿宋" w:cs="仿宋"/>
          <w:sz w:val="28"/>
          <w:szCs w:val="28"/>
          <w:highlight w:val="none"/>
        </w:rPr>
        <w:t>绩效目标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_Toc1156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_Toc26798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（四）项目建设内容</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_Toc26798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_Toc25132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eastAsia="zh-CN"/>
        </w:rPr>
        <w:t>、核查工作开展情况</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_Toc25132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_Toc28273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（一）评价目的</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_Toc28273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_Toc24406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评价过程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_Toc24406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_Toc3007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（三）评价原则和方法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_Toc19758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eastAsia="zh-CN"/>
        </w:rPr>
        <w:t>三、项目实施情况</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_Toc19758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3</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_Toc18632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w:t>
      </w:r>
      <w:r>
        <w:rPr>
          <w:rFonts w:hint="eastAsia" w:ascii="仿宋" w:hAnsi="仿宋" w:eastAsia="仿宋" w:cs="仿宋"/>
          <w:sz w:val="28"/>
          <w:szCs w:val="28"/>
          <w:highlight w:val="none"/>
          <w:lang w:eastAsia="zh-CN"/>
        </w:rPr>
        <w:t>项目实施情况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_Toc18632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_Toc18859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（二）项目资金情况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_Toc18859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_Toc15964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eastAsia="zh-CN"/>
        </w:rPr>
        <w:t>四、核查结论</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_Toc15964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_Toc13877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存在问题</w:t>
      </w:r>
      <w:r>
        <w:rPr>
          <w:rFonts w:hint="eastAsia" w:ascii="仿宋" w:hAnsi="仿宋" w:eastAsia="仿宋" w:cs="仿宋"/>
          <w:b/>
          <w:bCs/>
          <w:sz w:val="28"/>
          <w:szCs w:val="28"/>
          <w:highlight w:val="none"/>
          <w:lang w:eastAsia="zh-CN"/>
        </w:rPr>
        <w:t>及相关建议</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_Toc1745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（一）存在问题</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_Toc4560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相关建议</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_Toc121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eastAsia="zh-CN"/>
        </w:rPr>
        <w:t>湛江市民政局202</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年度项目支出</w:t>
      </w:r>
      <w:r>
        <w:rPr>
          <w:rFonts w:hint="eastAsia" w:ascii="仿宋" w:hAnsi="仿宋" w:eastAsia="仿宋" w:cs="仿宋"/>
          <w:b/>
          <w:bCs/>
          <w:sz w:val="28"/>
          <w:szCs w:val="28"/>
          <w:highlight w:val="none"/>
        </w:rPr>
        <w:t>绩效</w:t>
      </w:r>
      <w:r>
        <w:rPr>
          <w:rFonts w:hint="eastAsia" w:ascii="仿宋" w:hAnsi="仿宋" w:eastAsia="仿宋" w:cs="仿宋"/>
          <w:b/>
          <w:bCs/>
          <w:sz w:val="28"/>
          <w:szCs w:val="28"/>
          <w:highlight w:val="none"/>
          <w:lang w:val="en-US" w:eastAsia="zh-CN"/>
        </w:rPr>
        <w:t>指标评分表</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rPr>
        <w:fldChar w:fldCharType="end"/>
      </w:r>
    </w:p>
    <w:p>
      <w:pPr>
        <w:pStyle w:val="10"/>
        <w:tabs>
          <w:tab w:val="right" w:leader="dot" w:pos="9070"/>
        </w:tabs>
        <w:rPr>
          <w:rFonts w:hint="eastAsia" w:ascii="仿宋" w:hAnsi="仿宋" w:eastAsia="仿宋" w:cs="仿宋"/>
          <w:sz w:val="32"/>
          <w:szCs w:val="32"/>
          <w:highlight w:val="none"/>
        </w:rPr>
      </w:pPr>
      <w:r>
        <w:rPr>
          <w:rFonts w:hint="eastAsia" w:ascii="仿宋" w:hAnsi="仿宋" w:eastAsia="仿宋" w:cs="仿宋"/>
          <w:sz w:val="28"/>
          <w:szCs w:val="28"/>
          <w:highlight w:val="none"/>
        </w:rPr>
        <w:fldChar w:fldCharType="end"/>
      </w:r>
    </w:p>
    <w:p>
      <w:pPr>
        <w:rPr>
          <w:highlight w:val="none"/>
        </w:rPr>
        <w:sectPr>
          <w:footerReference r:id="rId13" w:type="default"/>
          <w:pgSz w:w="11906" w:h="16838"/>
          <w:pgMar w:top="1418" w:right="1418" w:bottom="1418" w:left="1418" w:header="851" w:footer="992" w:gutter="0"/>
          <w:pgNumType w:fmt="decimal" w:start="1"/>
          <w:cols w:space="720" w:num="1"/>
          <w:docGrid w:type="lines" w:linePitch="312" w:charSpace="0"/>
        </w:sectPr>
      </w:pPr>
    </w:p>
    <w:tbl>
      <w:tblPr>
        <w:tblStyle w:val="7"/>
        <w:tblW w:w="0" w:type="auto"/>
        <w:jc w:val="center"/>
        <w:tblLayout w:type="fixed"/>
        <w:tblCellMar>
          <w:top w:w="0" w:type="dxa"/>
          <w:left w:w="108" w:type="dxa"/>
          <w:bottom w:w="0" w:type="dxa"/>
          <w:right w:w="108" w:type="dxa"/>
        </w:tblCellMar>
      </w:tblPr>
      <w:tblGrid>
        <w:gridCol w:w="1276"/>
        <w:gridCol w:w="7226"/>
      </w:tblGrid>
      <w:tr>
        <w:trPr>
          <w:cantSplit/>
          <w:trHeight w:val="629" w:hRule="atLeast"/>
          <w:jc w:val="center"/>
        </w:trPr>
        <w:tc>
          <w:tcPr>
            <w:tcW w:w="1276" w:type="dxa"/>
            <w:vMerge w:val="restart"/>
          </w:tcPr>
          <w:tbl>
            <w:tblPr>
              <w:tblStyle w:val="7"/>
              <w:tblW w:w="0" w:type="auto"/>
              <w:tblInd w:w="0" w:type="dxa"/>
              <w:tblLayout w:type="fixed"/>
              <w:tblCellMar>
                <w:top w:w="0" w:type="dxa"/>
                <w:left w:w="108" w:type="dxa"/>
                <w:bottom w:w="0" w:type="dxa"/>
                <w:right w:w="108" w:type="dxa"/>
              </w:tblCellMar>
            </w:tblPr>
            <w:tblGrid>
              <w:gridCol w:w="2522"/>
              <w:gridCol w:w="2522"/>
            </w:tblGrid>
            <w:tr>
              <w:trPr>
                <w:cantSplit/>
                <w:trHeight w:val="458" w:hRule="atLeast"/>
              </w:trPr>
              <w:tc>
                <w:tcPr>
                  <w:tcW w:w="2522" w:type="dxa"/>
                  <w:vMerge w:val="restart"/>
                </w:tcPr>
                <w:p>
                  <w:pPr>
                    <w:rPr>
                      <w:highlight w:val="none"/>
                    </w:rPr>
                  </w:pPr>
                  <w:r>
                    <w:rPr>
                      <w:szCs w:val="24"/>
                      <w:highlight w:val="none"/>
                    </w:rPr>
                    <w:drawing>
                      <wp:anchor distT="0" distB="0" distL="114300" distR="114300" simplePos="0" relativeHeight="251660288" behindDoc="0" locked="0" layoutInCell="1" allowOverlap="1">
                        <wp:simplePos x="0" y="0"/>
                        <wp:positionH relativeFrom="column">
                          <wp:posOffset>-62865</wp:posOffset>
                        </wp:positionH>
                        <wp:positionV relativeFrom="paragraph">
                          <wp:posOffset>-1270</wp:posOffset>
                        </wp:positionV>
                        <wp:extent cx="695325" cy="695325"/>
                        <wp:effectExtent l="0" t="0" r="15875" b="15875"/>
                        <wp:wrapNone/>
                        <wp:docPr id="19" name="图片 19" descr="诚安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诚安信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95325" cy="695325"/>
                                </a:xfrm>
                                <a:prstGeom prst="rect">
                                  <a:avLst/>
                                </a:prstGeom>
                                <a:noFill/>
                                <a:ln>
                                  <a:noFill/>
                                </a:ln>
                              </pic:spPr>
                            </pic:pic>
                          </a:graphicData>
                        </a:graphic>
                      </wp:anchor>
                    </w:drawing>
                  </w:r>
                </w:p>
              </w:tc>
              <w:tc>
                <w:tcPr>
                  <w:tcW w:w="2522" w:type="dxa"/>
                </w:tcPr>
                <w:p>
                  <w:pPr>
                    <w:spacing w:line="240" w:lineRule="atLeast"/>
                    <w:jc w:val="center"/>
                    <w:rPr>
                      <w:szCs w:val="24"/>
                      <w:highlight w:val="none"/>
                    </w:rPr>
                  </w:pPr>
                </w:p>
              </w:tc>
            </w:tr>
            <w:tr>
              <w:trPr>
                <w:cantSplit/>
                <w:trHeight w:val="254" w:hRule="atLeast"/>
              </w:trPr>
              <w:tc>
                <w:tcPr>
                  <w:tcW w:w="2522" w:type="dxa"/>
                  <w:vMerge w:val="continue"/>
                  <w:vAlign w:val="center"/>
                </w:tcPr>
                <w:p>
                  <w:pPr>
                    <w:rPr>
                      <w:rFonts w:eastAsia="隶书"/>
                      <w:sz w:val="22"/>
                      <w:szCs w:val="24"/>
                      <w:highlight w:val="none"/>
                    </w:rPr>
                  </w:pPr>
                </w:p>
              </w:tc>
              <w:tc>
                <w:tcPr>
                  <w:tcW w:w="2522" w:type="dxa"/>
                </w:tcPr>
                <w:p>
                  <w:pPr>
                    <w:rPr>
                      <w:rFonts w:eastAsia="隶书"/>
                      <w:sz w:val="22"/>
                      <w:szCs w:val="24"/>
                      <w:highlight w:val="none"/>
                    </w:rPr>
                  </w:pPr>
                </w:p>
              </w:tc>
            </w:tr>
          </w:tbl>
          <w:p>
            <w:pPr>
              <w:rPr>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254635</wp:posOffset>
                      </wp:positionV>
                      <wp:extent cx="5353050" cy="0"/>
                      <wp:effectExtent l="0" t="9525" r="0" b="9525"/>
                      <wp:wrapNone/>
                      <wp:docPr id="9" name="直接连接符 9"/>
                      <wp:cNvGraphicFramePr/>
                      <a:graphic xmlns:a="http://schemas.openxmlformats.org/drawingml/2006/main">
                        <a:graphicData uri="http://schemas.microsoft.com/office/word/2010/wordprocessingShape">
                          <wps:wsp>
                            <wps:cNvCnPr/>
                            <wps:spPr>
                              <a:xfrm>
                                <a:off x="1097280" y="1628775"/>
                                <a:ext cx="5353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20.05pt;height:0pt;width:421.5pt;z-index:251661312;mso-width-relative:page;mso-height-relative:page;" filled="f" stroked="t" coordsize="21600,21600" o:gfxdata="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oJqHW2AAAAAgBAAAPAAAAAAAAAAEAIAAAADgAAABk&#10;cnMvZG93bnJldi54bWxQSwECFAAUAAAACACHTuJAczO++PABAAC+AwAADgAAAAAAAAABACAAAAA9&#10;AQAAZHJzL2Uyb0RvYy54bWxQSwUGAAAAAAYABgBZAQAAnwUAAAAA&#10;">
                      <v:fill on="f" focussize="0,0"/>
                      <v:stroke weight="1.5pt" color="#000000 [3200]" miterlimit="8" joinstyle="miter"/>
                      <v:imagedata o:title=""/>
                      <o:lock v:ext="edit" aspectratio="f"/>
                    </v:line>
                  </w:pict>
                </mc:Fallback>
              </mc:AlternateContent>
            </w:r>
          </w:p>
        </w:tc>
        <w:tc>
          <w:tcPr>
            <w:tcW w:w="7226" w:type="dxa"/>
            <w:vAlign w:val="center"/>
          </w:tcPr>
          <w:p>
            <w:pPr>
              <w:jc w:val="center"/>
              <w:rPr>
                <w:rFonts w:ascii="黑体" w:hAnsi="黑体" w:eastAsia="黑体"/>
                <w:b/>
                <w:sz w:val="30"/>
                <w:szCs w:val="30"/>
                <w:highlight w:val="none"/>
              </w:rPr>
            </w:pPr>
            <w:r>
              <w:rPr>
                <w:rFonts w:hint="eastAsia" w:ascii="黑体" w:hAnsi="黑体" w:eastAsia="黑体"/>
                <w:b/>
                <w:spacing w:val="40"/>
                <w:sz w:val="30"/>
                <w:szCs w:val="30"/>
                <w:highlight w:val="none"/>
              </w:rPr>
              <w:t>广东诚安信会计师事务所（特殊普通合伙）</w:t>
            </w:r>
            <w:r>
              <w:rPr>
                <w:rFonts w:ascii="Times New Roman" w:hAnsi="Times New Roman" w:eastAsia="Arial Unicode MS" w:cs="Times New Roman"/>
                <w:b/>
                <w:bCs/>
                <w:kern w:val="0"/>
                <w:sz w:val="18"/>
                <w:szCs w:val="18"/>
                <w:highlight w:val="none"/>
              </w:rPr>
              <w:t>GUANGDONG  CHENGANXIN  CERTIFIED  PUBLIC  ACCOUNTANTS  LLP</w:t>
            </w:r>
          </w:p>
        </w:tc>
      </w:tr>
      <w:tr>
        <w:trPr>
          <w:cantSplit/>
          <w:trHeight w:val="411" w:hRule="atLeast"/>
          <w:jc w:val="center"/>
        </w:trPr>
        <w:tc>
          <w:tcPr>
            <w:tcW w:w="1276" w:type="dxa"/>
            <w:vMerge w:val="continue"/>
            <w:vAlign w:val="center"/>
          </w:tcPr>
          <w:p>
            <w:pPr>
              <w:rPr>
                <w:highlight w:val="none"/>
              </w:rPr>
            </w:pPr>
          </w:p>
        </w:tc>
        <w:tc>
          <w:tcPr>
            <w:tcW w:w="7226" w:type="dxa"/>
            <w:vAlign w:val="center"/>
          </w:tcPr>
          <w:p>
            <w:pPr>
              <w:widowControl/>
              <w:jc w:val="center"/>
              <w:rPr>
                <w:rFonts w:ascii="Times New Roman" w:hAnsi="Times New Roman" w:eastAsia="Arial Unicode MS" w:cs="Times New Roman"/>
                <w:b/>
                <w:bCs/>
                <w:kern w:val="0"/>
                <w:sz w:val="18"/>
                <w:szCs w:val="18"/>
                <w:highlight w:val="none"/>
              </w:rPr>
            </w:pPr>
          </w:p>
        </w:tc>
      </w:tr>
    </w:tbl>
    <w:p>
      <w:pPr>
        <w:keepNext w:val="0"/>
        <w:keepLines w:val="0"/>
        <w:pageBreakBefore w:val="0"/>
        <w:kinsoku/>
        <w:wordWrap/>
        <w:overflowPunct/>
        <w:topLinePunct w:val="0"/>
        <w:autoSpaceDE/>
        <w:autoSpaceDN/>
        <w:bidi w:val="0"/>
        <w:snapToGrid w:val="0"/>
        <w:spacing w:line="360" w:lineRule="auto"/>
        <w:ind w:firstLine="480" w:firstLineChars="200"/>
        <w:jc w:val="right"/>
        <w:textAlignment w:val="auto"/>
        <w:rPr>
          <w:rFonts w:hint="eastAsia" w:ascii="仿宋" w:hAnsi="仿宋" w:eastAsia="仿宋" w:cs="仿宋"/>
          <w:color w:val="auto"/>
          <w:kern w:val="2"/>
          <w:sz w:val="28"/>
          <w:szCs w:val="28"/>
          <w:highlight w:val="none"/>
        </w:rPr>
      </w:pPr>
      <w:bookmarkStart w:id="0" w:name="_Toc6468"/>
      <w:r>
        <w:rPr>
          <w:rFonts w:hint="eastAsia" w:ascii="仿宋" w:hAnsi="仿宋" w:eastAsia="仿宋" w:cs="仿宋"/>
          <w:color w:val="auto"/>
          <w:kern w:val="2"/>
          <w:sz w:val="24"/>
          <w:szCs w:val="24"/>
          <w:highlight w:val="none"/>
        </w:rPr>
        <w:t>诚信审咨[202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XXXX</w:t>
      </w:r>
      <w:r>
        <w:rPr>
          <w:rFonts w:hint="eastAsia" w:ascii="仿宋" w:hAnsi="仿宋" w:eastAsia="仿宋" w:cs="仿宋"/>
          <w:color w:val="auto"/>
          <w:kern w:val="2"/>
          <w:sz w:val="24"/>
          <w:szCs w:val="24"/>
          <w:highlight w:val="none"/>
        </w:rPr>
        <w:t>号</w:t>
      </w:r>
      <w:bookmarkEnd w:id="0"/>
    </w:p>
    <w:p>
      <w:pPr>
        <w:pStyle w:val="9"/>
        <w:rPr>
          <w:rFonts w:hint="eastAsia"/>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eastAsia="zh-CN"/>
        </w:rPr>
        <w:t>湛江市民政局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6"/>
          <w:szCs w:val="36"/>
          <w:highlight w:val="none"/>
          <w:lang w:eastAsia="zh-CN"/>
        </w:rPr>
      </w:pPr>
      <w:r>
        <w:rPr>
          <w:rFonts w:hint="eastAsia" w:ascii="宋体" w:hAnsi="宋体" w:eastAsia="宋体" w:cs="宋体"/>
          <w:b/>
          <w:bCs/>
          <w:sz w:val="36"/>
          <w:szCs w:val="36"/>
          <w:highlight w:val="none"/>
          <w:lang w:eastAsia="zh-CN"/>
        </w:rPr>
        <w:t>202</w:t>
      </w:r>
      <w:r>
        <w:rPr>
          <w:rFonts w:hint="eastAsia" w:ascii="宋体" w:hAnsi="宋体" w:cs="宋体"/>
          <w:b/>
          <w:bCs/>
          <w:sz w:val="36"/>
          <w:szCs w:val="36"/>
          <w:highlight w:val="none"/>
          <w:lang w:val="en-US" w:eastAsia="zh-CN"/>
        </w:rPr>
        <w:t>2</w:t>
      </w:r>
      <w:r>
        <w:rPr>
          <w:rFonts w:hint="eastAsia" w:ascii="宋体" w:hAnsi="宋体" w:eastAsia="宋体" w:cs="宋体"/>
          <w:b/>
          <w:bCs/>
          <w:sz w:val="36"/>
          <w:szCs w:val="36"/>
          <w:highlight w:val="none"/>
          <w:lang w:eastAsia="zh-CN"/>
        </w:rPr>
        <w:t>年度项目支出绩效</w:t>
      </w:r>
      <w:r>
        <w:rPr>
          <w:rFonts w:hint="eastAsia" w:ascii="宋体" w:hAnsi="宋体" w:cs="宋体"/>
          <w:b/>
          <w:bCs/>
          <w:sz w:val="36"/>
          <w:szCs w:val="36"/>
          <w:highlight w:val="none"/>
          <w:lang w:eastAsia="zh-CN"/>
        </w:rPr>
        <w:t>核查</w:t>
      </w:r>
      <w:r>
        <w:rPr>
          <w:rFonts w:hint="eastAsia" w:ascii="宋体" w:hAnsi="宋体" w:eastAsia="宋体" w:cs="宋体"/>
          <w:b/>
          <w:bCs/>
          <w:sz w:val="36"/>
          <w:szCs w:val="36"/>
          <w:highlight w:val="none"/>
          <w:lang w:eastAsia="zh-CN"/>
        </w:rPr>
        <w:t>报告</w:t>
      </w:r>
    </w:p>
    <w:p>
      <w:pPr>
        <w:keepNext w:val="0"/>
        <w:keepLines w:val="0"/>
        <w:pageBreakBefore w:val="0"/>
        <w:kinsoku/>
        <w:wordWrap/>
        <w:overflowPunct/>
        <w:topLinePunct w:val="0"/>
        <w:autoSpaceDE/>
        <w:autoSpaceDN/>
        <w:bidi w:val="0"/>
        <w:spacing w:line="360" w:lineRule="auto"/>
        <w:jc w:val="both"/>
        <w:textAlignment w:val="auto"/>
        <w:outlineLvl w:val="9"/>
        <w:rPr>
          <w:rFonts w:hint="eastAsia" w:ascii="仿宋" w:hAnsi="仿宋" w:eastAsia="仿宋" w:cs="仿宋"/>
          <w:b/>
          <w:color w:val="auto"/>
          <w:sz w:val="32"/>
          <w:szCs w:val="32"/>
          <w:highlight w:val="none"/>
          <w:lang w:val="en-US" w:eastAsia="zh-CN"/>
        </w:rPr>
      </w:pPr>
      <w:bookmarkStart w:id="1" w:name="_Toc646"/>
    </w:p>
    <w:bookmarkEnd w:id="1"/>
    <w:p>
      <w:pPr>
        <w:keepNext w:val="0"/>
        <w:keepLines w:val="0"/>
        <w:pageBreakBefore w:val="0"/>
        <w:kinsoku/>
        <w:wordWrap/>
        <w:overflowPunct/>
        <w:topLinePunct w:val="0"/>
        <w:autoSpaceDE/>
        <w:autoSpaceDN/>
        <w:bidi w:val="0"/>
        <w:adjustRightInd/>
        <w:snapToGrid w:val="0"/>
        <w:spacing w:line="560" w:lineRule="exact"/>
        <w:jc w:val="both"/>
        <w:textAlignment w:val="auto"/>
        <w:outlineLvl w:val="0"/>
        <w:rPr>
          <w:rFonts w:hint="eastAsia" w:ascii="仿宋" w:hAnsi="仿宋" w:eastAsia="仿宋" w:cs="仿宋"/>
          <w:color w:val="auto"/>
          <w:kern w:val="2"/>
          <w:sz w:val="32"/>
          <w:szCs w:val="32"/>
          <w:highlight w:val="none"/>
        </w:rPr>
      </w:pPr>
      <w:r>
        <w:rPr>
          <w:rFonts w:hint="eastAsia" w:ascii="仿宋" w:hAnsi="仿宋" w:eastAsia="仿宋" w:cs="仿宋"/>
          <w:b/>
          <w:bCs/>
          <w:color w:val="auto"/>
          <w:sz w:val="28"/>
          <w:szCs w:val="28"/>
          <w:highlight w:val="none"/>
          <w:lang w:val="en-US" w:eastAsia="zh-CN"/>
        </w:rPr>
        <w:t>湛江市财政局：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根据《国务院关于进一步深化预算管理制度改革的意见》（国发〔2021〕5号）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《广东省人民政府关于加强统筹进一步深化预算管理制度改革的实施意见》（粤府〔2021〕34 号）的文件精神，按照财政部关于印发《项目支出绩效评价管理办法》的通知</w:t>
      </w:r>
      <w:r>
        <w:rPr>
          <w:rFonts w:hint="eastAsia" w:ascii="仿宋" w:hAnsi="仿宋" w:eastAsia="仿宋" w:cs="仿宋"/>
          <w:color w:val="auto"/>
          <w:kern w:val="2"/>
          <w:sz w:val="28"/>
          <w:szCs w:val="28"/>
          <w:highlight w:val="none"/>
          <w:lang w:val="en-US" w:eastAsia="zh-CN"/>
        </w:rPr>
        <w:t>(</w:t>
      </w:r>
      <w:r>
        <w:rPr>
          <w:rFonts w:hint="eastAsia" w:ascii="仿宋" w:hAnsi="仿宋" w:eastAsia="仿宋" w:cs="仿宋"/>
          <w:color w:val="auto"/>
          <w:kern w:val="2"/>
          <w:sz w:val="28"/>
          <w:szCs w:val="28"/>
          <w:highlight w:val="none"/>
        </w:rPr>
        <w:t>财预〔202</w:t>
      </w:r>
      <w:r>
        <w:rPr>
          <w:rFonts w:hint="eastAsia" w:ascii="仿宋" w:hAnsi="仿宋" w:eastAsia="仿宋" w:cs="仿宋"/>
          <w:color w:val="auto"/>
          <w:kern w:val="2"/>
          <w:sz w:val="28"/>
          <w:szCs w:val="28"/>
          <w:highlight w:val="none"/>
          <w:lang w:val="en-US" w:eastAsia="zh-CN"/>
        </w:rPr>
        <w:t>0</w:t>
      </w:r>
      <w:r>
        <w:rPr>
          <w:rFonts w:hint="eastAsia" w:ascii="仿宋" w:hAnsi="仿宋" w:eastAsia="仿宋" w:cs="仿宋"/>
          <w:color w:val="auto"/>
          <w:kern w:val="2"/>
          <w:sz w:val="28"/>
          <w:szCs w:val="28"/>
          <w:highlight w:val="none"/>
        </w:rPr>
        <w:t>〕10号</w:t>
      </w:r>
      <w:r>
        <w:rPr>
          <w:rFonts w:hint="eastAsia" w:ascii="仿宋" w:hAnsi="仿宋" w:eastAsia="仿宋" w:cs="仿宋"/>
          <w:color w:val="auto"/>
          <w:kern w:val="2"/>
          <w:sz w:val="28"/>
          <w:szCs w:val="28"/>
          <w:highlight w:val="none"/>
          <w:lang w:val="en-US" w:eastAsia="zh-CN"/>
        </w:rPr>
        <w:t>)以及</w:t>
      </w:r>
      <w:r>
        <w:rPr>
          <w:rFonts w:hint="eastAsia" w:ascii="仿宋" w:hAnsi="仿宋" w:eastAsia="仿宋" w:cs="仿宋"/>
          <w:color w:val="auto"/>
          <w:kern w:val="2"/>
          <w:sz w:val="28"/>
          <w:szCs w:val="28"/>
          <w:highlight w:val="none"/>
          <w:lang w:eastAsia="zh-CN"/>
        </w:rPr>
        <w:t>湛江市财政局《湛江财政局关于开展</w:t>
      </w:r>
      <w:r>
        <w:rPr>
          <w:rFonts w:hint="eastAsia" w:ascii="仿宋" w:hAnsi="仿宋" w:eastAsia="仿宋" w:cs="仿宋"/>
          <w:color w:val="auto"/>
          <w:kern w:val="2"/>
          <w:sz w:val="28"/>
          <w:szCs w:val="28"/>
          <w:highlight w:val="none"/>
          <w:lang w:val="en-US" w:eastAsia="zh-CN"/>
        </w:rPr>
        <w:t>2023年市级财政资金绩效自评工作的通知</w:t>
      </w:r>
      <w:r>
        <w:rPr>
          <w:rFonts w:hint="eastAsia" w:ascii="仿宋" w:hAnsi="仿宋" w:eastAsia="仿宋" w:cs="仿宋"/>
          <w:color w:val="auto"/>
          <w:kern w:val="2"/>
          <w:sz w:val="28"/>
          <w:szCs w:val="28"/>
          <w:highlight w:val="none"/>
          <w:lang w:eastAsia="zh-CN"/>
        </w:rPr>
        <w:t>》（湛财绩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等有关</w:t>
      </w:r>
      <w:r>
        <w:rPr>
          <w:rFonts w:hint="eastAsia" w:ascii="仿宋" w:hAnsi="仿宋" w:eastAsia="仿宋" w:cs="仿宋"/>
          <w:color w:val="auto"/>
          <w:kern w:val="2"/>
          <w:sz w:val="28"/>
          <w:szCs w:val="28"/>
          <w:highlight w:val="none"/>
          <w:lang w:eastAsia="zh-CN"/>
        </w:rPr>
        <w:t>文件</w:t>
      </w:r>
      <w:r>
        <w:rPr>
          <w:rFonts w:hint="eastAsia" w:ascii="仿宋" w:hAnsi="仿宋" w:eastAsia="仿宋" w:cs="仿宋"/>
          <w:color w:val="auto"/>
          <w:kern w:val="2"/>
          <w:sz w:val="28"/>
          <w:szCs w:val="28"/>
          <w:highlight w:val="none"/>
        </w:rPr>
        <w:t>要求，受</w:t>
      </w:r>
      <w:r>
        <w:rPr>
          <w:rFonts w:hint="eastAsia" w:ascii="仿宋" w:hAnsi="仿宋" w:eastAsia="仿宋" w:cs="仿宋"/>
          <w:color w:val="auto"/>
          <w:kern w:val="2"/>
          <w:sz w:val="28"/>
          <w:szCs w:val="28"/>
          <w:highlight w:val="none"/>
          <w:lang w:eastAsia="zh-CN"/>
        </w:rPr>
        <w:t>湛江市财政局</w:t>
      </w:r>
      <w:r>
        <w:rPr>
          <w:rFonts w:hint="eastAsia" w:ascii="仿宋" w:hAnsi="仿宋" w:eastAsia="仿宋" w:cs="仿宋"/>
          <w:color w:val="auto"/>
          <w:kern w:val="2"/>
          <w:sz w:val="28"/>
          <w:szCs w:val="28"/>
          <w:highlight w:val="none"/>
        </w:rPr>
        <w:t>委托，</w:t>
      </w:r>
      <w:r>
        <w:rPr>
          <w:rFonts w:hint="eastAsia" w:ascii="仿宋" w:hAnsi="仿宋" w:eastAsia="仿宋" w:cs="仿宋"/>
          <w:kern w:val="0"/>
          <w:sz w:val="28"/>
          <w:szCs w:val="28"/>
          <w:highlight w:val="none"/>
          <w:lang w:eastAsia="zh-CN"/>
        </w:rPr>
        <w:t>广东诚安信会计师事务所</w:t>
      </w:r>
      <w:r>
        <w:rPr>
          <w:rFonts w:hint="eastAsia" w:ascii="仿宋" w:hAnsi="仿宋" w:eastAsia="仿宋" w:cs="仿宋"/>
          <w:color w:val="auto"/>
          <w:sz w:val="28"/>
          <w:szCs w:val="28"/>
          <w:highlight w:val="none"/>
          <w:lang w:val="en-US" w:eastAsia="zh-CN"/>
        </w:rPr>
        <w:t>对湛江市民政局2022年度项目支出</w:t>
      </w:r>
      <w:r>
        <w:rPr>
          <w:rFonts w:hint="eastAsia" w:ascii="仿宋" w:hAnsi="仿宋" w:eastAsia="仿宋" w:cs="仿宋"/>
          <w:color w:val="auto"/>
          <w:sz w:val="28"/>
          <w:szCs w:val="28"/>
          <w:highlight w:val="none"/>
          <w:lang w:eastAsia="zh-CN"/>
        </w:rPr>
        <w:t>进行</w:t>
      </w:r>
      <w:r>
        <w:rPr>
          <w:rFonts w:hint="eastAsia" w:ascii="仿宋" w:hAnsi="仿宋" w:eastAsia="仿宋" w:cs="仿宋"/>
          <w:color w:val="auto"/>
          <w:sz w:val="28"/>
          <w:szCs w:val="28"/>
          <w:highlight w:val="none"/>
        </w:rPr>
        <w:t>绩效评价</w:t>
      </w:r>
      <w:r>
        <w:rPr>
          <w:rFonts w:hint="eastAsia" w:ascii="仿宋" w:hAnsi="仿宋" w:eastAsia="仿宋" w:cs="仿宋"/>
          <w:color w:val="auto"/>
          <w:kern w:val="2"/>
          <w:sz w:val="28"/>
          <w:szCs w:val="28"/>
          <w:highlight w:val="none"/>
        </w:rPr>
        <w:t>。专家小组通过对</w:t>
      </w:r>
      <w:r>
        <w:rPr>
          <w:rFonts w:hint="eastAsia" w:ascii="仿宋" w:hAnsi="仿宋" w:eastAsia="仿宋" w:cs="仿宋"/>
          <w:color w:val="auto"/>
          <w:kern w:val="2"/>
          <w:sz w:val="28"/>
          <w:szCs w:val="28"/>
          <w:highlight w:val="none"/>
          <w:lang w:eastAsia="zh-CN"/>
        </w:rPr>
        <w:t>湛江市应急管理局</w:t>
      </w:r>
      <w:r>
        <w:rPr>
          <w:rFonts w:hint="eastAsia" w:ascii="仿宋" w:hAnsi="仿宋" w:eastAsia="仿宋" w:cs="仿宋"/>
          <w:color w:val="auto"/>
          <w:kern w:val="2"/>
          <w:sz w:val="28"/>
          <w:szCs w:val="28"/>
          <w:highlight w:val="none"/>
          <w:lang w:val="en-US" w:eastAsia="zh-CN"/>
        </w:rPr>
        <w:t>的涉评材料</w:t>
      </w:r>
      <w:r>
        <w:rPr>
          <w:rFonts w:hint="eastAsia" w:ascii="仿宋" w:hAnsi="仿宋" w:eastAsia="仿宋" w:cs="仿宋"/>
          <w:color w:val="auto"/>
          <w:kern w:val="2"/>
          <w:sz w:val="28"/>
          <w:szCs w:val="28"/>
          <w:highlight w:val="none"/>
        </w:rPr>
        <w:t>审核、资金使用管理的合法、合规、合理的审</w:t>
      </w:r>
      <w:r>
        <w:rPr>
          <w:rFonts w:hint="eastAsia" w:ascii="仿宋" w:hAnsi="仿宋" w:eastAsia="仿宋" w:cs="仿宋"/>
          <w:color w:val="auto"/>
          <w:kern w:val="2"/>
          <w:sz w:val="28"/>
          <w:szCs w:val="28"/>
          <w:highlight w:val="none"/>
          <w:lang w:eastAsia="zh-CN"/>
        </w:rPr>
        <w:t>查</w:t>
      </w:r>
      <w:r>
        <w:rPr>
          <w:rFonts w:hint="eastAsia" w:ascii="仿宋" w:hAnsi="仿宋" w:eastAsia="仿宋" w:cs="仿宋"/>
          <w:color w:val="auto"/>
          <w:kern w:val="2"/>
          <w:sz w:val="28"/>
          <w:szCs w:val="28"/>
          <w:highlight w:val="none"/>
        </w:rPr>
        <w:t>，询问了解，进行综合分析、客观公正评价，得出评价结论，并形成《</w:t>
      </w:r>
      <w:r>
        <w:rPr>
          <w:rFonts w:hint="eastAsia" w:ascii="仿宋" w:hAnsi="仿宋" w:eastAsia="仿宋" w:cs="仿宋"/>
          <w:color w:val="auto"/>
          <w:sz w:val="28"/>
          <w:szCs w:val="28"/>
          <w:highlight w:val="none"/>
          <w:lang w:eastAsia="zh-CN"/>
        </w:rPr>
        <w:t>湛江市民政局202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年度项目支出绩效核查报告</w:t>
      </w:r>
      <w:r>
        <w:rPr>
          <w:rFonts w:hint="eastAsia" w:ascii="仿宋" w:hAnsi="仿宋" w:eastAsia="仿宋" w:cs="仿宋"/>
          <w:color w:val="auto"/>
          <w:kern w:val="2"/>
          <w:sz w:val="28"/>
          <w:szCs w:val="28"/>
          <w:highlight w:val="none"/>
        </w:rPr>
        <w:t>》，报告内容具体如下：</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val="en-US" w:eastAsia="zh-CN"/>
        </w:rPr>
      </w:pPr>
      <w:bookmarkStart w:id="2" w:name="_Toc17798"/>
      <w:bookmarkStart w:id="3" w:name="_Toc19058"/>
      <w:bookmarkStart w:id="4" w:name="_Toc4951"/>
      <w:r>
        <w:rPr>
          <w:rFonts w:hint="eastAsia" w:ascii="仿宋" w:hAnsi="仿宋" w:eastAsia="仿宋" w:cs="仿宋"/>
          <w:b/>
          <w:bCs/>
          <w:color w:val="auto"/>
          <w:sz w:val="28"/>
          <w:szCs w:val="28"/>
          <w:highlight w:val="none"/>
          <w:lang w:val="en-US" w:eastAsia="zh-CN"/>
        </w:rPr>
        <w:t>一</w:t>
      </w:r>
      <w:bookmarkEnd w:id="2"/>
      <w:r>
        <w:rPr>
          <w:rFonts w:hint="eastAsia" w:ascii="仿宋" w:hAnsi="仿宋" w:eastAsia="仿宋" w:cs="仿宋"/>
          <w:b/>
          <w:bCs/>
          <w:color w:val="auto"/>
          <w:sz w:val="28"/>
          <w:szCs w:val="28"/>
          <w:highlight w:val="none"/>
          <w:lang w:val="en-US" w:eastAsia="zh-CN"/>
        </w:rPr>
        <w:t>、项目</w:t>
      </w:r>
      <w:bookmarkEnd w:id="3"/>
      <w:r>
        <w:rPr>
          <w:rFonts w:hint="eastAsia" w:ascii="仿宋" w:hAnsi="仿宋" w:eastAsia="仿宋" w:cs="仿宋"/>
          <w:b/>
          <w:bCs/>
          <w:color w:val="auto"/>
          <w:sz w:val="28"/>
          <w:szCs w:val="28"/>
          <w:highlight w:val="none"/>
          <w:lang w:val="en-US" w:eastAsia="zh-CN"/>
        </w:rPr>
        <w:t>基本情况</w:t>
      </w:r>
      <w:bookmarkEnd w:id="4"/>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5" w:name="_Toc6078"/>
      <w:bookmarkStart w:id="6" w:name="_Toc30136"/>
      <w:bookmarkStart w:id="7" w:name="_Toc17530"/>
      <w:r>
        <w:rPr>
          <w:rFonts w:hint="eastAsia" w:ascii="仿宋" w:hAnsi="仿宋" w:eastAsia="仿宋" w:cs="仿宋"/>
          <w:color w:val="auto"/>
          <w:sz w:val="28"/>
          <w:szCs w:val="28"/>
          <w:highlight w:val="none"/>
          <w:lang w:eastAsia="zh-CN"/>
        </w:rPr>
        <w:t>（一）</w:t>
      </w:r>
      <w:bookmarkEnd w:id="5"/>
      <w:bookmarkEnd w:id="6"/>
      <w:r>
        <w:rPr>
          <w:rFonts w:hint="eastAsia" w:ascii="仿宋" w:hAnsi="仿宋" w:eastAsia="仿宋" w:cs="仿宋"/>
          <w:color w:val="auto"/>
          <w:sz w:val="28"/>
          <w:szCs w:val="28"/>
          <w:highlight w:val="none"/>
          <w:lang w:eastAsia="zh-CN"/>
        </w:rPr>
        <w:t>项目概况</w:t>
      </w:r>
      <w:bookmarkEnd w:id="7"/>
    </w:p>
    <w:p>
      <w:pPr>
        <w:keepNext w:val="0"/>
        <w:keepLines w:val="0"/>
        <w:pageBreakBefore w:val="0"/>
        <w:kinsoku/>
        <w:wordWrap/>
        <w:overflowPunct/>
        <w:topLinePunct w:val="0"/>
        <w:autoSpaceDE/>
        <w:autoSpaceDN/>
        <w:bidi w:val="0"/>
        <w:adjustRightInd/>
        <w:snapToGrid w:val="0"/>
        <w:spacing w:line="560" w:lineRule="exact"/>
        <w:ind w:left="1959" w:leftChars="266" w:hanging="1400" w:hangingChars="500"/>
        <w:jc w:val="both"/>
        <w:textAlignment w:val="auto"/>
        <w:rPr>
          <w:rFonts w:hint="eastAsia" w:ascii="仿宋" w:hAnsi="仿宋" w:eastAsia="仿宋" w:cs="仿宋"/>
          <w:color w:val="auto"/>
          <w:sz w:val="28"/>
          <w:szCs w:val="28"/>
          <w:highlight w:val="none"/>
          <w:lang w:val="en-US" w:eastAsia="zh-CN"/>
        </w:rPr>
      </w:pPr>
      <w:bookmarkStart w:id="8" w:name="_Toc14172"/>
      <w:r>
        <w:rPr>
          <w:rFonts w:hint="eastAsia" w:ascii="仿宋" w:hAnsi="仿宋" w:eastAsia="仿宋" w:cs="仿宋"/>
          <w:color w:val="auto"/>
          <w:sz w:val="28"/>
          <w:szCs w:val="28"/>
          <w:highlight w:val="none"/>
          <w:lang w:val="en-US" w:eastAsia="zh-CN"/>
        </w:rPr>
        <w:t>项目名称：“广东兜底民生服务社会工作双百工程”项目市级补助资金</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项目单位：湛江市民政局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项目评价金额：2214万元</w:t>
      </w:r>
      <w:bookmarkEnd w:id="8"/>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9" w:name="_Toc17615"/>
      <w:bookmarkStart w:id="10" w:name="_Toc17257"/>
      <w:r>
        <w:rPr>
          <w:rFonts w:hint="eastAsia" w:ascii="仿宋" w:hAnsi="仿宋" w:eastAsia="仿宋" w:cs="仿宋"/>
          <w:color w:val="auto"/>
          <w:sz w:val="28"/>
          <w:szCs w:val="28"/>
          <w:highlight w:val="none"/>
          <w:lang w:eastAsia="zh-CN"/>
        </w:rPr>
        <w:t>（二）</w:t>
      </w:r>
      <w:bookmarkEnd w:id="9"/>
      <w:r>
        <w:rPr>
          <w:rFonts w:hint="eastAsia" w:ascii="仿宋" w:hAnsi="仿宋" w:eastAsia="仿宋" w:cs="仿宋"/>
          <w:color w:val="auto"/>
          <w:sz w:val="28"/>
          <w:szCs w:val="28"/>
          <w:highlight w:val="none"/>
          <w:lang w:eastAsia="zh-CN"/>
        </w:rPr>
        <w:t>项目立项依据</w:t>
      </w:r>
      <w:bookmarkEnd w:id="10"/>
    </w:p>
    <w:p>
      <w:pPr>
        <w:keepNext w:val="0"/>
        <w:keepLines w:val="0"/>
        <w:pageBreakBefore w:val="0"/>
        <w:kinsoku/>
        <w:wordWrap/>
        <w:overflowPunct/>
        <w:topLinePunct w:val="0"/>
        <w:autoSpaceDE/>
        <w:autoSpaceDN/>
        <w:bidi w:val="0"/>
        <w:adjustRightInd/>
        <w:snapToGrid w:val="0"/>
        <w:spacing w:line="560" w:lineRule="exact"/>
        <w:ind w:firstLine="57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根据广东省民政厅、广东省财政厅、广东省人力资源和社会保障厅、广东省妇女联合会、广东省残疾人联合会《关于印发“广东省兜底民生服务社会工作双百工程”实施方案的通知》</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粤民办</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2021</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3号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和《湛江市民政局 湛江市财政局等部门关于印发&lt;湛江市兜底</w:t>
      </w:r>
      <w:r>
        <w:rPr>
          <w:rFonts w:hint="eastAsia" w:ascii="仿宋" w:hAnsi="仿宋" w:eastAsia="仿宋" w:cs="仿宋"/>
          <w:color w:val="auto"/>
          <w:sz w:val="28"/>
          <w:szCs w:val="28"/>
          <w:highlight w:val="none"/>
          <w:lang w:val="en-US" w:eastAsia="zh-CN"/>
        </w:rPr>
        <w:t>民生服务社会工作双百工程实施方案</w:t>
      </w:r>
      <w:r>
        <w:rPr>
          <w:rFonts w:hint="eastAsia" w:ascii="仿宋" w:hAnsi="仿宋" w:eastAsia="仿宋" w:cs="仿宋"/>
          <w:color w:val="auto"/>
          <w:kern w:val="2"/>
          <w:sz w:val="28"/>
          <w:szCs w:val="28"/>
          <w:highlight w:val="none"/>
          <w:lang w:val="en-US" w:eastAsia="zh-CN"/>
        </w:rPr>
        <w:t>&gt;的通知》（湛民</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2021</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24号）文件要求，</w:t>
      </w:r>
      <w:r>
        <w:rPr>
          <w:rFonts w:hint="eastAsia" w:ascii="仿宋" w:hAnsi="仿宋" w:eastAsia="仿宋" w:cs="仿宋"/>
          <w:color w:val="auto"/>
          <w:sz w:val="28"/>
          <w:szCs w:val="28"/>
          <w:highlight w:val="none"/>
          <w:lang w:val="en-US" w:eastAsia="zh-CN"/>
        </w:rPr>
        <w:t>2021年2月1日湛江市民政局办公室印发《湛江市兜底民生服务社会工作双百工程实施方案》。</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11" w:name="_Toc13952"/>
      <w:bookmarkStart w:id="12" w:name="_Toc7652"/>
      <w:bookmarkStart w:id="13" w:name="_Toc1156"/>
      <w:r>
        <w:rPr>
          <w:rFonts w:hint="eastAsia" w:ascii="仿宋" w:hAnsi="仿宋" w:eastAsia="仿宋" w:cs="仿宋"/>
          <w:color w:val="auto"/>
          <w:sz w:val="28"/>
          <w:szCs w:val="28"/>
          <w:highlight w:val="none"/>
          <w:lang w:eastAsia="zh-CN"/>
        </w:rPr>
        <w:t>（三）</w:t>
      </w:r>
      <w:bookmarkEnd w:id="11"/>
      <w:bookmarkEnd w:id="12"/>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rPr>
        <w:t>绩效目标</w:t>
      </w:r>
      <w:bookmarkEnd w:id="13"/>
    </w:p>
    <w:p>
      <w:pPr>
        <w:keepNext w:val="0"/>
        <w:keepLines w:val="0"/>
        <w:pageBreakBefore w:val="0"/>
        <w:kinsoku/>
        <w:wordWrap/>
        <w:overflowPunct/>
        <w:topLinePunct w:val="0"/>
        <w:autoSpaceDE/>
        <w:autoSpaceDN/>
        <w:bidi w:val="0"/>
        <w:adjustRightInd/>
        <w:snapToGrid w:val="0"/>
        <w:spacing w:line="560" w:lineRule="exact"/>
        <w:ind w:firstLine="570"/>
        <w:jc w:val="both"/>
        <w:textAlignment w:val="auto"/>
        <w:rPr>
          <w:rFonts w:hint="default" w:ascii="仿宋" w:hAnsi="仿宋" w:eastAsia="仿宋" w:cs="仿宋"/>
          <w:color w:val="auto"/>
          <w:sz w:val="28"/>
          <w:szCs w:val="28"/>
          <w:highlight w:val="none"/>
          <w:lang w:val="en-US" w:eastAsia="zh-CN"/>
        </w:rPr>
      </w:pPr>
      <w:bookmarkStart w:id="14" w:name="_Toc16787"/>
      <w:bookmarkStart w:id="15" w:name="_Toc3963"/>
      <w:r>
        <w:rPr>
          <w:rFonts w:hint="eastAsia" w:ascii="仿宋" w:hAnsi="仿宋" w:eastAsia="仿宋" w:cs="仿宋"/>
          <w:color w:val="auto"/>
          <w:sz w:val="28"/>
          <w:szCs w:val="28"/>
          <w:highlight w:val="none"/>
          <w:lang w:val="en-US" w:eastAsia="zh-CN"/>
        </w:rPr>
        <w:t>2022年底前，全市社工岗位设置总量达到2213个（其中，事务性岗位242个，服务性岗位1971个）以上。</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16" w:name="_Toc26798"/>
      <w:r>
        <w:rPr>
          <w:rFonts w:hint="eastAsia" w:ascii="仿宋" w:hAnsi="仿宋" w:eastAsia="仿宋" w:cs="仿宋"/>
          <w:color w:val="auto"/>
          <w:sz w:val="28"/>
          <w:szCs w:val="28"/>
          <w:highlight w:val="none"/>
          <w:lang w:val="en-US" w:eastAsia="zh-CN"/>
        </w:rPr>
        <w:t>（四）</w:t>
      </w:r>
      <w:bookmarkEnd w:id="14"/>
      <w:bookmarkEnd w:id="15"/>
      <w:r>
        <w:rPr>
          <w:rFonts w:hint="eastAsia" w:ascii="仿宋" w:hAnsi="仿宋" w:eastAsia="仿宋" w:cs="仿宋"/>
          <w:color w:val="auto"/>
          <w:sz w:val="28"/>
          <w:szCs w:val="28"/>
          <w:highlight w:val="none"/>
          <w:lang w:val="en-US" w:eastAsia="zh-CN"/>
        </w:rPr>
        <w:t>项目建设内容</w:t>
      </w:r>
      <w:bookmarkEnd w:id="16"/>
    </w:p>
    <w:p>
      <w:pPr>
        <w:keepNext w:val="0"/>
        <w:keepLines w:val="0"/>
        <w:pageBreakBefore w:val="0"/>
        <w:kinsoku/>
        <w:wordWrap/>
        <w:overflowPunct/>
        <w:topLinePunct w:val="0"/>
        <w:autoSpaceDE/>
        <w:autoSpaceDN/>
        <w:bidi w:val="0"/>
        <w:adjustRightInd/>
        <w:snapToGrid w:val="0"/>
        <w:spacing w:line="560" w:lineRule="exact"/>
        <w:ind w:firstLine="570"/>
        <w:jc w:val="both"/>
        <w:textAlignment w:val="auto"/>
        <w:rPr>
          <w:rFonts w:hint="default" w:ascii="仿宋" w:hAnsi="仿宋" w:eastAsia="仿宋" w:cs="仿宋"/>
          <w:color w:val="auto"/>
          <w:sz w:val="28"/>
          <w:szCs w:val="28"/>
          <w:highlight w:val="none"/>
          <w:lang w:val="en-US" w:eastAsia="zh-CN"/>
        </w:rPr>
      </w:pPr>
      <w:bookmarkStart w:id="17" w:name="_Toc6754"/>
      <w:bookmarkStart w:id="18" w:name="_Toc22929"/>
      <w:r>
        <w:rPr>
          <w:rFonts w:hint="eastAsia" w:ascii="仿宋" w:hAnsi="仿宋" w:eastAsia="仿宋" w:cs="仿宋"/>
          <w:color w:val="auto"/>
          <w:sz w:val="28"/>
          <w:szCs w:val="28"/>
          <w:highlight w:val="none"/>
          <w:lang w:val="en-US" w:eastAsia="zh-CN"/>
        </w:rPr>
        <w:t>全市2213名社工工资，其中1057名社工人均1.2万元每年，新招聘1156名社工人均0.60万元半年，市辖区34个社工站每个站点2万元配套资金，市级调剂经费184万元。</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eastAsia="zh-CN"/>
        </w:rPr>
      </w:pPr>
      <w:bookmarkStart w:id="19" w:name="_Toc25132"/>
      <w:r>
        <w:rPr>
          <w:rFonts w:hint="eastAsia" w:ascii="仿宋" w:hAnsi="仿宋" w:eastAsia="仿宋" w:cs="仿宋"/>
          <w:b/>
          <w:bCs/>
          <w:color w:val="auto"/>
          <w:sz w:val="28"/>
          <w:szCs w:val="28"/>
          <w:highlight w:val="none"/>
        </w:rPr>
        <w:t>二</w:t>
      </w:r>
      <w:bookmarkEnd w:id="17"/>
      <w:r>
        <w:rPr>
          <w:rFonts w:hint="eastAsia" w:ascii="仿宋" w:hAnsi="仿宋" w:eastAsia="仿宋" w:cs="仿宋"/>
          <w:b/>
          <w:bCs/>
          <w:color w:val="auto"/>
          <w:sz w:val="28"/>
          <w:szCs w:val="28"/>
          <w:highlight w:val="none"/>
          <w:lang w:eastAsia="zh-CN"/>
        </w:rPr>
        <w:t>、核查工作开展情况</w:t>
      </w:r>
      <w:bookmarkEnd w:id="18"/>
      <w:bookmarkEnd w:id="1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20" w:name="_Toc28273"/>
      <w:bookmarkStart w:id="21" w:name="_Toc10065"/>
      <w:bookmarkStart w:id="22" w:name="_Toc7852"/>
      <w:bookmarkStart w:id="23" w:name="_Toc1218"/>
      <w:r>
        <w:rPr>
          <w:rFonts w:hint="eastAsia" w:ascii="仿宋" w:hAnsi="仿宋" w:eastAsia="仿宋" w:cs="仿宋"/>
          <w:color w:val="auto"/>
          <w:sz w:val="28"/>
          <w:szCs w:val="28"/>
          <w:highlight w:val="none"/>
        </w:rPr>
        <w:t>（一）评价目的</w:t>
      </w:r>
      <w:bookmarkEnd w:id="20"/>
      <w:bookmarkEnd w:id="21"/>
      <w:bookmarkEnd w:id="22"/>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通过运用科学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规范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合理的评价方法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评价指标和评分标准，对财政资金的分配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管理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使用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产出及效果等进行客观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公正的测量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分析和评判，评价绩效水平，发现存在问题，并分析问题成因，提出进一步加强资金管理的意见建议。</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24" w:name="_Toc20897"/>
      <w:bookmarkStart w:id="25" w:name="_Toc24406"/>
      <w:bookmarkStart w:id="26" w:name="_Toc15857"/>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评价过程</w:t>
      </w:r>
      <w:bookmarkEnd w:id="24"/>
      <w:bookmarkEnd w:id="25"/>
      <w:bookmarkEnd w:id="26"/>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组织与实施。</w:t>
      </w:r>
      <w:r>
        <w:rPr>
          <w:rFonts w:hint="eastAsia" w:ascii="仿宋" w:hAnsi="仿宋" w:eastAsia="仿宋" w:cs="仿宋"/>
          <w:color w:val="auto"/>
          <w:sz w:val="28"/>
          <w:szCs w:val="28"/>
          <w:highlight w:val="none"/>
          <w:lang w:val="en-US" w:eastAsia="zh-CN"/>
        </w:rPr>
        <w:t>根据</w:t>
      </w:r>
      <w:r>
        <w:rPr>
          <w:rFonts w:hint="eastAsia" w:ascii="仿宋" w:hAnsi="仿宋" w:eastAsia="仿宋" w:cs="仿宋"/>
          <w:color w:val="auto"/>
          <w:kern w:val="2"/>
          <w:sz w:val="28"/>
          <w:szCs w:val="28"/>
          <w:highlight w:val="none"/>
          <w:lang w:val="en-US" w:eastAsia="zh-CN"/>
        </w:rPr>
        <w:t>湛江市财政局</w:t>
      </w:r>
      <w:r>
        <w:rPr>
          <w:rFonts w:hint="eastAsia" w:ascii="仿宋" w:hAnsi="仿宋" w:eastAsia="仿宋" w:cs="仿宋"/>
          <w:color w:val="auto"/>
          <w:kern w:val="2"/>
          <w:sz w:val="28"/>
          <w:szCs w:val="28"/>
          <w:highlight w:val="none"/>
          <w:lang w:eastAsia="zh-CN"/>
        </w:rPr>
        <w:t>《湛江财政局关于开展</w:t>
      </w:r>
      <w:r>
        <w:rPr>
          <w:rFonts w:hint="eastAsia" w:ascii="仿宋" w:hAnsi="仿宋" w:eastAsia="仿宋" w:cs="仿宋"/>
          <w:color w:val="auto"/>
          <w:kern w:val="2"/>
          <w:sz w:val="28"/>
          <w:szCs w:val="28"/>
          <w:highlight w:val="none"/>
          <w:lang w:val="en-US" w:eastAsia="zh-CN"/>
        </w:rPr>
        <w:t>2023年市级财政资金绩效自评工作的通知</w:t>
      </w:r>
      <w:r>
        <w:rPr>
          <w:rFonts w:hint="eastAsia" w:ascii="仿宋" w:hAnsi="仿宋" w:eastAsia="仿宋" w:cs="仿宋"/>
          <w:color w:val="auto"/>
          <w:kern w:val="2"/>
          <w:sz w:val="28"/>
          <w:szCs w:val="28"/>
          <w:highlight w:val="none"/>
          <w:lang w:eastAsia="zh-CN"/>
        </w:rPr>
        <w:t>》（湛财绩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rPr>
        <w:t>，明确了</w:t>
      </w:r>
      <w:r>
        <w:rPr>
          <w:rFonts w:hint="eastAsia" w:ascii="仿宋" w:hAnsi="仿宋" w:eastAsia="仿宋" w:cs="仿宋"/>
          <w:color w:val="auto"/>
          <w:sz w:val="28"/>
          <w:szCs w:val="28"/>
          <w:highlight w:val="none"/>
          <w:lang w:eastAsia="zh-CN"/>
        </w:rPr>
        <w:t>本次</w:t>
      </w:r>
      <w:r>
        <w:rPr>
          <w:rFonts w:hint="eastAsia" w:ascii="仿宋" w:hAnsi="仿宋" w:eastAsia="仿宋" w:cs="仿宋"/>
          <w:color w:val="auto"/>
          <w:sz w:val="28"/>
          <w:szCs w:val="28"/>
          <w:highlight w:val="none"/>
        </w:rPr>
        <w:t>评价工作的目的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范围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内容和组织实施工</w:t>
      </w:r>
      <w:r>
        <w:rPr>
          <w:rFonts w:hint="eastAsia" w:ascii="仿宋" w:hAnsi="仿宋" w:eastAsia="仿宋" w:cs="仿宋"/>
          <w:color w:val="auto"/>
          <w:sz w:val="28"/>
          <w:szCs w:val="28"/>
          <w:highlight w:val="none"/>
          <w:lang w:val="en-US" w:eastAsia="zh-CN"/>
        </w:rPr>
        <w:t>作。2023年9月，受湛江市财政局委托，本事务所高度重视，合理配备专业力量，组织绩效评价工作组，制定评价工作实施方案，以认真负责的态度，保证本次绩效评价工作的有序展开。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核实与勘验。绩效评价工作专家小组收集评价基础资料并整理分析，作为核查参考，科学确定核查方案</w:t>
      </w:r>
      <w:r>
        <w:rPr>
          <w:rFonts w:hint="eastAsia" w:ascii="仿宋" w:hAnsi="仿宋" w:eastAsia="仿宋" w:cs="仿宋"/>
          <w:color w:val="auto"/>
          <w:sz w:val="28"/>
          <w:szCs w:val="28"/>
          <w:highlight w:val="none"/>
        </w:rPr>
        <w:t>，形成评价意见。</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形成评价报告。依据评价结论，并参考对评价单位递交自评材料的审核结果，加强意见沟通，对财政资金支出情况进行全面分析与综合评价，形成本次绩效评价</w:t>
      </w:r>
      <w:r>
        <w:rPr>
          <w:rFonts w:hint="eastAsia" w:ascii="仿宋" w:hAnsi="仿宋" w:eastAsia="仿宋" w:cs="仿宋"/>
          <w:color w:val="auto"/>
          <w:sz w:val="28"/>
          <w:szCs w:val="28"/>
          <w:highlight w:val="none"/>
          <w:lang w:eastAsia="zh-CN"/>
        </w:rPr>
        <w:t>核查</w:t>
      </w:r>
      <w:r>
        <w:rPr>
          <w:rFonts w:hint="eastAsia" w:ascii="仿宋" w:hAnsi="仿宋" w:eastAsia="仿宋" w:cs="仿宋"/>
          <w:color w:val="auto"/>
          <w:sz w:val="28"/>
          <w:szCs w:val="28"/>
          <w:highlight w:val="none"/>
        </w:rPr>
        <w:t>报告。</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27" w:name="_Toc22988"/>
      <w:bookmarkStart w:id="28" w:name="_Toc19029"/>
      <w:bookmarkStart w:id="29" w:name="_Toc3007"/>
      <w:r>
        <w:rPr>
          <w:rFonts w:hint="eastAsia" w:ascii="仿宋" w:hAnsi="仿宋" w:eastAsia="仿宋" w:cs="仿宋"/>
          <w:color w:val="auto"/>
          <w:sz w:val="28"/>
          <w:szCs w:val="28"/>
          <w:highlight w:val="none"/>
        </w:rPr>
        <w:t>（三）评价原则和方法</w:t>
      </w:r>
      <w:bookmarkEnd w:id="27"/>
      <w:bookmarkEnd w:id="28"/>
      <w:bookmarkEnd w:id="2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本次评价基于项目的“经济性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效率性和有效性”，主要考虑</w:t>
      </w:r>
      <w:r>
        <w:rPr>
          <w:rFonts w:hint="eastAsia" w:ascii="仿宋" w:hAnsi="仿宋" w:eastAsia="仿宋" w:cs="仿宋"/>
          <w:color w:val="auto"/>
          <w:sz w:val="28"/>
          <w:szCs w:val="28"/>
          <w:highlight w:val="none"/>
          <w:lang w:eastAsia="zh-CN"/>
        </w:rPr>
        <w:t>的原则，</w:t>
      </w:r>
      <w:r>
        <w:rPr>
          <w:rFonts w:hint="eastAsia" w:ascii="仿宋" w:hAnsi="仿宋" w:eastAsia="仿宋" w:cs="仿宋"/>
          <w:color w:val="auto"/>
          <w:sz w:val="28"/>
          <w:szCs w:val="28"/>
          <w:highlight w:val="none"/>
        </w:rPr>
        <w:t>一是定性与定量分析相结合；二是实施过程与结果评价相结合；三是真实性与规范性</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结合</w:t>
      </w:r>
      <w:r>
        <w:rPr>
          <w:rFonts w:hint="eastAsia" w:ascii="仿宋" w:hAnsi="仿宋" w:eastAsia="仿宋" w:cs="仿宋"/>
          <w:color w:val="auto"/>
          <w:sz w:val="28"/>
          <w:szCs w:val="28"/>
          <w:highlight w:val="none"/>
          <w:lang w:eastAsia="zh-CN"/>
        </w:rPr>
        <w:t>等原则</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kern w:val="2"/>
          <w:sz w:val="28"/>
          <w:szCs w:val="28"/>
          <w:highlight w:val="none"/>
          <w:lang w:val="en-US" w:eastAsia="zh-CN"/>
        </w:rPr>
        <w:t>湛江市财政局</w:t>
      </w:r>
      <w:r>
        <w:rPr>
          <w:rFonts w:hint="eastAsia" w:ascii="仿宋" w:hAnsi="仿宋" w:eastAsia="仿宋" w:cs="仿宋"/>
          <w:color w:val="auto"/>
          <w:kern w:val="2"/>
          <w:sz w:val="28"/>
          <w:szCs w:val="28"/>
          <w:highlight w:val="none"/>
          <w:lang w:eastAsia="zh-CN"/>
        </w:rPr>
        <w:t>《湛江财政局关于开展</w:t>
      </w:r>
      <w:r>
        <w:rPr>
          <w:rFonts w:hint="eastAsia" w:ascii="仿宋" w:hAnsi="仿宋" w:eastAsia="仿宋" w:cs="仿宋"/>
          <w:color w:val="auto"/>
          <w:kern w:val="2"/>
          <w:sz w:val="28"/>
          <w:szCs w:val="28"/>
          <w:highlight w:val="none"/>
          <w:lang w:val="en-US" w:eastAsia="zh-CN"/>
        </w:rPr>
        <w:t>2023年市级财政资金绩效自评工作的通知</w:t>
      </w:r>
      <w:r>
        <w:rPr>
          <w:rFonts w:hint="eastAsia" w:ascii="仿宋" w:hAnsi="仿宋" w:eastAsia="仿宋" w:cs="仿宋"/>
          <w:color w:val="auto"/>
          <w:kern w:val="2"/>
          <w:sz w:val="28"/>
          <w:szCs w:val="28"/>
          <w:highlight w:val="none"/>
          <w:lang w:eastAsia="zh-CN"/>
        </w:rPr>
        <w:t>》（湛财绩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lang w:val="en-US" w:eastAsia="zh-CN"/>
        </w:rPr>
        <w:t>的文件要求</w:t>
      </w:r>
      <w:r>
        <w:rPr>
          <w:rFonts w:hint="eastAsia" w:ascii="仿宋" w:hAnsi="仿宋" w:eastAsia="仿宋" w:cs="仿宋"/>
          <w:color w:val="auto"/>
          <w:sz w:val="28"/>
          <w:szCs w:val="28"/>
          <w:highlight w:val="none"/>
        </w:rPr>
        <w:t>，结合本</w:t>
      </w:r>
      <w:r>
        <w:rPr>
          <w:rFonts w:hint="eastAsia" w:ascii="仿宋" w:hAnsi="仿宋" w:eastAsia="仿宋" w:cs="仿宋"/>
          <w:color w:val="auto"/>
          <w:sz w:val="28"/>
          <w:szCs w:val="28"/>
          <w:highlight w:val="none"/>
          <w:lang w:eastAsia="zh-CN"/>
        </w:rPr>
        <w:t>评价项目</w:t>
      </w:r>
      <w:r>
        <w:rPr>
          <w:rFonts w:hint="eastAsia" w:ascii="仿宋" w:hAnsi="仿宋" w:eastAsia="仿宋" w:cs="仿宋"/>
          <w:color w:val="auto"/>
          <w:sz w:val="28"/>
          <w:szCs w:val="28"/>
          <w:highlight w:val="none"/>
        </w:rPr>
        <w:t>资金支出的相关内容，突出预算支出绩效评价的特点</w:t>
      </w:r>
      <w:r>
        <w:rPr>
          <w:rFonts w:hint="eastAsia" w:ascii="仿宋" w:hAnsi="仿宋" w:eastAsia="仿宋" w:cs="仿宋"/>
          <w:color w:val="auto"/>
          <w:sz w:val="28"/>
          <w:szCs w:val="28"/>
          <w:highlight w:val="none"/>
          <w:lang w:eastAsia="zh-CN"/>
        </w:rPr>
        <w:t>，以资金支出的经济、社会效益和公众满意度作为衡量主管部门资金管理绩效的重要依据，</w:t>
      </w:r>
      <w:r>
        <w:rPr>
          <w:rFonts w:hint="eastAsia" w:ascii="仿宋" w:hAnsi="仿宋" w:eastAsia="仿宋" w:cs="仿宋"/>
          <w:color w:val="auto"/>
          <w:sz w:val="28"/>
          <w:szCs w:val="28"/>
          <w:highlight w:val="none"/>
        </w:rPr>
        <w:t>采取了目标预定与实施效果</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比较的评价方法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评价包括了定量指标分析和定性指标分析。</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0"/>
        <w:rPr>
          <w:rFonts w:hint="eastAsia" w:ascii="仿宋" w:hAnsi="仿宋" w:eastAsia="仿宋" w:cs="仿宋"/>
          <w:color w:val="auto"/>
          <w:sz w:val="28"/>
          <w:szCs w:val="28"/>
          <w:highlight w:val="none"/>
          <w:lang w:eastAsia="zh-CN"/>
        </w:rPr>
      </w:pPr>
      <w:bookmarkStart w:id="30" w:name="_Toc2217"/>
      <w:r>
        <w:rPr>
          <w:rFonts w:hint="eastAsia" w:ascii="仿宋" w:hAnsi="仿宋" w:eastAsia="仿宋" w:cs="仿宋"/>
          <w:color w:val="auto"/>
          <w:sz w:val="28"/>
          <w:szCs w:val="28"/>
          <w:highlight w:val="none"/>
          <w:lang w:eastAsia="zh-CN"/>
        </w:rPr>
        <w:t>项目评价基准日为</w:t>
      </w:r>
      <w:r>
        <w:rPr>
          <w:rFonts w:hint="eastAsia" w:ascii="仿宋" w:hAnsi="仿宋" w:eastAsia="仿宋" w:cs="仿宋"/>
          <w:color w:val="auto"/>
          <w:sz w:val="28"/>
          <w:szCs w:val="28"/>
          <w:highlight w:val="none"/>
          <w:lang w:val="en-US" w:eastAsia="zh-CN"/>
        </w:rPr>
        <w:t>2022</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lang w:eastAsia="zh-CN"/>
        </w:rPr>
        <w:t>日。</w:t>
      </w:r>
      <w:bookmarkEnd w:id="30"/>
      <w:bookmarkStart w:id="31" w:name="bookmark68"/>
      <w:bookmarkEnd w:id="31"/>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eastAsia="zh-CN"/>
        </w:rPr>
      </w:pPr>
      <w:bookmarkStart w:id="32" w:name="_Toc19758"/>
      <w:r>
        <w:rPr>
          <w:rFonts w:hint="eastAsia" w:ascii="仿宋" w:hAnsi="仿宋" w:eastAsia="仿宋" w:cs="仿宋"/>
          <w:b/>
          <w:bCs/>
          <w:color w:val="auto"/>
          <w:sz w:val="28"/>
          <w:szCs w:val="28"/>
          <w:highlight w:val="none"/>
          <w:lang w:eastAsia="zh-CN"/>
        </w:rPr>
        <w:t>三、项目实施情况</w:t>
      </w:r>
      <w:bookmarkEnd w:id="32"/>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33" w:name="_Toc18632"/>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eastAsia="zh-CN"/>
        </w:rPr>
        <w:t>项目实施情况</w:t>
      </w:r>
      <w:bookmarkEnd w:id="33"/>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2022年度共下达市级补助资金2214万元，其中社工人员经费1962万元分两批下达，第一批1057人，每人配套1.2万元，计1268.40万元，第二批1156人，每人配套0.6万元（按半年计），计693.60万元；市辖区34个社工站每个站点配套2万元，计68万元；市级调剂经费184万元，其中用于招聘考务及培训164万元，行政辅助人员经费20万元，市财政年度收回8万元，实际支出2206万元。</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34" w:name="_Toc18859"/>
      <w:r>
        <w:rPr>
          <w:rFonts w:hint="eastAsia" w:ascii="仿宋" w:hAnsi="仿宋" w:eastAsia="仿宋" w:cs="仿宋"/>
          <w:color w:val="auto"/>
          <w:sz w:val="28"/>
          <w:szCs w:val="28"/>
          <w:highlight w:val="none"/>
          <w:lang w:eastAsia="zh-CN"/>
        </w:rPr>
        <w:t>项目资金情况</w:t>
      </w:r>
      <w:bookmarkEnd w:id="34"/>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1.资金来源</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资金来源为市级补助资金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湛财社</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73</w:t>
      </w:r>
      <w:r>
        <w:rPr>
          <w:rFonts w:hint="eastAsia" w:ascii="仿宋" w:hAnsi="仿宋" w:eastAsia="仿宋" w:cs="仿宋"/>
          <w:color w:val="auto"/>
          <w:sz w:val="28"/>
          <w:szCs w:val="28"/>
          <w:highlight w:val="none"/>
        </w:rPr>
        <w:t>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湛财社</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138</w:t>
      </w:r>
      <w:r>
        <w:rPr>
          <w:rFonts w:hint="eastAsia" w:ascii="仿宋" w:hAnsi="仿宋" w:eastAsia="仿宋" w:cs="仿宋"/>
          <w:color w:val="auto"/>
          <w:sz w:val="28"/>
          <w:szCs w:val="28"/>
          <w:highlight w:val="none"/>
        </w:rPr>
        <w:t>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2.资金到位情况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20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2022年计划安排资金2214万元,实际到位资金2214万元。</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资金使用情况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20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截止评价基准日，实际已支付的202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年财政资金共计</w:t>
      </w:r>
      <w:r>
        <w:rPr>
          <w:rFonts w:hint="eastAsia" w:ascii="仿宋" w:hAnsi="仿宋" w:eastAsia="仿宋" w:cs="仿宋"/>
          <w:color w:val="auto"/>
          <w:sz w:val="28"/>
          <w:szCs w:val="28"/>
          <w:highlight w:val="none"/>
          <w:lang w:val="en-US" w:eastAsia="zh-CN"/>
        </w:rPr>
        <w:t>2206</w:t>
      </w:r>
      <w:r>
        <w:rPr>
          <w:rFonts w:hint="eastAsia" w:ascii="仿宋" w:hAnsi="仿宋" w:eastAsia="仿宋" w:cs="仿宋"/>
          <w:color w:val="auto"/>
          <w:sz w:val="28"/>
          <w:szCs w:val="28"/>
          <w:highlight w:val="none"/>
          <w:lang w:eastAsia="zh-CN"/>
        </w:rPr>
        <w:t>万元，资金使用率</w:t>
      </w:r>
      <w:r>
        <w:rPr>
          <w:rFonts w:hint="eastAsia" w:ascii="仿宋" w:hAnsi="仿宋" w:eastAsia="仿宋" w:cs="仿宋"/>
          <w:color w:val="auto"/>
          <w:sz w:val="28"/>
          <w:szCs w:val="28"/>
          <w:highlight w:val="none"/>
          <w:lang w:val="en-US" w:eastAsia="zh-CN"/>
        </w:rPr>
        <w:t>99.64</w:t>
      </w:r>
      <w:r>
        <w:rPr>
          <w:rFonts w:hint="eastAsia" w:ascii="仿宋" w:hAnsi="仿宋" w:eastAsia="仿宋" w:cs="仿宋"/>
          <w:color w:val="auto"/>
          <w:sz w:val="28"/>
          <w:szCs w:val="28"/>
          <w:highlight w:val="none"/>
          <w:lang w:eastAsia="zh-CN"/>
        </w:rPr>
        <w:t>%，支付明细如下：</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20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（1）社工人员经费1962万元。</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20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（2）34个社工站配套支出68万元。</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20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（3）招聘考务及培训164万元。</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20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（4）行政辅助人员经费12万元。</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val="en-US" w:eastAsia="zh-CN"/>
        </w:rPr>
      </w:pPr>
      <w:bookmarkStart w:id="35" w:name="_Toc15964"/>
      <w:r>
        <w:rPr>
          <w:rFonts w:hint="eastAsia" w:ascii="仿宋" w:hAnsi="仿宋" w:eastAsia="仿宋" w:cs="仿宋"/>
          <w:b/>
          <w:bCs/>
          <w:color w:val="auto"/>
          <w:sz w:val="28"/>
          <w:szCs w:val="28"/>
          <w:highlight w:val="none"/>
          <w:lang w:eastAsia="zh-CN"/>
        </w:rPr>
        <w:t>四、核查结论</w:t>
      </w:r>
      <w:bookmarkEnd w:id="23"/>
      <w:bookmarkEnd w:id="35"/>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bookmarkStart w:id="36" w:name="_Toc3606"/>
      <w:r>
        <w:rPr>
          <w:rFonts w:hint="eastAsia" w:ascii="仿宋" w:hAnsi="仿宋" w:eastAsia="仿宋" w:cs="仿宋"/>
          <w:color w:val="auto"/>
          <w:sz w:val="28"/>
          <w:szCs w:val="28"/>
          <w:highlight w:val="none"/>
          <w:lang w:eastAsia="zh-CN"/>
        </w:rPr>
        <w:t>绩效评价结果设置为5个等级，分别为：优（90≤X≤100分）、良（80≤X＜90分）、中（70≤X＜80分）、低（60≤X＜70分）、差（0≤X＜60分）。</w:t>
      </w:r>
      <w:r>
        <w:rPr>
          <w:rFonts w:hint="eastAsia" w:ascii="仿宋" w:hAnsi="仿宋" w:eastAsia="仿宋" w:cs="仿宋"/>
          <w:color w:val="auto"/>
          <w:sz w:val="28"/>
          <w:szCs w:val="28"/>
          <w:highlight w:val="none"/>
          <w:lang w:val="en-US" w:eastAsia="zh-CN"/>
        </w:rPr>
        <w:t>详见</w:t>
      </w:r>
      <w:r>
        <w:rPr>
          <w:rFonts w:hint="eastAsia" w:ascii="仿宋" w:hAnsi="仿宋" w:eastAsia="仿宋" w:cs="仿宋"/>
          <w:color w:val="auto"/>
          <w:sz w:val="28"/>
          <w:szCs w:val="28"/>
          <w:highlight w:val="none"/>
          <w:lang w:eastAsia="zh-CN"/>
        </w:rPr>
        <w:t>表1：</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zh-TW" w:eastAsia="zh-TW"/>
        </w:rPr>
        <w:t>表1 绩效评价结果等级划分标准</w:t>
      </w:r>
    </w:p>
    <w:tbl>
      <w:tblPr>
        <w:tblStyle w:val="7"/>
        <w:tblW w:w="4889" w:type="pct"/>
        <w:jc w:val="center"/>
        <w:tblLayout w:type="autofit"/>
        <w:tblCellMar>
          <w:top w:w="0" w:type="dxa"/>
          <w:left w:w="10" w:type="dxa"/>
          <w:bottom w:w="0" w:type="dxa"/>
          <w:right w:w="10" w:type="dxa"/>
        </w:tblCellMar>
      </w:tblPr>
      <w:tblGrid>
        <w:gridCol w:w="1074"/>
        <w:gridCol w:w="3859"/>
        <w:gridCol w:w="3402"/>
      </w:tblGrid>
      <w:tr>
        <w:trPr>
          <w:trHeight w:val="475" w:hRule="exact"/>
          <w:tblHeader/>
          <w:jc w:val="center"/>
        </w:trPr>
        <w:tc>
          <w:tcPr>
            <w:tcW w:w="644" w:type="pct"/>
            <w:tcBorders>
              <w:top w:val="single" w:color="auto" w:sz="4" w:space="0"/>
              <w:lef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2315" w:type="pct"/>
            <w:tcBorders>
              <w:top w:val="single" w:color="auto" w:sz="4" w:space="0"/>
              <w:lef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绩效评价分值</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绩效评价结果等级</w:t>
            </w:r>
          </w:p>
        </w:tc>
      </w:tr>
      <w:tr>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w:t>
            </w:r>
          </w:p>
        </w:tc>
        <w:tc>
          <w:tcPr>
            <w:tcW w:w="2315" w:type="pct"/>
            <w:tcBorders>
              <w:top w:val="single" w:color="auto" w:sz="4" w:space="0"/>
              <w:lef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90≤X≤100分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优</w:t>
            </w:r>
          </w:p>
        </w:tc>
      </w:tr>
      <w:tr>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w:t>
            </w:r>
          </w:p>
        </w:tc>
        <w:tc>
          <w:tcPr>
            <w:tcW w:w="2315" w:type="pct"/>
            <w:tcBorders>
              <w:top w:val="single" w:color="auto" w:sz="4" w:space="0"/>
              <w:lef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80≤X＜90分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良</w:t>
            </w:r>
          </w:p>
        </w:tc>
      </w:tr>
      <w:tr>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3</w:t>
            </w:r>
          </w:p>
        </w:tc>
        <w:tc>
          <w:tcPr>
            <w:tcW w:w="2315" w:type="pct"/>
            <w:tcBorders>
              <w:top w:val="single" w:color="auto" w:sz="4" w:space="0"/>
              <w:lef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70≤X＜80分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中</w:t>
            </w:r>
          </w:p>
        </w:tc>
      </w:tr>
      <w:tr>
        <w:trPr>
          <w:trHeight w:val="456" w:hRule="exact"/>
          <w:jc w:val="center"/>
        </w:trPr>
        <w:tc>
          <w:tcPr>
            <w:tcW w:w="644" w:type="pct"/>
            <w:tcBorders>
              <w:top w:val="single" w:color="auto" w:sz="4" w:space="0"/>
              <w:lef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4</w:t>
            </w:r>
          </w:p>
        </w:tc>
        <w:tc>
          <w:tcPr>
            <w:tcW w:w="2315" w:type="pct"/>
            <w:tcBorders>
              <w:top w:val="single" w:color="auto" w:sz="4" w:space="0"/>
              <w:lef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60≤X＜70分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低</w:t>
            </w:r>
          </w:p>
        </w:tc>
      </w:tr>
      <w:tr>
        <w:trPr>
          <w:trHeight w:val="475" w:hRule="exact"/>
          <w:jc w:val="center"/>
        </w:trPr>
        <w:tc>
          <w:tcPr>
            <w:tcW w:w="644" w:type="pct"/>
            <w:tcBorders>
              <w:top w:val="single" w:color="auto" w:sz="4" w:space="0"/>
              <w:left w:val="single" w:color="auto" w:sz="4" w:space="0"/>
              <w:bottom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5</w:t>
            </w:r>
          </w:p>
        </w:tc>
        <w:tc>
          <w:tcPr>
            <w:tcW w:w="2315" w:type="pct"/>
            <w:tcBorders>
              <w:top w:val="single" w:color="auto" w:sz="4" w:space="0"/>
              <w:left w:val="single" w:color="auto" w:sz="4" w:space="0"/>
              <w:bottom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0≤X＜60分</w:t>
            </w:r>
          </w:p>
        </w:tc>
        <w:tc>
          <w:tcPr>
            <w:tcW w:w="2041"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差</w:t>
            </w:r>
          </w:p>
        </w:tc>
      </w:tr>
    </w:tbl>
    <w:p>
      <w:pPr>
        <w:pStyle w:val="11"/>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0"/>
        <w:jc w:val="left"/>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依据既定的指标体系和评分标准，结合湛江市民政局提交的自评材料及核验的评价结果，2022年项目支出绩效核查得分为90.46分，等级为优。详见表2：</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rPr>
      </w:pPr>
      <w:bookmarkStart w:id="37" w:name="bookmark55"/>
      <w:bookmarkStart w:id="38" w:name="_Toc1778"/>
      <w:bookmarkStart w:id="39" w:name="_Toc4575"/>
      <w:bookmarkStart w:id="40" w:name="bookmark56"/>
      <w:bookmarkStart w:id="41" w:name="bookmark54"/>
      <w:r>
        <w:rPr>
          <w:rFonts w:hint="eastAsia" w:ascii="仿宋" w:hAnsi="仿宋" w:eastAsia="仿宋" w:cs="仿宋"/>
          <w:b/>
          <w:bCs/>
          <w:color w:val="auto"/>
          <w:sz w:val="28"/>
          <w:szCs w:val="28"/>
          <w:highlight w:val="none"/>
          <w:lang w:val="en-US" w:eastAsia="zh-CN"/>
        </w:rPr>
        <w:t>表2 项目支出</w:t>
      </w:r>
      <w:r>
        <w:rPr>
          <w:rFonts w:hint="eastAsia" w:ascii="仿宋" w:hAnsi="仿宋" w:eastAsia="仿宋" w:cs="仿宋"/>
          <w:b/>
          <w:bCs/>
          <w:color w:val="auto"/>
          <w:sz w:val="28"/>
          <w:szCs w:val="28"/>
          <w:highlight w:val="none"/>
        </w:rPr>
        <w:t>绩效</w:t>
      </w:r>
      <w:r>
        <w:rPr>
          <w:rFonts w:hint="eastAsia" w:ascii="仿宋" w:hAnsi="仿宋" w:eastAsia="仿宋" w:cs="仿宋"/>
          <w:b/>
          <w:bCs/>
          <w:color w:val="auto"/>
          <w:sz w:val="28"/>
          <w:szCs w:val="28"/>
          <w:highlight w:val="none"/>
          <w:lang w:eastAsia="zh-CN"/>
        </w:rPr>
        <w:t>核查评分汇</w:t>
      </w:r>
      <w:r>
        <w:rPr>
          <w:rFonts w:hint="eastAsia" w:ascii="仿宋" w:hAnsi="仿宋" w:eastAsia="仿宋" w:cs="仿宋"/>
          <w:b/>
          <w:bCs/>
          <w:color w:val="auto"/>
          <w:sz w:val="28"/>
          <w:szCs w:val="28"/>
          <w:highlight w:val="none"/>
        </w:rPr>
        <w:t>总表</w:t>
      </w:r>
      <w:bookmarkEnd w:id="37"/>
      <w:bookmarkEnd w:id="38"/>
      <w:bookmarkEnd w:id="39"/>
      <w:bookmarkEnd w:id="40"/>
      <w:bookmarkEnd w:id="41"/>
    </w:p>
    <w:tbl>
      <w:tblPr>
        <w:tblStyle w:val="7"/>
        <w:tblW w:w="4997" w:type="pct"/>
        <w:jc w:val="center"/>
        <w:tblLayout w:type="autofit"/>
        <w:tblCellMar>
          <w:top w:w="0" w:type="dxa"/>
          <w:left w:w="10" w:type="dxa"/>
          <w:bottom w:w="0" w:type="dxa"/>
          <w:right w:w="10" w:type="dxa"/>
        </w:tblCellMar>
      </w:tblPr>
      <w:tblGrid>
        <w:gridCol w:w="2097"/>
        <w:gridCol w:w="2088"/>
        <w:gridCol w:w="2093"/>
        <w:gridCol w:w="2241"/>
      </w:tblGrid>
      <w:tr>
        <w:trPr>
          <w:trHeight w:val="475" w:hRule="exact"/>
          <w:tblHeader/>
          <w:jc w:val="center"/>
        </w:trPr>
        <w:tc>
          <w:tcPr>
            <w:tcW w:w="2136"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rPr>
            </w:pPr>
            <w:r>
              <w:rPr>
                <w:rFonts w:hint="default" w:ascii="仿宋" w:hAnsi="仿宋" w:eastAsia="仿宋" w:cs="仿宋"/>
                <w:b/>
                <w:bCs/>
                <w:i w:val="0"/>
                <w:iCs w:val="0"/>
                <w:color w:val="000000"/>
                <w:kern w:val="0"/>
                <w:sz w:val="24"/>
                <w:szCs w:val="24"/>
                <w:u w:val="none"/>
                <w:lang w:val="en-US" w:eastAsia="zh-CN" w:bidi="ar"/>
              </w:rPr>
              <w:t>一级指标</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rPr>
            </w:pPr>
            <w:r>
              <w:rPr>
                <w:rFonts w:hint="default" w:ascii="仿宋" w:hAnsi="仿宋" w:eastAsia="仿宋" w:cs="仿宋"/>
                <w:b/>
                <w:bCs/>
                <w:i w:val="0"/>
                <w:iCs w:val="0"/>
                <w:color w:val="000000"/>
                <w:kern w:val="0"/>
                <w:sz w:val="24"/>
                <w:szCs w:val="24"/>
                <w:u w:val="none"/>
                <w:lang w:val="en-US" w:eastAsia="zh-CN" w:bidi="ar"/>
              </w:rPr>
              <w:t>指标分值</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rPr>
            </w:pPr>
            <w:r>
              <w:rPr>
                <w:rFonts w:hint="default" w:ascii="仿宋" w:hAnsi="仿宋" w:eastAsia="仿宋" w:cs="仿宋"/>
                <w:b/>
                <w:bCs/>
                <w:i w:val="0"/>
                <w:iCs w:val="0"/>
                <w:color w:val="000000"/>
                <w:kern w:val="0"/>
                <w:sz w:val="24"/>
                <w:szCs w:val="24"/>
                <w:u w:val="none"/>
                <w:lang w:val="en-US" w:eastAsia="zh-CN" w:bidi="ar"/>
              </w:rPr>
              <w:t>评价得分</w:t>
            </w:r>
          </w:p>
        </w:tc>
        <w:tc>
          <w:tcPr>
            <w:tcW w:w="213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lang w:eastAsia="zh-CN"/>
              </w:rPr>
            </w:pPr>
            <w:r>
              <w:rPr>
                <w:rFonts w:hint="default" w:ascii="仿宋" w:hAnsi="仿宋" w:eastAsia="仿宋" w:cs="仿宋"/>
                <w:b/>
                <w:bCs/>
                <w:i w:val="0"/>
                <w:iCs w:val="0"/>
                <w:color w:val="000000"/>
                <w:kern w:val="0"/>
                <w:sz w:val="24"/>
                <w:szCs w:val="24"/>
                <w:u w:val="none"/>
                <w:lang w:val="en-US" w:eastAsia="zh-CN" w:bidi="ar"/>
              </w:rPr>
              <w:t>得分率</w:t>
            </w:r>
          </w:p>
        </w:tc>
      </w:tr>
      <w:tr>
        <w:trPr>
          <w:trHeight w:val="461" w:hRule="exact"/>
          <w:jc w:val="center"/>
        </w:trPr>
        <w:tc>
          <w:tcPr>
            <w:tcW w:w="2136"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spacing w:val="0"/>
                <w:w w:val="100"/>
                <w:position w:val="0"/>
                <w:sz w:val="24"/>
                <w:szCs w:val="24"/>
                <w:highlight w:val="none"/>
                <w:lang w:eastAsia="zh-CN"/>
              </w:rPr>
            </w:pPr>
            <w:r>
              <w:rPr>
                <w:rStyle w:val="12"/>
                <w:lang w:val="en-US" w:eastAsia="zh-CN" w:bidi="ar"/>
              </w:rPr>
              <w:t>决策</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color w:val="000000"/>
                <w:spacing w:val="0"/>
                <w:w w:val="100"/>
                <w:position w:val="0"/>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18</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color w:val="000000"/>
                <w:spacing w:val="0"/>
                <w:w w:val="100"/>
                <w:position w:val="0"/>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16.8</w:t>
            </w:r>
          </w:p>
        </w:tc>
        <w:tc>
          <w:tcPr>
            <w:tcW w:w="2274"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spacing w:val="0"/>
                <w:w w:val="100"/>
                <w:position w:val="0"/>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93.33%</w:t>
            </w:r>
          </w:p>
        </w:tc>
      </w:tr>
      <w:tr>
        <w:trPr>
          <w:trHeight w:val="461" w:hRule="exact"/>
          <w:jc w:val="center"/>
        </w:trPr>
        <w:tc>
          <w:tcPr>
            <w:tcW w:w="2136"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Style w:val="12"/>
                <w:lang w:val="en-US" w:eastAsia="zh-CN" w:bidi="ar"/>
              </w:rPr>
              <w:t>过程</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spacing w:val="0"/>
                <w:w w:val="100"/>
                <w:position w:val="0"/>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22</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20.28</w:t>
            </w:r>
          </w:p>
        </w:tc>
        <w:tc>
          <w:tcPr>
            <w:tcW w:w="2274"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92.18%</w:t>
            </w:r>
          </w:p>
        </w:tc>
      </w:tr>
      <w:tr>
        <w:trPr>
          <w:trHeight w:val="456" w:hRule="exact"/>
          <w:jc w:val="center"/>
        </w:trPr>
        <w:tc>
          <w:tcPr>
            <w:tcW w:w="2136"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Style w:val="13"/>
                <w:lang w:val="en-US" w:eastAsia="zh-CN" w:bidi="ar"/>
              </w:rPr>
              <w:t>产出</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30</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26.88</w:t>
            </w:r>
          </w:p>
        </w:tc>
        <w:tc>
          <w:tcPr>
            <w:tcW w:w="2274"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89.60%</w:t>
            </w:r>
          </w:p>
        </w:tc>
      </w:tr>
      <w:tr>
        <w:trPr>
          <w:trHeight w:val="475" w:hRule="exact"/>
          <w:jc w:val="center"/>
        </w:trPr>
        <w:tc>
          <w:tcPr>
            <w:tcW w:w="21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Style w:val="13"/>
                <w:lang w:val="en-US" w:eastAsia="zh-CN" w:bidi="ar"/>
              </w:rPr>
              <w:t>效益</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30</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26.5</w:t>
            </w:r>
          </w:p>
        </w:tc>
        <w:tc>
          <w:tcPr>
            <w:tcW w:w="2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default" w:ascii="仿宋" w:hAnsi="仿宋" w:eastAsia="仿宋" w:cs="仿宋"/>
                <w:i w:val="0"/>
                <w:iCs w:val="0"/>
                <w:color w:val="000000"/>
                <w:kern w:val="0"/>
                <w:sz w:val="24"/>
                <w:szCs w:val="24"/>
                <w:u w:val="none"/>
                <w:lang w:val="en-US" w:eastAsia="zh-CN" w:bidi="ar"/>
              </w:rPr>
              <w:t>88.33%</w:t>
            </w:r>
          </w:p>
        </w:tc>
      </w:tr>
      <w:tr>
        <w:trPr>
          <w:trHeight w:val="475" w:hRule="exact"/>
          <w:jc w:val="center"/>
        </w:trPr>
        <w:tc>
          <w:tcPr>
            <w:tcW w:w="21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color w:val="000000"/>
                <w:spacing w:val="0"/>
                <w:w w:val="100"/>
                <w:position w:val="0"/>
                <w:sz w:val="24"/>
                <w:szCs w:val="24"/>
                <w:highlight w:val="none"/>
              </w:rPr>
            </w:pPr>
            <w:r>
              <w:rPr>
                <w:rFonts w:hint="default" w:ascii="仿宋" w:hAnsi="仿宋" w:eastAsia="仿宋" w:cs="仿宋"/>
                <w:b/>
                <w:bCs/>
                <w:i w:val="0"/>
                <w:iCs w:val="0"/>
                <w:color w:val="000000"/>
                <w:kern w:val="0"/>
                <w:sz w:val="24"/>
                <w:szCs w:val="24"/>
                <w:u w:val="none"/>
                <w:lang w:val="en-US" w:eastAsia="zh-CN" w:bidi="ar"/>
              </w:rPr>
              <w:t>评价总得分</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color w:val="000000"/>
                <w:spacing w:val="0"/>
                <w:w w:val="100"/>
                <w:position w:val="0"/>
                <w:sz w:val="24"/>
                <w:szCs w:val="24"/>
                <w:highlight w:val="none"/>
              </w:rPr>
            </w:pPr>
            <w:r>
              <w:rPr>
                <w:rFonts w:hint="default" w:ascii="仿宋" w:hAnsi="仿宋" w:eastAsia="仿宋" w:cs="仿宋"/>
                <w:b/>
                <w:bCs/>
                <w:i w:val="0"/>
                <w:iCs w:val="0"/>
                <w:color w:val="000000"/>
                <w:kern w:val="0"/>
                <w:sz w:val="24"/>
                <w:szCs w:val="24"/>
                <w:u w:val="none"/>
                <w:lang w:val="en-US" w:eastAsia="zh-CN" w:bidi="ar"/>
              </w:rPr>
              <w:t>100</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bCs/>
                <w:sz w:val="24"/>
                <w:szCs w:val="24"/>
                <w:highlight w:val="none"/>
                <w:lang w:val="en-US" w:eastAsia="zh-CN"/>
              </w:rPr>
            </w:pPr>
            <w:r>
              <w:rPr>
                <w:rFonts w:hint="default" w:ascii="仿宋" w:hAnsi="仿宋" w:eastAsia="仿宋" w:cs="仿宋"/>
                <w:b/>
                <w:bCs/>
                <w:i w:val="0"/>
                <w:iCs w:val="0"/>
                <w:color w:val="000000"/>
                <w:kern w:val="0"/>
                <w:sz w:val="24"/>
                <w:szCs w:val="24"/>
                <w:u w:val="none"/>
                <w:lang w:val="en-US" w:eastAsia="zh-CN" w:bidi="ar"/>
              </w:rPr>
              <w:t>90.46</w:t>
            </w:r>
          </w:p>
        </w:tc>
        <w:tc>
          <w:tcPr>
            <w:tcW w:w="2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default" w:ascii="仿宋" w:hAnsi="仿宋" w:eastAsia="仿宋" w:cs="仿宋"/>
                <w:b/>
                <w:bCs/>
                <w:i w:val="0"/>
                <w:iCs w:val="0"/>
                <w:color w:val="000000"/>
                <w:kern w:val="0"/>
                <w:sz w:val="24"/>
                <w:szCs w:val="24"/>
                <w:u w:val="none"/>
                <w:lang w:val="en-US" w:eastAsia="zh-CN" w:bidi="ar"/>
              </w:rPr>
              <w:t>90.46%</w:t>
            </w:r>
          </w:p>
        </w:tc>
      </w:tr>
      <w:bookmarkEnd w:id="36"/>
    </w:tbl>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0"/>
        <w:rPr>
          <w:rFonts w:hint="eastAsia" w:ascii="仿宋" w:hAnsi="仿宋" w:eastAsia="仿宋" w:cs="仿宋"/>
          <w:b/>
          <w:color w:val="auto"/>
          <w:kern w:val="2"/>
          <w:sz w:val="28"/>
          <w:szCs w:val="28"/>
          <w:highlight w:val="none"/>
        </w:rPr>
      </w:pPr>
      <w:bookmarkStart w:id="42" w:name="_Toc9575"/>
      <w:bookmarkStart w:id="43" w:name="_Toc13877"/>
      <w:bookmarkStart w:id="44" w:name="_Toc3612"/>
      <w:r>
        <w:rPr>
          <w:rFonts w:hint="eastAsia" w:ascii="仿宋" w:hAnsi="仿宋" w:eastAsia="仿宋" w:cs="仿宋"/>
          <w:b/>
          <w:color w:val="auto"/>
          <w:kern w:val="2"/>
          <w:sz w:val="28"/>
          <w:szCs w:val="28"/>
          <w:highlight w:val="none"/>
          <w:lang w:eastAsia="zh-CN"/>
        </w:rPr>
        <w:t>五、</w:t>
      </w:r>
      <w:r>
        <w:rPr>
          <w:rFonts w:hint="eastAsia" w:ascii="仿宋" w:hAnsi="仿宋" w:eastAsia="仿宋" w:cs="仿宋"/>
          <w:b/>
          <w:color w:val="auto"/>
          <w:kern w:val="2"/>
          <w:sz w:val="28"/>
          <w:szCs w:val="28"/>
          <w:highlight w:val="none"/>
        </w:rPr>
        <w:t>存在问题</w:t>
      </w:r>
      <w:bookmarkEnd w:id="42"/>
      <w:r>
        <w:rPr>
          <w:rFonts w:hint="eastAsia" w:ascii="仿宋" w:hAnsi="仿宋" w:eastAsia="仿宋" w:cs="仿宋"/>
          <w:b/>
          <w:color w:val="auto"/>
          <w:kern w:val="2"/>
          <w:sz w:val="28"/>
          <w:szCs w:val="28"/>
          <w:highlight w:val="none"/>
          <w:lang w:eastAsia="zh-CN"/>
        </w:rPr>
        <w:t>及相关建议</w:t>
      </w:r>
      <w:bookmarkEnd w:id="43"/>
      <w:bookmarkEnd w:id="44"/>
      <w:bookmarkStart w:id="45" w:name="一"/>
      <w:bookmarkEnd w:id="45"/>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rPr>
      </w:pPr>
      <w:bookmarkStart w:id="46" w:name="_Toc18552"/>
      <w:bookmarkStart w:id="47" w:name="_Toc11913"/>
      <w:bookmarkStart w:id="48" w:name="_Toc1745"/>
      <w:r>
        <w:rPr>
          <w:rFonts w:hint="eastAsia" w:ascii="仿宋" w:hAnsi="仿宋" w:eastAsia="仿宋" w:cs="仿宋"/>
          <w:b w:val="0"/>
          <w:bCs w:val="0"/>
          <w:color w:val="auto"/>
          <w:kern w:val="2"/>
          <w:sz w:val="28"/>
          <w:szCs w:val="28"/>
          <w:highlight w:val="none"/>
        </w:rPr>
        <w:t>（一）存在问题</w:t>
      </w:r>
      <w:bookmarkEnd w:id="46"/>
      <w:bookmarkEnd w:id="47"/>
      <w:bookmarkEnd w:id="48"/>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49" w:name="_Toc18582"/>
      <w:r>
        <w:rPr>
          <w:rFonts w:hint="eastAsia" w:ascii="仿宋" w:hAnsi="仿宋" w:eastAsia="仿宋" w:cs="仿宋"/>
          <w:b w:val="0"/>
          <w:bCs w:val="0"/>
          <w:color w:val="auto"/>
          <w:kern w:val="2"/>
          <w:sz w:val="28"/>
          <w:szCs w:val="28"/>
          <w:highlight w:val="none"/>
          <w:lang w:val="en-US" w:eastAsia="zh-CN"/>
        </w:rPr>
        <w:t>1.项目实施时效延后。根据实施方案第三阶段目标：2022年5月底前确定招聘人员名单，并于2022年6月底前完成对新招聘人员的岗前培训工作，实际岗前培训时间分两期，分别为11.8-11.9和11.10-11.11。</w:t>
      </w:r>
      <w:bookmarkEnd w:id="49"/>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项目支出与预算计划偏差较大。根据预算计划安排，第一批1057人按全年计算，每人配套1.2万元；第二批1156人按半年计算，没人配套0.6万元，社工岗位设置总量2213人，实际社工岗位人员2042人，新招聘社工岗前培训在2022年11月，预算支出与项目实施进度不匹配。</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default" w:ascii="仿宋" w:hAnsi="仿宋" w:eastAsia="仿宋" w:cs="仿宋"/>
          <w:b w:val="0"/>
          <w:bCs w:val="0"/>
          <w:color w:val="auto"/>
          <w:kern w:val="2"/>
          <w:sz w:val="28"/>
          <w:szCs w:val="28"/>
          <w:highlight w:val="none"/>
          <w:lang w:val="en-US" w:eastAsia="zh-CN"/>
        </w:rPr>
      </w:pPr>
      <w:bookmarkStart w:id="50" w:name="_Toc10597"/>
      <w:r>
        <w:rPr>
          <w:rFonts w:hint="eastAsia" w:ascii="仿宋" w:hAnsi="仿宋" w:eastAsia="仿宋" w:cs="仿宋"/>
          <w:b w:val="0"/>
          <w:bCs w:val="0"/>
          <w:color w:val="auto"/>
          <w:kern w:val="2"/>
          <w:sz w:val="28"/>
          <w:szCs w:val="28"/>
          <w:highlight w:val="none"/>
          <w:lang w:val="en-US" w:eastAsia="zh-CN"/>
        </w:rPr>
        <w:t>3.</w:t>
      </w:r>
      <w:bookmarkEnd w:id="50"/>
      <w:r>
        <w:rPr>
          <w:rFonts w:hint="eastAsia" w:ascii="仿宋" w:hAnsi="仿宋" w:eastAsia="仿宋" w:cs="仿宋"/>
          <w:b w:val="0"/>
          <w:bCs w:val="0"/>
          <w:color w:val="auto"/>
          <w:kern w:val="2"/>
          <w:sz w:val="28"/>
          <w:szCs w:val="28"/>
          <w:highlight w:val="none"/>
          <w:lang w:val="en-US" w:eastAsia="zh-CN"/>
        </w:rPr>
        <w:t>绩效自评不够严谨。自评材料质量方面，相关佐证材料不完整，自评评分表为100分，自评报告显示自评得分90分。</w:t>
      </w:r>
    </w:p>
    <w:p>
      <w:pPr>
        <w:pStyle w:val="6"/>
        <w:keepNext w:val="0"/>
        <w:keepLines w:val="0"/>
        <w:pageBreakBefore w:val="0"/>
        <w:shd w:val="clear"/>
        <w:kinsoku/>
        <w:wordWrap/>
        <w:overflowPunct/>
        <w:topLinePunct w:val="0"/>
        <w:autoSpaceDE/>
        <w:autoSpaceDN/>
        <w:bidi w:val="0"/>
        <w:adjustRightInd/>
        <w:spacing w:before="0" w:beforeAutospacing="0" w:after="0" w:afterAutospacing="0" w:line="560" w:lineRule="exact"/>
        <w:ind w:right="45" w:firstLine="560" w:firstLineChars="200"/>
        <w:contextualSpacing/>
        <w:jc w:val="both"/>
        <w:textAlignment w:val="auto"/>
        <w:outlineLvl w:val="1"/>
        <w:rPr>
          <w:rFonts w:hint="eastAsia" w:ascii="仿宋" w:hAnsi="仿宋" w:eastAsia="仿宋" w:cs="仿宋"/>
          <w:b w:val="0"/>
          <w:bCs/>
          <w:color w:val="auto"/>
          <w:kern w:val="2"/>
          <w:sz w:val="28"/>
          <w:szCs w:val="28"/>
          <w:highlight w:val="none"/>
          <w:lang w:eastAsia="zh-CN"/>
        </w:rPr>
      </w:pPr>
      <w:bookmarkStart w:id="51" w:name="_Toc22031"/>
      <w:bookmarkStart w:id="52" w:name="_Toc4560"/>
      <w:bookmarkStart w:id="53" w:name="_Toc24779"/>
      <w:r>
        <w:rPr>
          <w:rFonts w:hint="eastAsia" w:ascii="仿宋" w:hAnsi="仿宋" w:eastAsia="仿宋" w:cs="仿宋"/>
          <w:b w:val="0"/>
          <w:bCs/>
          <w:color w:val="auto"/>
          <w:kern w:val="2"/>
          <w:sz w:val="28"/>
          <w:szCs w:val="28"/>
          <w:highlight w:val="none"/>
        </w:rPr>
        <w:t>（二）</w:t>
      </w:r>
      <w:bookmarkEnd w:id="51"/>
      <w:r>
        <w:rPr>
          <w:rFonts w:hint="eastAsia" w:ascii="仿宋" w:hAnsi="仿宋" w:eastAsia="仿宋" w:cs="仿宋"/>
          <w:b w:val="0"/>
          <w:bCs/>
          <w:color w:val="auto"/>
          <w:kern w:val="2"/>
          <w:sz w:val="28"/>
          <w:szCs w:val="28"/>
          <w:highlight w:val="none"/>
          <w:lang w:val="en-US" w:eastAsia="zh-CN"/>
        </w:rPr>
        <w:t>相关建议</w:t>
      </w:r>
      <w:bookmarkEnd w:id="52"/>
      <w:bookmarkEnd w:id="53"/>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做好项目实施的跟踪问效检查落实工作。要定期不定期地对项目实施情况和经费使用情况进行跟踪检查，对进展缓慢，预期绩效目标较差的项目，及时进行协调和提出整改措施，确保项目预算与实施进度相匹配。</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2.需要加强绩效自评工作</w:t>
      </w:r>
      <w:bookmarkStart w:id="54" w:name="_Toc1386"/>
      <w:bookmarkStart w:id="55" w:name="_Toc121"/>
      <w:bookmarkStart w:id="56" w:name="_Toc7568"/>
      <w:r>
        <w:rPr>
          <w:rFonts w:hint="eastAsia" w:ascii="仿宋" w:hAnsi="仿宋" w:eastAsia="仿宋" w:cs="仿宋"/>
          <w:color w:val="auto"/>
          <w:kern w:val="2"/>
          <w:sz w:val="28"/>
          <w:szCs w:val="28"/>
          <w:highlight w:val="none"/>
          <w:lang w:val="en-US" w:eastAsia="zh-CN"/>
        </w:rPr>
        <w:t>审核把关。对于报送的自评材料完整性、准确性加以关注。</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b/>
          <w:bCs/>
          <w:kern w:val="2"/>
          <w:sz w:val="28"/>
          <w:szCs w:val="28"/>
          <w:highlight w:val="none"/>
        </w:rPr>
      </w:pP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附件：</w:t>
      </w:r>
      <w:bookmarkEnd w:id="54"/>
      <w:r>
        <w:rPr>
          <w:rFonts w:hint="eastAsia" w:ascii="仿宋" w:hAnsi="仿宋" w:eastAsia="仿宋" w:cs="仿宋"/>
          <w:b/>
          <w:bCs/>
          <w:kern w:val="2"/>
          <w:sz w:val="28"/>
          <w:szCs w:val="28"/>
          <w:highlight w:val="none"/>
          <w:lang w:eastAsia="zh-CN"/>
        </w:rPr>
        <w:t>湛江市民政局20</w:t>
      </w:r>
      <w:r>
        <w:rPr>
          <w:rFonts w:hint="eastAsia" w:ascii="仿宋" w:hAnsi="仿宋" w:eastAsia="仿宋" w:cs="仿宋"/>
          <w:b/>
          <w:bCs/>
          <w:kern w:val="2"/>
          <w:sz w:val="28"/>
          <w:szCs w:val="28"/>
          <w:highlight w:val="none"/>
          <w:lang w:val="en-US" w:eastAsia="zh-CN"/>
        </w:rPr>
        <w:t>22</w:t>
      </w:r>
      <w:r>
        <w:rPr>
          <w:rFonts w:hint="eastAsia" w:ascii="仿宋" w:hAnsi="仿宋" w:eastAsia="仿宋" w:cs="仿宋"/>
          <w:b/>
          <w:bCs/>
          <w:kern w:val="2"/>
          <w:sz w:val="28"/>
          <w:szCs w:val="28"/>
          <w:highlight w:val="none"/>
          <w:lang w:eastAsia="zh-CN"/>
        </w:rPr>
        <w:t>年度项目支出</w:t>
      </w:r>
      <w:r>
        <w:rPr>
          <w:rFonts w:hint="eastAsia" w:ascii="仿宋" w:hAnsi="仿宋" w:eastAsia="仿宋" w:cs="仿宋"/>
          <w:b/>
          <w:bCs/>
          <w:kern w:val="2"/>
          <w:sz w:val="28"/>
          <w:szCs w:val="28"/>
          <w:highlight w:val="none"/>
        </w:rPr>
        <w:t>绩效</w:t>
      </w:r>
      <w:r>
        <w:rPr>
          <w:rFonts w:hint="eastAsia" w:ascii="仿宋" w:hAnsi="仿宋" w:eastAsia="仿宋" w:cs="仿宋"/>
          <w:b/>
          <w:bCs/>
          <w:kern w:val="2"/>
          <w:sz w:val="28"/>
          <w:szCs w:val="28"/>
          <w:highlight w:val="none"/>
          <w:lang w:val="en-US" w:eastAsia="zh-CN"/>
        </w:rPr>
        <w:t>指标评分表</w:t>
      </w:r>
      <w:bookmarkEnd w:id="55"/>
      <w:bookmarkEnd w:id="56"/>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contextualSpacing/>
        <w:jc w:val="both"/>
        <w:textAlignment w:val="auto"/>
        <w:rPr>
          <w:rFonts w:hint="eastAsia" w:ascii="仿宋" w:hAnsi="仿宋" w:eastAsia="仿宋" w:cs="仿宋"/>
          <w:color w:val="auto"/>
          <w:kern w:val="2"/>
          <w:sz w:val="28"/>
          <w:szCs w:val="28"/>
          <w:highlight w:val="none"/>
          <w:lang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contextualSpacing/>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广东诚安信会计师事务所（</w:t>
      </w:r>
      <w:r>
        <w:rPr>
          <w:rFonts w:hint="eastAsia" w:ascii="仿宋" w:hAnsi="仿宋" w:eastAsia="仿宋" w:cs="仿宋"/>
          <w:color w:val="auto"/>
          <w:kern w:val="2"/>
          <w:sz w:val="28"/>
          <w:szCs w:val="28"/>
          <w:highlight w:val="none"/>
          <w:lang w:val="en-US" w:eastAsia="zh-CN"/>
        </w:rPr>
        <w:t>特殊普通合伙）</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1120" w:firstLineChars="400"/>
        <w:contextualSpacing/>
        <w:jc w:val="left"/>
        <w:textAlignment w:val="auto"/>
        <w:rPr>
          <w:rFonts w:hint="eastAsia" w:ascii="仿宋" w:hAnsi="仿宋" w:eastAsia="仿宋" w:cs="仿宋"/>
          <w:color w:val="auto"/>
          <w:kern w:val="2"/>
          <w:sz w:val="28"/>
          <w:szCs w:val="28"/>
          <w:highlight w:val="none"/>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1120" w:firstLineChars="400"/>
        <w:contextualSpacing/>
        <w:jc w:val="left"/>
        <w:textAlignment w:val="auto"/>
        <w:rPr>
          <w:rFonts w:hint="eastAsia" w:ascii="仿宋" w:hAnsi="仿宋" w:eastAsia="仿宋" w:cs="仿宋"/>
          <w:color w:val="auto"/>
          <w:kern w:val="2"/>
          <w:sz w:val="28"/>
          <w:szCs w:val="28"/>
          <w:highlight w:val="none"/>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1120" w:firstLineChars="400"/>
        <w:contextualSpacing/>
        <w:jc w:val="left"/>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中国</w:t>
      </w:r>
      <w:r>
        <w:rPr>
          <w:rFonts w:hint="eastAsia" w:ascii="微软雅黑" w:hAnsi="微软雅黑" w:eastAsia="微软雅黑" w:cs="微软雅黑"/>
          <w:color w:val="auto"/>
          <w:kern w:val="2"/>
          <w:sz w:val="28"/>
          <w:szCs w:val="28"/>
          <w:highlight w:val="none"/>
          <w:lang w:val="en-US" w:eastAsia="zh-CN"/>
        </w:rPr>
        <w:t>·</w:t>
      </w:r>
      <w:r>
        <w:rPr>
          <w:rFonts w:hint="eastAsia" w:ascii="仿宋" w:hAnsi="仿宋" w:eastAsia="仿宋" w:cs="仿宋"/>
          <w:color w:val="auto"/>
          <w:kern w:val="2"/>
          <w:sz w:val="28"/>
          <w:szCs w:val="28"/>
          <w:highlight w:val="none"/>
          <w:lang w:val="en-US" w:eastAsia="zh-CN"/>
        </w:rPr>
        <w:t>广州市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320" w:firstLineChars="19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2023年9月24日</w:t>
      </w:r>
    </w:p>
    <w:p>
      <w:pPr>
        <w:keepNext w:val="0"/>
        <w:keepLines w:val="0"/>
        <w:pageBreakBefore w:val="0"/>
        <w:numPr>
          <w:ilvl w:val="0"/>
          <w:numId w:val="0"/>
        </w:numPr>
        <w:kinsoku/>
        <w:overflowPunct/>
        <w:topLinePunct w:val="0"/>
        <w:autoSpaceDE/>
        <w:autoSpaceDN/>
        <w:bidi w:val="0"/>
        <w:spacing w:line="360" w:lineRule="auto"/>
        <w:jc w:val="both"/>
        <w:textAlignment w:val="auto"/>
        <w:rPr>
          <w:rFonts w:hint="eastAsia" w:ascii="仿宋" w:hAnsi="仿宋" w:eastAsia="仿宋" w:cs="仿宋"/>
          <w:sz w:val="28"/>
          <w:szCs w:val="28"/>
          <w:highlight w:val="none"/>
          <w:lang w:val="en-US" w:eastAsia="zh-CN"/>
        </w:rPr>
      </w:pPr>
    </w:p>
    <w:p>
      <w:pPr>
        <w:rPr>
          <w:sz w:val="20"/>
          <w:szCs w:val="20"/>
        </w:rPr>
      </w:pPr>
      <w:bookmarkStart w:id="57" w:name="_GoBack"/>
      <w:bookmarkEnd w:id="57"/>
    </w:p>
    <w:sectPr>
      <w:footerReference r:id="rId14" w:type="default"/>
      <w:pgSz w:w="11906" w:h="16838"/>
      <w:pgMar w:top="1134" w:right="1701" w:bottom="1361"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altName w:val="汉仪书宋二KW"/>
    <w:panose1 w:val="02000000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隶书">
    <w:altName w:val="报隶-简"/>
    <w:panose1 w:val="0201050906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3"/>
      <w:jc w:val="center"/>
      <w:rPr>
        <w:rFonts w:hint="eastAsia"/>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val="en-US" w:eastAsia="zh-CN"/>
      </w:rPr>
    </w:pPr>
  </w:p>
  <w:p>
    <w:pPr>
      <w:pStyle w:val="3"/>
      <w:jc w:val="center"/>
      <w:rPr>
        <w:rFonts w:hint="eastAsia"/>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3"/>
      <w:jc w:val="center"/>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D6FB8"/>
    <w:multiLevelType w:val="singleLevel"/>
    <w:tmpl w:val="038D6F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9CFA55A"/>
    <w:rsid w:val="B9DE2E67"/>
    <w:rsid w:val="E9CFA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_Style 1"/>
    <w:basedOn w:val="1"/>
    <w:qFormat/>
    <w:uiPriority w:val="0"/>
    <w:pPr>
      <w:ind w:firstLine="420" w:firstLineChars="200"/>
    </w:p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paragraph" w:customStyle="1" w:styleId="11">
    <w:name w:val="Other|1"/>
    <w:basedOn w:val="1"/>
    <w:qFormat/>
    <w:uiPriority w:val="0"/>
    <w:pPr>
      <w:widowControl w:val="0"/>
      <w:shd w:val="clear" w:color="auto" w:fill="auto"/>
      <w:spacing w:after="420"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12">
    <w:name w:val="font21"/>
    <w:basedOn w:val="8"/>
    <w:uiPriority w:val="0"/>
    <w:rPr>
      <w:rFonts w:hint="default" w:ascii="仿宋" w:hAnsi="仿宋" w:eastAsia="仿宋" w:cs="仿宋"/>
      <w:color w:val="000000"/>
      <w:sz w:val="24"/>
      <w:szCs w:val="24"/>
      <w:u w:val="none"/>
    </w:rPr>
  </w:style>
  <w:style w:type="character" w:customStyle="1" w:styleId="13">
    <w:name w:val="font31"/>
    <w:basedOn w:val="8"/>
    <w:uiPriority w:val="0"/>
    <w:rPr>
      <w:rFonts w:hint="default" w:ascii="仿宋" w:hAnsi="仿宋" w:eastAsia="仿宋" w:cs="仿宋"/>
      <w:color w:val="000000"/>
      <w:sz w:val="24"/>
      <w:szCs w:val="24"/>
      <w:u w:val="none"/>
    </w:rPr>
  </w:style>
  <w:style w:type="character" w:customStyle="1" w:styleId="14">
    <w:name w:val="页码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2023-12-26T15:55:00Z</dcterms:created>
  <dc:creator>陈文霞</dc:creator>
  <cp:lastModifiedBy>陈文霞</cp:lastModifiedBy>
  <dcterms:modified xsi:type="dcterms:W3CDTF">2023-12-26T15:56:23Z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3F87826BFC26E35C0C878A6540EB4CC7_41</vt:lpwstr>
  </property>
</Properties>
</file>