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line="600" w:lineRule="exact"/>
        <w:ind w:firstLine="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附件7</w:t>
      </w:r>
    </w:p>
    <w:p>
      <w:pPr>
        <w:keepNext w:val="0"/>
        <w:keepLines w:val="0"/>
        <w:pageBreakBefore w:val="0"/>
        <w:widowControl/>
        <w:suppressLineNumbers w:val="0"/>
        <w:suppressAutoHyphens/>
        <w:kinsoku/>
        <w:wordWrap/>
        <w:overflowPunct/>
        <w:topLinePunct w:val="0"/>
        <w:autoSpaceDE/>
        <w:autoSpaceDN/>
        <w:bidi w:val="0"/>
        <w:adjustRightInd/>
        <w:snapToGrid/>
        <w:spacing w:line="600" w:lineRule="exact"/>
        <w:ind w:firstLine="440" w:firstLineChars="100"/>
        <w:jc w:val="left"/>
        <w:textAlignment w:val="auto"/>
        <w:rPr>
          <w:rFonts w:hint="eastAsia" w:ascii="方正小标宋简体" w:eastAsia="方正小标宋简体"/>
          <w:color w:val="auto"/>
          <w:sz w:val="44"/>
          <w:szCs w:val="44"/>
          <w:lang w:val="en-US" w:eastAsia="zh-CN"/>
        </w:rPr>
      </w:pPr>
    </w:p>
    <w:p>
      <w:pPr>
        <w:keepNext w:val="0"/>
        <w:keepLines w:val="0"/>
        <w:pageBreakBefore w:val="0"/>
        <w:widowControl/>
        <w:suppressLineNumbers w:val="0"/>
        <w:suppressAutoHyphens/>
        <w:kinsoku/>
        <w:wordWrap/>
        <w:overflowPunct/>
        <w:topLinePunct w:val="0"/>
        <w:autoSpaceDE/>
        <w:autoSpaceDN/>
        <w:bidi w:val="0"/>
        <w:adjustRightInd/>
        <w:snapToGrid/>
        <w:spacing w:line="600" w:lineRule="exact"/>
        <w:ind w:firstLine="440" w:firstLineChars="100"/>
        <w:jc w:val="left"/>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湛江市按病种分值付费（DIP）特殊病例</w:t>
      </w:r>
    </w:p>
    <w:p>
      <w:pPr>
        <w:keepNext w:val="0"/>
        <w:keepLines w:val="0"/>
        <w:pageBreakBefore w:val="0"/>
        <w:widowControl/>
        <w:suppressLineNumbers w:val="0"/>
        <w:suppressAutoHyphens/>
        <w:kinsoku/>
        <w:wordWrap/>
        <w:overflowPunct/>
        <w:topLinePunct w:val="0"/>
        <w:autoSpaceDE/>
        <w:autoSpaceDN/>
        <w:bidi w:val="0"/>
        <w:adjustRightInd/>
        <w:snapToGrid/>
        <w:spacing w:line="600" w:lineRule="exact"/>
        <w:ind w:firstLine="3080" w:firstLineChars="700"/>
        <w:jc w:val="left"/>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专家评议制度</w:t>
      </w:r>
    </w:p>
    <w:p>
      <w:pPr>
        <w:pStyle w:val="3"/>
        <w:keepNext w:val="0"/>
        <w:keepLines w:val="0"/>
        <w:pageBreakBefore w:val="0"/>
        <w:kinsoku/>
        <w:wordWrap/>
        <w:overflowPunct/>
        <w:topLinePunct w:val="0"/>
        <w:autoSpaceDE/>
        <w:autoSpaceDN/>
        <w:bidi w:val="0"/>
        <w:spacing w:line="600" w:lineRule="exact"/>
        <w:ind w:firstLine="640" w:firstLineChars="200"/>
        <w:jc w:val="left"/>
        <w:textAlignment w:val="auto"/>
        <w:rPr>
          <w:rFonts w:ascii="Times New Roman" w:hAnsi="Times New Roman" w:eastAsia="仿宋"/>
          <w:sz w:val="32"/>
          <w:szCs w:val="32"/>
        </w:rPr>
      </w:pPr>
    </w:p>
    <w:p>
      <w:pPr>
        <w:keepNext w:val="0"/>
        <w:keepLines w:val="0"/>
        <w:pageBreakBefore w:val="0"/>
        <w:kinsoku/>
        <w:wordWrap/>
        <w:overflowPunct/>
        <w:topLinePunct w:val="0"/>
        <w:autoSpaceDE/>
        <w:autoSpaceDN/>
        <w:bidi w:val="0"/>
        <w:snapToGrid w:val="0"/>
        <w:spacing w:line="60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根据《广东省医疗保障局关于印发广东省医保支付制度评议组织议事规则的通知》（粤医保发〔2020〕20号）规定，结合我市实际，建立DIP特殊病例专家评议制度。</w:t>
      </w:r>
    </w:p>
    <w:p>
      <w:pPr>
        <w:pStyle w:val="3"/>
        <w:keepNext w:val="0"/>
        <w:keepLines w:val="0"/>
        <w:pageBreakBefore w:val="0"/>
        <w:kinsoku/>
        <w:wordWrap/>
        <w:overflowPunct/>
        <w:topLinePunct w:val="0"/>
        <w:autoSpaceDE/>
        <w:autoSpaceDN/>
        <w:bidi w:val="0"/>
        <w:spacing w:line="600" w:lineRule="exact"/>
        <w:ind w:firstLine="640" w:firstLineChars="200"/>
        <w:jc w:val="left"/>
        <w:textAlignment w:val="auto"/>
        <w:rPr>
          <w:rFonts w:ascii="Times New Roman" w:hAnsi="Times New Roman" w:eastAsia="仿宋"/>
          <w:sz w:val="32"/>
          <w:szCs w:val="32"/>
        </w:rPr>
      </w:pPr>
      <w:r>
        <w:rPr>
          <w:rFonts w:ascii="Times New Roman" w:hAnsi="Times New Roman" w:eastAsia="黑体"/>
          <w:sz w:val="32"/>
          <w:szCs w:val="32"/>
        </w:rPr>
        <w:t>一、特殊病例的申报条件</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DIP特殊病例专家评议是指定点医疗机构对符合以下条件1条的特殊病例进行申报，市医疗保障经办机构组织专家进行评议，对病例评议后的合理医疗费用进行校准病种分值：</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1.病例住院天数大于该定点医疗机构平均住院天数的5倍;</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2.病例总医疗费用超过上年度该病种标准分值所对应的基本医疗总费用的6倍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且未达到大病保险支付范围。</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3.病例的监护病房床位使用天数不小于该病例住院床位使用总天数的80%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4.运用创新医疗技术(指3年内开展湛江首例或省内首例的新技术，获得国家、省自然科学奖、技术发明奖、科学技术进步奖的医疗技术或者治疗手段)的病例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5.运用经国家、省、市卫生健康行政部门评审认定并公布的临床高新技术、临床重大技术或者临床特色技术的病例。</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二、特殊病例的数量规定</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在每年年度清算前，定点医疗机构向市医疗保障经办机构提出按特殊病例结算的申请,申请病例数不超过该定点医疗机构当年度按病种分值付费人次的1‰。申请病例数计算结果四舍五入至个位。</w:t>
      </w:r>
    </w:p>
    <w:p>
      <w:pPr>
        <w:keepNext w:val="0"/>
        <w:keepLines w:val="0"/>
        <w:pageBreakBefore w:val="0"/>
        <w:numPr>
          <w:ilvl w:val="0"/>
          <w:numId w:val="1"/>
        </w:numPr>
        <w:kinsoku/>
        <w:wordWrap/>
        <w:overflowPunct/>
        <w:topLinePunct w:val="0"/>
        <w:autoSpaceDE/>
        <w:autoSpaceDN/>
        <w:bidi w:val="0"/>
        <w:spacing w:line="600"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专家评议流程</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定点医疗机构每年在规定时间内对符合特殊病例评议条件的病例，按要求将住院病历、费用结算单、医保结算清单、创新医疗技术、临床高新技术、临床重大技术、者临床特色技术等相关佐证材料报送至市经办机构，提出特殊病例专家评议的申请。</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2.初审：市经办机构对申请专家评议的特殊病例进行初审，重点审核申报材料是否齐全、病例是否达到申报条件等，对初审符合条件的病例进行汇总后进行专家评议。</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3.专家评议：市经办机构根据省、市智能审核规则对符合申报的病例进行智能审核违规筛查，初步筛选出可疑违规数据。从DIP专家库抽取专家开展特殊病例评议工作，每一病例评议不少于3名专家。</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根据国家、省的医保、卫生健康或中医药管理等部门认可的诊疗指南及智能审核初筛结果，结合我市实际诊疗水平，分别从诊断是否准确、检查是否合理、用药是否合理、治疗是否合理、收费是否合理等五个方面进行评议。具体标准见附件。</w:t>
      </w:r>
    </w:p>
    <w:p>
      <w:pPr>
        <w:keepNext w:val="0"/>
        <w:keepLines w:val="0"/>
        <w:pageBreakBefore w:val="0"/>
        <w:kinsoku/>
        <w:wordWrap/>
        <w:overflowPunct/>
        <w:topLinePunct w:val="0"/>
        <w:autoSpaceDE/>
        <w:autoSpaceDN/>
        <w:bidi w:val="0"/>
        <w:snapToGrid w:val="0"/>
        <w:spacing w:line="600" w:lineRule="exact"/>
        <w:ind w:firstLine="645"/>
        <w:jc w:val="left"/>
        <w:textAlignment w:val="auto"/>
        <w:rPr>
          <w:rFonts w:ascii="Times New Roman" w:hAnsi="Times New Roman" w:eastAsia="楷体_GB2312"/>
          <w:sz w:val="32"/>
          <w:szCs w:val="32"/>
        </w:rPr>
      </w:pPr>
      <w:r>
        <w:rPr>
          <w:rFonts w:ascii="Times New Roman" w:hAnsi="Times New Roman" w:eastAsia="黑体"/>
          <w:sz w:val="32"/>
          <w:szCs w:val="32"/>
        </w:rPr>
        <w:t>四、特殊病例评议结果运用</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经办机构根据专家评议结果，经审核后符合规定的特殊病例重新核定分值，不再纳入费用偏差病例计算，如有涉及违规的病例按照有关规定处理。专家评议得分率低于60%的，按普通DIP分值支付、可纳入费用偏差病例计算，不再按特殊病例重新核定分值。重新核定分值计算公式如下：</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特殊病例分值=（该病例医疗总费用×特殊病例专家评议得分率）÷基准病种的上年度所有病例平均医疗费用×1000。</w:t>
      </w:r>
    </w:p>
    <w:p>
      <w:pPr>
        <w:keepNext w:val="0"/>
        <w:keepLines w:val="0"/>
        <w:pageBreakBefore w:val="0"/>
        <w:kinsoku/>
        <w:wordWrap/>
        <w:overflowPunct/>
        <w:topLinePunct w:val="0"/>
        <w:autoSpaceDE/>
        <w:autoSpaceDN/>
        <w:bidi w:val="0"/>
        <w:snapToGrid w:val="0"/>
        <w:spacing w:line="600" w:lineRule="exact"/>
        <w:ind w:firstLine="645"/>
        <w:jc w:val="left"/>
        <w:textAlignment w:val="auto"/>
        <w:rPr>
          <w:rFonts w:ascii="Times New Roman" w:hAnsi="Times New Roman" w:eastAsia="黑体"/>
          <w:sz w:val="32"/>
          <w:szCs w:val="32"/>
        </w:rPr>
      </w:pPr>
      <w:r>
        <w:rPr>
          <w:rFonts w:ascii="Times New Roman" w:hAnsi="Times New Roman" w:eastAsia="黑体"/>
          <w:sz w:val="32"/>
          <w:szCs w:val="32"/>
        </w:rPr>
        <w:t>五、其他规定</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1.各定点医疗机构要对本单位申请专家评议的病例进行认真审核，保证相关材料符合条件、真实完整。</w:t>
      </w:r>
    </w:p>
    <w:p>
      <w:pPr>
        <w:keepNext w:val="0"/>
        <w:keepLines w:val="0"/>
        <w:pageBreakBefore w:val="0"/>
        <w:kinsoku/>
        <w:wordWrap/>
        <w:overflowPunct/>
        <w:topLinePunct w:val="0"/>
        <w:autoSpaceDE/>
        <w:autoSpaceDN/>
        <w:bidi w:val="0"/>
        <w:snapToGrid w:val="0"/>
        <w:spacing w:line="60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2.实行回避制度，专家及相关人员不能对本单位及合作关系单位的病例进行评议评审工作。各专家在评议评审工作中必须做到客观、公正，不得向他人泄露工作中涉及的相关数据、资料。</w:t>
      </w:r>
    </w:p>
    <w:p>
      <w:pPr>
        <w:snapToGrid w:val="0"/>
        <w:spacing w:line="610" w:lineRule="exact"/>
        <w:ind w:left="420" w:leftChars="200"/>
        <w:rPr>
          <w:rFonts w:ascii="Times New Roman" w:hAnsi="Times New Roman" w:eastAsia="仿宋_GB2312"/>
          <w:sz w:val="32"/>
          <w:szCs w:val="32"/>
        </w:rPr>
      </w:pPr>
    </w:p>
    <w:p>
      <w:pPr>
        <w:rPr>
          <w:rFonts w:ascii="Times New Roman" w:hAnsi="Times New Roman"/>
        </w:rPr>
      </w:pPr>
    </w:p>
    <w:p>
      <w:pPr>
        <w:rPr>
          <w:rFonts w:ascii="Times New Roman" w:hAnsi="Times New Roman"/>
        </w:rPr>
      </w:pPr>
    </w:p>
    <w:p>
      <w:pPr>
        <w:rPr>
          <w:rFonts w:ascii="Times New Roman" w:hAnsi="Times New Roman"/>
        </w:rPr>
      </w:pPr>
      <w:bookmarkStart w:id="0" w:name="_GoBack"/>
      <w:bookmarkEnd w:id="0"/>
    </w:p>
    <w:p>
      <w:pPr>
        <w:rPr>
          <w:rFonts w:ascii="Times New Roman" w:hAnsi="Times New Roman"/>
        </w:rPr>
      </w:pPr>
    </w:p>
    <w:p>
      <w:pPr>
        <w:rPr>
          <w:rFonts w:ascii="Times New Roman" w:hAnsi="Times New Roman"/>
        </w:rPr>
      </w:pPr>
    </w:p>
    <w:p>
      <w:pPr>
        <w:spacing w:line="60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pPr>
    </w:p>
    <w:p>
      <w:pPr>
        <w:spacing w:line="600" w:lineRule="exact"/>
        <w:jc w:val="center"/>
        <w:rPr>
          <w:rFonts w:ascii="Times New Roman" w:hAnsi="Times New Roman" w:eastAsia="黑体"/>
          <w:sz w:val="44"/>
          <w:szCs w:val="44"/>
        </w:rPr>
      </w:pPr>
      <w:r>
        <w:rPr>
          <w:rFonts w:ascii="Times New Roman" w:hAnsi="Times New Roman" w:eastAsia="黑体"/>
          <w:sz w:val="44"/>
          <w:szCs w:val="44"/>
        </w:rPr>
        <w:t>特殊病例专家评议标准</w:t>
      </w:r>
    </w:p>
    <w:p>
      <w:pPr>
        <w:spacing w:line="600" w:lineRule="exact"/>
        <w:rPr>
          <w:rFonts w:ascii="Times New Roman" w:hAnsi="Times New Roman" w:eastAsia="方正小标宋简体"/>
          <w:sz w:val="32"/>
          <w:szCs w:val="32"/>
        </w:rPr>
      </w:pPr>
    </w:p>
    <w:tbl>
      <w:tblPr>
        <w:tblStyle w:val="7"/>
        <w:tblW w:w="9242" w:type="dxa"/>
        <w:tblInd w:w="0" w:type="dxa"/>
        <w:tblLayout w:type="autofit"/>
        <w:tblCellMar>
          <w:top w:w="0" w:type="dxa"/>
          <w:left w:w="108" w:type="dxa"/>
          <w:bottom w:w="0" w:type="dxa"/>
          <w:right w:w="108" w:type="dxa"/>
        </w:tblCellMar>
      </w:tblPr>
      <w:tblGrid>
        <w:gridCol w:w="1304"/>
        <w:gridCol w:w="850"/>
        <w:gridCol w:w="850"/>
        <w:gridCol w:w="850"/>
        <w:gridCol w:w="850"/>
        <w:gridCol w:w="850"/>
        <w:gridCol w:w="852"/>
        <w:gridCol w:w="2836"/>
      </w:tblGrid>
      <w:tr>
        <w:tblPrEx>
          <w:tblCellMar>
            <w:top w:w="0" w:type="dxa"/>
            <w:left w:w="108" w:type="dxa"/>
            <w:bottom w:w="0" w:type="dxa"/>
            <w:right w:w="108" w:type="dxa"/>
          </w:tblCellMar>
        </w:tblPrEx>
        <w:trPr>
          <w:trHeight w:val="567" w:hRule="atLeast"/>
        </w:trPr>
        <w:tc>
          <w:tcPr>
            <w:tcW w:w="1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评议内容</w:t>
            </w:r>
          </w:p>
        </w:tc>
        <w:tc>
          <w:tcPr>
            <w:tcW w:w="510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标准说明</w:t>
            </w:r>
          </w:p>
        </w:tc>
        <w:tc>
          <w:tcPr>
            <w:tcW w:w="28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佐证材料</w:t>
            </w:r>
          </w:p>
        </w:tc>
      </w:tr>
      <w:tr>
        <w:tblPrEx>
          <w:tblCellMar>
            <w:top w:w="0" w:type="dxa"/>
            <w:left w:w="108" w:type="dxa"/>
            <w:bottom w:w="0" w:type="dxa"/>
            <w:right w:w="108" w:type="dxa"/>
          </w:tblCellMar>
        </w:tblPrEx>
        <w:trPr>
          <w:trHeight w:val="850" w:hRule="atLeast"/>
        </w:trPr>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准确合理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轻度偏差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中度偏差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较大偏差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极大偏差</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明显错误</w:t>
            </w: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kern w:val="0"/>
                <w:sz w:val="24"/>
                <w:szCs w:val="24"/>
              </w:rPr>
            </w:pPr>
          </w:p>
        </w:tc>
      </w:tr>
      <w:tr>
        <w:tblPrEx>
          <w:tblCellMar>
            <w:top w:w="0" w:type="dxa"/>
            <w:left w:w="108" w:type="dxa"/>
            <w:bottom w:w="0" w:type="dxa"/>
            <w:right w:w="108" w:type="dxa"/>
          </w:tblCellMar>
        </w:tblPrEx>
        <w:trPr>
          <w:trHeight w:val="567"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诊断准确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3分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1分</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0分</w:t>
            </w:r>
          </w:p>
        </w:tc>
        <w:tc>
          <w:tcPr>
            <w:tcW w:w="28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提供相应病种的诊疗指南（指国家、省级的医保、卫生健康或中医药管理等部门认可的诊疗指南）</w:t>
            </w:r>
          </w:p>
        </w:tc>
      </w:tr>
      <w:tr>
        <w:tblPrEx>
          <w:tblCellMar>
            <w:top w:w="0" w:type="dxa"/>
            <w:left w:w="108" w:type="dxa"/>
            <w:bottom w:w="0" w:type="dxa"/>
            <w:right w:w="108" w:type="dxa"/>
          </w:tblCellMar>
        </w:tblPrEx>
        <w:trPr>
          <w:trHeight w:val="567"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合理检查</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3分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1分</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0分</w:t>
            </w: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4"/>
                <w:szCs w:val="24"/>
              </w:rPr>
            </w:pPr>
          </w:p>
        </w:tc>
      </w:tr>
      <w:tr>
        <w:tblPrEx>
          <w:tblCellMar>
            <w:top w:w="0" w:type="dxa"/>
            <w:left w:w="108" w:type="dxa"/>
            <w:bottom w:w="0" w:type="dxa"/>
            <w:right w:w="108" w:type="dxa"/>
          </w:tblCellMar>
        </w:tblPrEx>
        <w:trPr>
          <w:trHeight w:val="567"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合理用药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3分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1分</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0分</w:t>
            </w: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4"/>
                <w:szCs w:val="24"/>
              </w:rPr>
            </w:pPr>
          </w:p>
        </w:tc>
      </w:tr>
      <w:tr>
        <w:tblPrEx>
          <w:tblCellMar>
            <w:top w:w="0" w:type="dxa"/>
            <w:left w:w="108" w:type="dxa"/>
            <w:bottom w:w="0" w:type="dxa"/>
            <w:right w:w="108" w:type="dxa"/>
          </w:tblCellMar>
        </w:tblPrEx>
        <w:trPr>
          <w:trHeight w:val="567"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合理治疗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3分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1分</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0分</w:t>
            </w: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4"/>
                <w:szCs w:val="24"/>
              </w:rPr>
            </w:pPr>
          </w:p>
        </w:tc>
      </w:tr>
      <w:tr>
        <w:tblPrEx>
          <w:tblCellMar>
            <w:top w:w="0" w:type="dxa"/>
            <w:left w:w="108" w:type="dxa"/>
            <w:bottom w:w="0" w:type="dxa"/>
            <w:right w:w="108" w:type="dxa"/>
          </w:tblCellMar>
        </w:tblPrEx>
        <w:trPr>
          <w:trHeight w:val="567" w:hRule="atLeas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合理收费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5分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3分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1分</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0分</w:t>
            </w: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4"/>
                <w:szCs w:val="24"/>
              </w:rPr>
            </w:pPr>
          </w:p>
        </w:tc>
      </w:tr>
      <w:tr>
        <w:tblPrEx>
          <w:tblCellMar>
            <w:top w:w="0" w:type="dxa"/>
            <w:left w:w="108" w:type="dxa"/>
            <w:bottom w:w="0" w:type="dxa"/>
            <w:right w:w="108" w:type="dxa"/>
          </w:tblCellMar>
        </w:tblPrEx>
        <w:trPr>
          <w:trHeight w:val="1134" w:hRule="atLeast"/>
        </w:trPr>
        <w:tc>
          <w:tcPr>
            <w:tcW w:w="13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运用新医疗技术</w:t>
            </w:r>
          </w:p>
        </w:tc>
        <w:tc>
          <w:tcPr>
            <w:tcW w:w="5102"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国家级奖项加3分，省级奖项加2分</w:t>
            </w:r>
          </w:p>
        </w:tc>
        <w:tc>
          <w:tcPr>
            <w:tcW w:w="28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获得国家、省自然科学奖、技术发明奖、科学技术进步奖等证明材料</w:t>
            </w:r>
          </w:p>
        </w:tc>
      </w:tr>
    </w:tbl>
    <w:p>
      <w:pPr>
        <w:spacing w:line="600" w:lineRule="exact"/>
        <w:rPr>
          <w:rFonts w:ascii="Times New Roman" w:hAnsi="Times New Roman"/>
          <w:sz w:val="24"/>
          <w:szCs w:val="24"/>
        </w:rPr>
      </w:pPr>
      <w:r>
        <w:rPr>
          <w:rFonts w:ascii="Times New Roman" w:hAnsi="Times New Roman"/>
          <w:sz w:val="24"/>
          <w:szCs w:val="24"/>
        </w:rPr>
        <w:t>说明：特殊病例评议总分25分，运用新医疗技术加分后总分不超过25分。</w:t>
      </w:r>
    </w:p>
    <w:p>
      <w:pPr>
        <w:snapToGrid w:val="0"/>
        <w:spacing w:line="610" w:lineRule="exact"/>
        <w:rPr>
          <w:rFonts w:ascii="Times New Roman" w:hAnsi="Times New Roman" w:eastAsia="仿宋_GB2312"/>
          <w:sz w:val="32"/>
          <w:szCs w:val="32"/>
        </w:rPr>
      </w:pPr>
    </w:p>
    <w:p>
      <w:pPr>
        <w:snapToGrid w:val="0"/>
        <w:spacing w:line="610" w:lineRule="exact"/>
        <w:rPr>
          <w:rFonts w:ascii="Times New Roman" w:hAnsi="Times New Roman" w:eastAsia="仿宋_GB2312"/>
          <w:sz w:val="32"/>
          <w:szCs w:val="32"/>
        </w:rPr>
      </w:pPr>
    </w:p>
    <w:p>
      <w:pPr>
        <w:snapToGrid w:val="0"/>
        <w:spacing w:line="610" w:lineRule="exact"/>
        <w:rPr>
          <w:rFonts w:ascii="Times New Roman" w:hAnsi="Times New Roman" w:eastAsia="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  \* MERGEFORMAT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  \* MERGEFORMAT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6F77C"/>
    <w:multiLevelType w:val="singleLevel"/>
    <w:tmpl w:val="9296F77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MTIzNjRmMjViY2ZiZjQ4OTMxZTI3OTMzNDMzYWIifQ=="/>
  </w:docVars>
  <w:rsids>
    <w:rsidRoot w:val="002856FF"/>
    <w:rsid w:val="00076ECA"/>
    <w:rsid w:val="002856FF"/>
    <w:rsid w:val="002D17DE"/>
    <w:rsid w:val="005005F7"/>
    <w:rsid w:val="006C5EE3"/>
    <w:rsid w:val="02D93301"/>
    <w:rsid w:val="12C36725"/>
    <w:rsid w:val="1BEA1C19"/>
    <w:rsid w:val="27E948B1"/>
    <w:rsid w:val="2B961A45"/>
    <w:rsid w:val="343F1AB8"/>
    <w:rsid w:val="51E927FF"/>
    <w:rsid w:val="5A600933"/>
    <w:rsid w:val="636FA051"/>
    <w:rsid w:val="6C13058A"/>
    <w:rsid w:val="6CFF50EF"/>
    <w:rsid w:val="71E32B8C"/>
    <w:rsid w:val="77D672BB"/>
    <w:rsid w:val="7AB87AC7"/>
    <w:rsid w:val="7FBFE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pPr>
    <w:rPr>
      <w:rFonts w:ascii="仿宋_GB2312" w:hAnsi="仿宋_GB2312" w:cs="仿宋_GB2312"/>
      <w:sz w:val="22"/>
      <w:szCs w:val="32"/>
      <w:lang w:eastAsia="en-US"/>
    </w:rPr>
  </w:style>
  <w:style w:type="paragraph" w:styleId="3">
    <w:name w:val="Body Text Indent"/>
    <w:basedOn w:val="1"/>
    <w:qFormat/>
    <w:uiPriority w:val="0"/>
    <w:pPr>
      <w:adjustRightInd w:val="0"/>
      <w:spacing w:line="360" w:lineRule="auto"/>
      <w:ind w:firstLine="490"/>
      <w:jc w:val="lef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1361</Characters>
  <Lines>11</Lines>
  <Paragraphs>3</Paragraphs>
  <TotalTime>57</TotalTime>
  <ScaleCrop>false</ScaleCrop>
  <LinksUpToDate>false</LinksUpToDate>
  <CharactersWithSpaces>1596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2023-11-03T01:14:00Z</dcterms:created>
  <dc:creator>15816</dc:creator>
  <cp:lastModifiedBy>Admin</cp:lastModifiedBy>
  <cp:lastPrinted>2023-11-14T00:58:00Z</cp:lastPrinted>
  <dcterms:modified xsi:type="dcterms:W3CDTF">2023-12-29T11:08:02Z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ADF4D79B30AB4D418C21922159B5B2E1_13</vt:lpwstr>
  </property>
</Properties>
</file>