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utoSpaceDE w:val="0"/>
        <w:autoSpaceDN w:val="0"/>
        <w:spacing w:line="60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topLinePunct/>
        <w:autoSpaceDE w:val="0"/>
        <w:autoSpaceDN w:val="0"/>
        <w:spacing w:line="60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湛江市202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年度农村道路客运补贴资金</w:t>
      </w:r>
    </w:p>
    <w:p>
      <w:pPr>
        <w:topLinePunct/>
        <w:autoSpaceDE w:val="0"/>
        <w:autoSpaceDN w:val="0"/>
        <w:spacing w:line="600" w:lineRule="exact"/>
        <w:jc w:val="center"/>
        <w:rPr>
          <w:rFonts w:ascii="仿宋_GB2312"/>
          <w:szCs w:val="32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（第二批）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分配方案</w:t>
      </w:r>
    </w:p>
    <w:p>
      <w:pPr>
        <w:pStyle w:val="7"/>
        <w:spacing w:line="600" w:lineRule="exact"/>
        <w:ind w:firstLine="640" w:firstLineChars="200"/>
        <w:rPr>
          <w:rFonts w:ascii="仿宋_GB2312" w:hAnsi="仿宋" w:eastAsia="仿宋_GB2312"/>
          <w:sz w:val="32"/>
          <w:szCs w:val="36"/>
        </w:rPr>
      </w:pPr>
      <w:bookmarkStart w:id="0" w:name="Body"/>
      <w:bookmarkEnd w:id="0"/>
    </w:p>
    <w:p>
      <w:pPr>
        <w:pStyle w:val="7"/>
        <w:spacing w:line="600" w:lineRule="exact"/>
        <w:ind w:firstLine="640" w:firstLineChars="200"/>
        <w:rPr>
          <w:rFonts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</w:rPr>
        <w:t>根据《广东省财政厅</w:t>
      </w:r>
      <w:r>
        <w:rPr>
          <w:rFonts w:hint="eastAsia" w:ascii="仿宋_GB2312" w:hAnsi="宋体" w:eastAsia="仿宋_GB2312"/>
          <w:sz w:val="32"/>
          <w:szCs w:val="32"/>
        </w:rPr>
        <w:t>关于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提前</w:t>
      </w:r>
      <w:r>
        <w:rPr>
          <w:rFonts w:hint="eastAsia" w:ascii="仿宋_GB2312" w:hAnsi="宋体" w:eastAsia="仿宋_GB2312"/>
          <w:sz w:val="32"/>
          <w:szCs w:val="32"/>
        </w:rPr>
        <w:t>下达中央202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（清算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2022年度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农村道路客运补贴资金、农村水路客运补贴资金、城市交通发展奖励资金的通知</w:t>
      </w:r>
      <w:r>
        <w:rPr>
          <w:rFonts w:hint="eastAsia" w:ascii="仿宋_GB2312" w:hAnsi="仿宋" w:eastAsia="仿宋_GB2312"/>
          <w:sz w:val="32"/>
          <w:szCs w:val="36"/>
        </w:rPr>
        <w:t>》（</w:t>
      </w:r>
      <w:r>
        <w:rPr>
          <w:rFonts w:hint="eastAsia" w:ascii="仿宋_GB2312" w:hAnsi="宋体" w:eastAsia="仿宋_GB2312"/>
          <w:sz w:val="32"/>
          <w:szCs w:val="32"/>
        </w:rPr>
        <w:t>粤财综〔2022〕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84</w:t>
      </w:r>
      <w:r>
        <w:rPr>
          <w:rFonts w:hint="eastAsia" w:ascii="仿宋_GB2312" w:hAnsi="仿宋" w:eastAsia="仿宋_GB2312"/>
          <w:sz w:val="32"/>
          <w:szCs w:val="36"/>
        </w:rPr>
        <w:t>号，以下简称《通知》），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结合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2022年度农村道路客运实际运营情况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，对预留</w:t>
      </w:r>
      <w:r>
        <w:rPr>
          <w:rFonts w:hint="eastAsia" w:ascii="仿宋_GB2312" w:hAnsi="仿宋" w:eastAsia="仿宋_GB2312"/>
          <w:sz w:val="32"/>
          <w:szCs w:val="36"/>
        </w:rPr>
        <w:t>农村道路客运费改税补贴资金的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30%</w:t>
      </w:r>
      <w:r>
        <w:rPr>
          <w:rFonts w:hint="eastAsia" w:ascii="仿宋_GB2312" w:hAnsi="仿宋" w:eastAsia="仿宋_GB2312"/>
          <w:sz w:val="32"/>
          <w:szCs w:val="36"/>
        </w:rPr>
        <w:t>（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322.1517</w:t>
      </w:r>
      <w:r>
        <w:rPr>
          <w:rFonts w:hint="eastAsia" w:ascii="仿宋_GB2312" w:hAnsi="仿宋" w:eastAsia="仿宋_GB2312"/>
          <w:sz w:val="32"/>
          <w:szCs w:val="36"/>
        </w:rPr>
        <w:t>万元）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和</w:t>
      </w:r>
      <w:r>
        <w:rPr>
          <w:rFonts w:hint="eastAsia" w:ascii="仿宋_GB2312" w:hAnsi="仿宋" w:eastAsia="仿宋_GB2312"/>
          <w:sz w:val="32"/>
          <w:szCs w:val="36"/>
        </w:rPr>
        <w:t>农村道路客运涨价补贴资金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6"/>
        </w:rPr>
        <w:t>311.4552万元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）进行</w:t>
      </w:r>
      <w:r>
        <w:rPr>
          <w:rFonts w:hint="eastAsia" w:ascii="仿宋_GB2312" w:hAnsi="仿宋" w:eastAsia="仿宋_GB2312"/>
          <w:sz w:val="32"/>
          <w:szCs w:val="36"/>
        </w:rPr>
        <w:t>清算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，其中</w:t>
      </w:r>
      <w:r>
        <w:rPr>
          <w:rFonts w:hint="eastAsia" w:ascii="仿宋_GB2312" w:hAnsi="仿宋" w:eastAsia="仿宋_GB2312"/>
          <w:sz w:val="32"/>
          <w:szCs w:val="36"/>
        </w:rPr>
        <w:t>农村道路客运涨价补贴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分配</w:t>
      </w:r>
      <w:r>
        <w:rPr>
          <w:rFonts w:hint="eastAsia" w:ascii="仿宋_GB2312" w:hAnsi="仿宋" w:eastAsia="仿宋_GB2312"/>
          <w:sz w:val="32"/>
          <w:szCs w:val="36"/>
        </w:rPr>
        <w:t>资金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为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268.1975万元，结余43.2577万元待省级部门收回，</w:t>
      </w:r>
      <w:r>
        <w:rPr>
          <w:rFonts w:hint="eastAsia" w:ascii="仿宋_GB2312" w:hAnsi="仿宋" w:eastAsia="仿宋_GB2312"/>
          <w:sz w:val="32"/>
          <w:szCs w:val="36"/>
        </w:rPr>
        <w:t>故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此次分配</w:t>
      </w:r>
      <w:r>
        <w:rPr>
          <w:rFonts w:hint="eastAsia" w:ascii="仿宋_GB2312" w:hAnsi="仿宋" w:eastAsia="仿宋_GB2312"/>
          <w:sz w:val="32"/>
          <w:szCs w:val="36"/>
        </w:rPr>
        <w:t>资金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合计</w:t>
      </w:r>
      <w:r>
        <w:rPr>
          <w:rFonts w:hint="eastAsia" w:ascii="仿宋_GB2312" w:hAnsi="仿宋" w:eastAsia="仿宋_GB2312"/>
          <w:sz w:val="32"/>
          <w:szCs w:val="36"/>
        </w:rPr>
        <w:t>为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590.3492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万</w:t>
      </w:r>
      <w:r>
        <w:rPr>
          <w:rFonts w:hint="eastAsia" w:ascii="仿宋_GB2312" w:hAnsi="仿宋" w:eastAsia="仿宋_GB2312"/>
          <w:sz w:val="32"/>
          <w:szCs w:val="36"/>
        </w:rPr>
        <w:t>元。</w:t>
      </w:r>
    </w:p>
    <w:p>
      <w:pPr>
        <w:pStyle w:val="7"/>
        <w:spacing w:line="600" w:lineRule="exact"/>
        <w:ind w:firstLine="640" w:firstLineChars="200"/>
        <w:rPr>
          <w:rFonts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</w:rPr>
        <w:t>根据上述文件精神，制定湛江市202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6"/>
        </w:rPr>
        <w:t>年度农村道路客运补贴资金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（第二批）</w:t>
      </w:r>
      <w:r>
        <w:rPr>
          <w:rFonts w:hint="eastAsia" w:ascii="仿宋_GB2312" w:hAnsi="仿宋" w:eastAsia="仿宋_GB2312"/>
          <w:sz w:val="32"/>
          <w:szCs w:val="36"/>
        </w:rPr>
        <w:t>分配方案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说明</w:t>
      </w:r>
      <w:r>
        <w:rPr>
          <w:rFonts w:hint="eastAsia" w:ascii="仿宋_GB2312" w:hAnsi="仿宋" w:eastAsia="仿宋_GB2312"/>
          <w:sz w:val="32"/>
          <w:szCs w:val="36"/>
        </w:rPr>
        <w:t>如下：</w:t>
      </w:r>
    </w:p>
    <w:p>
      <w:pPr>
        <w:pStyle w:val="7"/>
        <w:spacing w:line="600" w:lineRule="exact"/>
        <w:ind w:firstLine="640" w:firstLineChars="200"/>
        <w:rPr>
          <w:rFonts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  <w:lang w:eastAsia="zh-CN"/>
        </w:rPr>
        <w:t>一、</w:t>
      </w:r>
      <w:r>
        <w:rPr>
          <w:rFonts w:hint="eastAsia" w:ascii="仿宋_GB2312" w:hAnsi="仿宋" w:eastAsia="仿宋_GB2312"/>
          <w:sz w:val="32"/>
          <w:szCs w:val="36"/>
        </w:rPr>
        <w:t>《通知》中下达的农村道路客运补贴资金适用于202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6"/>
        </w:rPr>
        <w:t>年度农村道路客运车辆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（含镇通村农村客运车辆）</w:t>
      </w:r>
      <w:r>
        <w:rPr>
          <w:rFonts w:hint="eastAsia" w:ascii="仿宋_GB2312" w:hAnsi="仿宋" w:eastAsia="仿宋_GB2312"/>
          <w:sz w:val="32"/>
          <w:szCs w:val="36"/>
        </w:rPr>
        <w:t>的运营补助。</w:t>
      </w:r>
    </w:p>
    <w:p>
      <w:pPr>
        <w:pStyle w:val="7"/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  <w:lang w:eastAsia="zh-CN"/>
        </w:rPr>
        <w:t>二、根据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申报年度内亡人事故情况设置车辆安全系数指标，即：未发生责任死亡事故车辆的安全系数为1；发生1至</w:t>
      </w:r>
      <w:r>
        <w:rPr>
          <w:rFonts w:hint="default" w:ascii="仿宋_GB2312" w:hAnsi="仿宋" w:eastAsia="仿宋_GB2312"/>
          <w:sz w:val="32"/>
          <w:szCs w:val="36"/>
          <w:lang w:val="en-US" w:eastAsia="zh-CN"/>
        </w:rPr>
        <w:t>2人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的责任死亡事故车辆的安全系数为0.5；发生</w:t>
      </w:r>
      <w:r>
        <w:rPr>
          <w:rFonts w:hint="default" w:ascii="仿宋_GB2312" w:hAnsi="仿宋" w:eastAsia="仿宋_GB2312"/>
          <w:sz w:val="32"/>
          <w:szCs w:val="36"/>
          <w:lang w:val="en-US" w:eastAsia="zh-CN"/>
        </w:rPr>
        <w:t>3人及以上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的责任死亡事故车辆的安全系数为0。</w:t>
      </w:r>
    </w:p>
    <w:p>
      <w:pPr>
        <w:pStyle w:val="7"/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6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6"/>
          <w:lang w:eastAsia="zh-CN"/>
        </w:rPr>
        <w:t>三、农村道路客运（含镇通村）运营补助按安全系数、车型系数和实际营运里程计算分配，即按各辖区计算值总数（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∑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安全系数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*车型系数*实际运营里程）所占全市比例进行分配。农村道路客运车型系数：9座以下系数为1，10至19座系数为1.3，20至29座系数为1.5，30座以上系数为2。</w:t>
      </w:r>
    </w:p>
    <w:p>
      <w:pPr>
        <w:pStyle w:val="7"/>
        <w:spacing w:line="600" w:lineRule="exact"/>
        <w:ind w:firstLine="640" w:firstLineChars="200"/>
        <w:rPr>
          <w:rFonts w:hint="default" w:ascii="仿宋_GB2312" w:hAnsi="仿宋" w:eastAsia="仿宋_GB2312"/>
          <w:sz w:val="32"/>
          <w:szCs w:val="36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四、镇通村农村客运车辆按以下系数分配：考核年度内车辆运营里程超过1.8万公里的镇通村农村客运车辆（车辆不分大小）系数为1，考核年度内车辆运营里程不满1.8万公里的镇通村农村客运车辆系数按实际运营里程占1.8万公里比例进行折算。</w:t>
      </w:r>
    </w:p>
    <w:p>
      <w:pPr>
        <w:pStyle w:val="7"/>
        <w:spacing w:line="600" w:lineRule="exact"/>
        <w:ind w:firstLine="640" w:firstLineChars="200"/>
        <w:rPr>
          <w:rFonts w:hint="default" w:ascii="仿宋_GB2312" w:hAnsi="仿宋" w:eastAsia="仿宋_GB2312"/>
          <w:sz w:val="32"/>
          <w:szCs w:val="36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五、省交通运输厅分配</w:t>
      </w:r>
      <w:r>
        <w:rPr>
          <w:rFonts w:hint="eastAsia" w:ascii="仿宋_GB2312" w:hAnsi="仿宋" w:eastAsia="仿宋_GB2312"/>
          <w:sz w:val="32"/>
          <w:szCs w:val="36"/>
        </w:rPr>
        <w:t>农村道路客运涨价补贴资金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时，我市镇通村农村客运车辆数以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36辆在全省切块分配，但我市2022年度实际运营镇通村农村客运车辆数为31辆，故此次分配</w:t>
      </w:r>
      <w:r>
        <w:rPr>
          <w:rFonts w:hint="eastAsia" w:ascii="仿宋_GB2312" w:hAnsi="仿宋" w:eastAsia="仿宋_GB2312"/>
          <w:sz w:val="32"/>
          <w:szCs w:val="36"/>
        </w:rPr>
        <w:t>农村道路客运涨价补贴资金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为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268.1975万元，结余43.2577万元待省级部门收回。</w:t>
      </w:r>
    </w:p>
    <w:p>
      <w:pPr>
        <w:spacing w:line="600" w:lineRule="exact"/>
        <w:ind w:firstLine="640" w:firstLineChars="200"/>
        <w:rPr>
          <w:rFonts w:hint="default" w:ascii="仿宋_GB2312" w:hAnsi="仿宋" w:eastAsia="仿宋_GB2312"/>
          <w:szCs w:val="36"/>
          <w:lang w:val="en-US" w:eastAsia="zh-CN"/>
        </w:rPr>
      </w:pPr>
      <w:r>
        <w:rPr>
          <w:rFonts w:hint="eastAsia" w:ascii="仿宋_GB2312" w:hAnsi="仿宋"/>
          <w:sz w:val="32"/>
          <w:szCs w:val="36"/>
          <w:lang w:eastAsia="zh-CN"/>
        </w:rPr>
        <w:t>六、</w:t>
      </w:r>
      <w:bookmarkStart w:id="1" w:name="_GoBack"/>
      <w:bookmarkEnd w:id="1"/>
      <w:r>
        <w:rPr>
          <w:rFonts w:hint="eastAsia" w:ascii="仿宋_GB2312" w:hAnsi="仿宋"/>
          <w:szCs w:val="36"/>
        </w:rPr>
        <w:t>本方案计算数据</w:t>
      </w:r>
      <w:r>
        <w:rPr>
          <w:rFonts w:hint="eastAsia" w:ascii="仿宋_GB2312" w:hAnsi="仿宋"/>
          <w:szCs w:val="36"/>
          <w:lang w:eastAsia="zh-CN"/>
        </w:rPr>
        <w:t>为由运输企业申报提交，</w:t>
      </w:r>
      <w:r>
        <w:rPr>
          <w:rFonts w:hint="eastAsia" w:ascii="仿宋_GB2312" w:hAnsi="宋体" w:eastAsia="仿宋_GB2312"/>
          <w:szCs w:val="32"/>
          <w:lang w:val="en-US" w:eastAsia="zh-CN"/>
        </w:rPr>
        <w:t>经各县（市）交通运输</w:t>
      </w:r>
      <w:r>
        <w:rPr>
          <w:rFonts w:hint="eastAsia" w:ascii="仿宋_GB2312" w:hAnsi="宋体"/>
          <w:szCs w:val="32"/>
          <w:lang w:val="en-US" w:eastAsia="zh-CN"/>
        </w:rPr>
        <w:t>局</w:t>
      </w:r>
      <w:r>
        <w:rPr>
          <w:rFonts w:hint="eastAsia" w:ascii="仿宋_GB2312" w:hAnsi="宋体" w:eastAsia="仿宋_GB2312"/>
          <w:szCs w:val="32"/>
          <w:lang w:val="en-US" w:eastAsia="zh-CN"/>
        </w:rPr>
        <w:t>核准后上报的数据。</w:t>
      </w:r>
      <w:r>
        <w:rPr>
          <w:rFonts w:hint="eastAsia" w:ascii="仿宋_GB2312" w:hAnsi="宋体"/>
          <w:szCs w:val="32"/>
          <w:lang w:val="en-US" w:eastAsia="zh-CN"/>
        </w:rPr>
        <w:t>上报数据中，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农村道路客运年运营里程小于</w:t>
      </w:r>
      <w:r>
        <w:rPr>
          <w:rFonts w:hint="eastAsia" w:ascii="仿宋_GB2312" w:hAnsi="仿宋"/>
          <w:sz w:val="32"/>
          <w:szCs w:val="36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00公里的车辆</w:t>
      </w:r>
      <w:r>
        <w:rPr>
          <w:rFonts w:hint="eastAsia" w:ascii="仿宋_GB2312" w:hAnsi="仿宋"/>
          <w:sz w:val="32"/>
          <w:szCs w:val="36"/>
          <w:lang w:val="en-US" w:eastAsia="zh-CN"/>
        </w:rPr>
        <w:t>、不按农村线路行驶的车辆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不在补助范围内</w:t>
      </w:r>
      <w:r>
        <w:rPr>
          <w:rFonts w:hint="eastAsia" w:ascii="仿宋_GB2312" w:hAnsi="仿宋"/>
          <w:sz w:val="32"/>
          <w:szCs w:val="36"/>
          <w:lang w:val="en-US" w:eastAsia="zh-CN"/>
        </w:rPr>
        <w:t>，故实际补助车辆数为685辆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。</w:t>
      </w:r>
    </w:p>
    <w:p>
      <w:pPr>
        <w:pStyle w:val="7"/>
        <w:spacing w:line="600" w:lineRule="exact"/>
        <w:ind w:left="1920" w:leftChars="200" w:hanging="1280" w:hangingChars="400"/>
        <w:rPr>
          <w:rFonts w:hint="eastAsia" w:ascii="仿宋_GB2312" w:hAnsi="仿宋" w:eastAsia="仿宋_GB2312"/>
          <w:sz w:val="32"/>
          <w:szCs w:val="36"/>
        </w:rPr>
      </w:pPr>
    </w:p>
    <w:p>
      <w:pPr>
        <w:pStyle w:val="7"/>
        <w:spacing w:line="600" w:lineRule="exact"/>
        <w:ind w:left="1920" w:leftChars="200" w:hanging="1280" w:hangingChars="400"/>
        <w:rPr>
          <w:rFonts w:hint="eastAsia"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</w:rPr>
        <w:t>附表：1.湛江市202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6"/>
        </w:rPr>
        <w:t>年度农村道路客运费改税补贴资金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（第二批）</w:t>
      </w:r>
      <w:r>
        <w:rPr>
          <w:rFonts w:hint="eastAsia" w:ascii="仿宋_GB2312" w:hAnsi="仿宋" w:eastAsia="仿宋_GB2312"/>
          <w:sz w:val="32"/>
          <w:szCs w:val="36"/>
        </w:rPr>
        <w:t>分配表</w:t>
      </w:r>
    </w:p>
    <w:p>
      <w:pPr>
        <w:pStyle w:val="7"/>
        <w:spacing w:line="600" w:lineRule="exact"/>
        <w:ind w:left="1920" w:leftChars="500" w:hanging="320" w:hangingChars="100"/>
        <w:rPr>
          <w:rFonts w:hint="eastAsia" w:ascii="仿宋_GB2312" w:hAnsi="仿宋" w:eastAsia="仿宋_GB2312"/>
          <w:sz w:val="32"/>
          <w:szCs w:val="36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2.湛江市2022年度</w:t>
      </w:r>
      <w:r>
        <w:rPr>
          <w:rFonts w:hint="eastAsia" w:ascii="仿宋_GB2312" w:hAnsi="仿宋" w:eastAsia="仿宋_GB2312"/>
          <w:sz w:val="32"/>
          <w:szCs w:val="36"/>
        </w:rPr>
        <w:t>农村道路客运涨价补贴资金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分配表</w:t>
      </w:r>
    </w:p>
    <w:p>
      <w:pPr>
        <w:widowControl/>
        <w:rPr>
          <w:rFonts w:ascii="宋体" w:hAnsi="宋体" w:eastAsia="宋体" w:cs="Tahoma"/>
          <w:b/>
          <w:color w:val="000000"/>
          <w:spacing w:val="-20"/>
          <w:szCs w:val="32"/>
        </w:rPr>
      </w:pPr>
      <w:r>
        <w:rPr>
          <w:rFonts w:ascii="宋体" w:hAnsi="宋体" w:cs="Tahoma"/>
          <w:b/>
          <w:color w:val="000000"/>
          <w:spacing w:val="-20"/>
          <w:szCs w:val="32"/>
        </w:rPr>
        <w:br w:type="page"/>
      </w:r>
    </w:p>
    <w:p>
      <w:pPr>
        <w:pStyle w:val="7"/>
        <w:wordWrap w:val="0"/>
        <w:spacing w:line="560" w:lineRule="exact"/>
        <w:ind w:right="800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cs="Tahoma"/>
          <w:b/>
          <w:color w:val="000000"/>
          <w:spacing w:val="-20"/>
          <w:sz w:val="32"/>
          <w:szCs w:val="32"/>
        </w:rPr>
        <w:t>附表1</w:t>
      </w:r>
    </w:p>
    <w:p>
      <w:pPr>
        <w:spacing w:line="560" w:lineRule="exact"/>
        <w:ind w:firstLine="320" w:firstLineChars="100"/>
        <w:jc w:val="center"/>
        <w:rPr>
          <w:rFonts w:hint="eastAsia" w:asciiTheme="minorEastAsia" w:hAnsiTheme="minorEastAsia" w:eastAsiaTheme="minorEastAsia" w:cstheme="minorEastAsia"/>
          <w:szCs w:val="36"/>
        </w:rPr>
      </w:pPr>
      <w:r>
        <w:rPr>
          <w:rFonts w:hint="eastAsia" w:asciiTheme="minorEastAsia" w:hAnsiTheme="minorEastAsia" w:eastAsiaTheme="minorEastAsia" w:cstheme="minorEastAsia"/>
          <w:szCs w:val="36"/>
        </w:rPr>
        <w:t>湛江市202</w:t>
      </w:r>
      <w:r>
        <w:rPr>
          <w:rFonts w:hint="eastAsia" w:asciiTheme="minorEastAsia" w:hAnsiTheme="minorEastAsia" w:eastAsiaTheme="minorEastAsia" w:cstheme="minorEastAsia"/>
          <w:szCs w:val="36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Cs w:val="36"/>
        </w:rPr>
        <w:t>年度农村道路客运费改税补贴资金</w:t>
      </w:r>
      <w:r>
        <w:rPr>
          <w:rFonts w:hint="eastAsia" w:asciiTheme="minorEastAsia" w:hAnsiTheme="minorEastAsia" w:eastAsiaTheme="minorEastAsia" w:cstheme="minorEastAsia"/>
          <w:szCs w:val="36"/>
          <w:lang w:eastAsia="zh-CN"/>
        </w:rPr>
        <w:t>（第二批）</w:t>
      </w:r>
      <w:r>
        <w:rPr>
          <w:rFonts w:hint="eastAsia" w:asciiTheme="minorEastAsia" w:hAnsiTheme="minorEastAsia" w:eastAsiaTheme="minorEastAsia" w:cstheme="minorEastAsia"/>
          <w:szCs w:val="36"/>
        </w:rPr>
        <w:t>分配表</w:t>
      </w:r>
    </w:p>
    <w:p>
      <w:pPr>
        <w:spacing w:line="560" w:lineRule="exact"/>
        <w:ind w:firstLine="220" w:firstLineChars="100"/>
        <w:jc w:val="right"/>
        <w:rPr>
          <w:rFonts w:hint="eastAsia" w:asciiTheme="minorEastAsia" w:hAnsiTheme="minorEastAsia" w:eastAsiaTheme="minorEastAsia" w:cstheme="minorEastAsia"/>
          <w:color w:val="000000"/>
          <w:sz w:val="2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2"/>
        </w:rPr>
        <w:t>制表日期202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2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000000"/>
          <w:sz w:val="22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color w:val="000000"/>
          <w:sz w:val="22"/>
        </w:rPr>
        <w:t>日</w:t>
      </w:r>
    </w:p>
    <w:tbl>
      <w:tblPr>
        <w:tblStyle w:val="4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080"/>
        <w:gridCol w:w="1656"/>
        <w:gridCol w:w="1656"/>
        <w:gridCol w:w="1656"/>
        <w:gridCol w:w="1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修正后计算值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已拨付（元）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应拨付（元）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本次拨付（元）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12933585.2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1614895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2303460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17209008.08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2143996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3064909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16873156.3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2102114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3005095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5588696.86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698253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995342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7690159.98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957642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1369611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60294606.42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7516900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10738417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3221517</w:t>
            </w:r>
          </w:p>
        </w:tc>
      </w:tr>
    </w:tbl>
    <w:p>
      <w:pPr>
        <w:spacing w:line="560" w:lineRule="exact"/>
        <w:ind w:firstLine="320" w:firstLineChars="100"/>
        <w:jc w:val="center"/>
        <w:rPr>
          <w:rFonts w:ascii="仿宋_GB2312" w:hAnsi="仿宋"/>
          <w:szCs w:val="36"/>
        </w:rPr>
      </w:pPr>
    </w:p>
    <w:p>
      <w:pPr>
        <w:spacing w:line="560" w:lineRule="exact"/>
        <w:ind w:firstLine="320" w:firstLineChars="100"/>
        <w:jc w:val="center"/>
        <w:rPr>
          <w:rFonts w:ascii="仿宋_GB2312" w:hAnsi="仿宋"/>
          <w:szCs w:val="36"/>
        </w:rPr>
      </w:pPr>
    </w:p>
    <w:p>
      <w:pPr>
        <w:rPr>
          <w:rFonts w:ascii="宋体" w:hAnsi="宋体" w:cs="Tahoma"/>
          <w:b/>
          <w:color w:val="000000"/>
          <w:spacing w:val="-20"/>
          <w:sz w:val="32"/>
          <w:szCs w:val="32"/>
        </w:rPr>
      </w:pPr>
      <w:r>
        <w:rPr>
          <w:rFonts w:ascii="宋体" w:hAnsi="宋体" w:cs="Tahoma"/>
          <w:b/>
          <w:color w:val="000000"/>
          <w:spacing w:val="-20"/>
          <w:sz w:val="32"/>
          <w:szCs w:val="32"/>
        </w:rPr>
        <w:br w:type="page"/>
      </w:r>
    </w:p>
    <w:p>
      <w:pPr>
        <w:pStyle w:val="7"/>
        <w:wordWrap w:val="0"/>
        <w:spacing w:line="560" w:lineRule="exact"/>
        <w:ind w:right="800"/>
        <w:rPr>
          <w:rFonts w:hint="eastAsia" w:ascii="仿宋_GB2312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cs="Tahoma"/>
          <w:b/>
          <w:color w:val="000000"/>
          <w:spacing w:val="-20"/>
          <w:sz w:val="32"/>
          <w:szCs w:val="32"/>
        </w:rPr>
        <w:t>附表</w:t>
      </w:r>
      <w:r>
        <w:rPr>
          <w:rFonts w:hint="eastAsia" w:ascii="宋体" w:hAnsi="宋体" w:cs="Tahoma"/>
          <w:b/>
          <w:color w:val="000000"/>
          <w:spacing w:val="-20"/>
          <w:sz w:val="32"/>
          <w:szCs w:val="32"/>
          <w:lang w:val="en-US" w:eastAsia="zh-CN"/>
        </w:rPr>
        <w:t>2</w:t>
      </w:r>
    </w:p>
    <w:p>
      <w:pPr>
        <w:spacing w:line="560" w:lineRule="exact"/>
        <w:ind w:firstLine="320" w:firstLineChars="100"/>
        <w:jc w:val="center"/>
        <w:rPr>
          <w:rFonts w:hint="eastAsia" w:asciiTheme="minorEastAsia" w:hAnsiTheme="minorEastAsia" w:eastAsiaTheme="minorEastAsia" w:cstheme="minorEastAsia"/>
          <w:szCs w:val="36"/>
        </w:rPr>
      </w:pPr>
      <w:r>
        <w:rPr>
          <w:rFonts w:hint="eastAsia" w:asciiTheme="minorEastAsia" w:hAnsiTheme="minorEastAsia" w:eastAsiaTheme="minorEastAsia" w:cstheme="minorEastAsia"/>
          <w:szCs w:val="36"/>
        </w:rPr>
        <w:t>湛江市202</w:t>
      </w:r>
      <w:r>
        <w:rPr>
          <w:rFonts w:hint="eastAsia" w:asciiTheme="minorEastAsia" w:hAnsiTheme="minorEastAsia" w:eastAsiaTheme="minorEastAsia" w:cstheme="minorEastAsia"/>
          <w:szCs w:val="36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Cs w:val="36"/>
        </w:rPr>
        <w:t>年度农村道路客运</w:t>
      </w:r>
      <w:r>
        <w:rPr>
          <w:rFonts w:hint="eastAsia" w:asciiTheme="minorEastAsia" w:hAnsiTheme="minorEastAsia" w:eastAsiaTheme="minorEastAsia" w:cstheme="minorEastAsia"/>
          <w:szCs w:val="36"/>
          <w:lang w:eastAsia="zh-CN"/>
        </w:rPr>
        <w:t>涨价</w:t>
      </w:r>
      <w:r>
        <w:rPr>
          <w:rFonts w:hint="eastAsia" w:asciiTheme="minorEastAsia" w:hAnsiTheme="minorEastAsia" w:eastAsiaTheme="minorEastAsia" w:cstheme="minorEastAsia"/>
          <w:szCs w:val="36"/>
        </w:rPr>
        <w:t>补贴资金分配表</w:t>
      </w:r>
    </w:p>
    <w:p>
      <w:pPr>
        <w:spacing w:line="560" w:lineRule="exact"/>
        <w:ind w:firstLine="220" w:firstLineChars="100"/>
        <w:jc w:val="right"/>
        <w:rPr>
          <w:rFonts w:hint="eastAsia" w:asciiTheme="minorEastAsia" w:hAnsiTheme="minorEastAsia" w:eastAsiaTheme="minorEastAsia" w:cstheme="minorEastAsia"/>
          <w:color w:val="000000"/>
          <w:sz w:val="2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2"/>
        </w:rPr>
        <w:t>制表日期202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2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000000"/>
          <w:sz w:val="22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color w:val="000000"/>
          <w:sz w:val="22"/>
        </w:rPr>
        <w:t>日</w:t>
      </w:r>
    </w:p>
    <w:tbl>
      <w:tblPr>
        <w:tblStyle w:val="4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661"/>
        <w:gridCol w:w="2607"/>
        <w:gridCol w:w="2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镇通村车辆数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镇通村车辆计算值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6.87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7.96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19.83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2681975</w:t>
            </w:r>
          </w:p>
        </w:tc>
      </w:tr>
    </w:tbl>
    <w:p>
      <w:pPr>
        <w:widowControl/>
        <w:rPr>
          <w:rFonts w:ascii="宋体" w:hAnsi="宋体" w:cs="Tahoma"/>
          <w:b/>
          <w:color w:val="000000"/>
          <w:spacing w:val="-20"/>
          <w:sz w:val="32"/>
          <w:szCs w:val="32"/>
        </w:rPr>
      </w:pPr>
    </w:p>
    <w:sectPr>
      <w:pgSz w:w="11906" w:h="16838"/>
      <w:pgMar w:top="1440" w:right="1416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768AA"/>
    <w:rsid w:val="0000660F"/>
    <w:rsid w:val="000209C5"/>
    <w:rsid w:val="000236B8"/>
    <w:rsid w:val="00025775"/>
    <w:rsid w:val="000257A5"/>
    <w:rsid w:val="00027C9D"/>
    <w:rsid w:val="000356E0"/>
    <w:rsid w:val="000465DD"/>
    <w:rsid w:val="00051997"/>
    <w:rsid w:val="0007141F"/>
    <w:rsid w:val="000714A8"/>
    <w:rsid w:val="00091A88"/>
    <w:rsid w:val="000A62DD"/>
    <w:rsid w:val="000A6C24"/>
    <w:rsid w:val="000A7546"/>
    <w:rsid w:val="000B1B25"/>
    <w:rsid w:val="000B602B"/>
    <w:rsid w:val="000C45D1"/>
    <w:rsid w:val="000D67C3"/>
    <w:rsid w:val="000E0A1B"/>
    <w:rsid w:val="000E24FD"/>
    <w:rsid w:val="000E68C7"/>
    <w:rsid w:val="000E71C9"/>
    <w:rsid w:val="0010055A"/>
    <w:rsid w:val="0010579D"/>
    <w:rsid w:val="0010759F"/>
    <w:rsid w:val="001118D3"/>
    <w:rsid w:val="0011352A"/>
    <w:rsid w:val="001146F2"/>
    <w:rsid w:val="00114EEE"/>
    <w:rsid w:val="0013223C"/>
    <w:rsid w:val="001413F2"/>
    <w:rsid w:val="00142A89"/>
    <w:rsid w:val="00164526"/>
    <w:rsid w:val="00166E62"/>
    <w:rsid w:val="0017113D"/>
    <w:rsid w:val="00180DE9"/>
    <w:rsid w:val="001940DB"/>
    <w:rsid w:val="00195142"/>
    <w:rsid w:val="001A076B"/>
    <w:rsid w:val="001A6E68"/>
    <w:rsid w:val="001B2E04"/>
    <w:rsid w:val="001C1CD6"/>
    <w:rsid w:val="001C7958"/>
    <w:rsid w:val="001D1675"/>
    <w:rsid w:val="001D182D"/>
    <w:rsid w:val="001D63A4"/>
    <w:rsid w:val="001D7DE9"/>
    <w:rsid w:val="001E0B88"/>
    <w:rsid w:val="001F36B8"/>
    <w:rsid w:val="002054DA"/>
    <w:rsid w:val="00212BA9"/>
    <w:rsid w:val="00213F4A"/>
    <w:rsid w:val="0022394A"/>
    <w:rsid w:val="0022698D"/>
    <w:rsid w:val="00231815"/>
    <w:rsid w:val="00236F0C"/>
    <w:rsid w:val="00242EE7"/>
    <w:rsid w:val="002436A3"/>
    <w:rsid w:val="00243BF0"/>
    <w:rsid w:val="00245C25"/>
    <w:rsid w:val="00247302"/>
    <w:rsid w:val="0024796E"/>
    <w:rsid w:val="0026418F"/>
    <w:rsid w:val="0027001A"/>
    <w:rsid w:val="00282A35"/>
    <w:rsid w:val="00283B30"/>
    <w:rsid w:val="00286AA1"/>
    <w:rsid w:val="002931D7"/>
    <w:rsid w:val="002962E7"/>
    <w:rsid w:val="002A01D8"/>
    <w:rsid w:val="002B007D"/>
    <w:rsid w:val="002B386E"/>
    <w:rsid w:val="002B6BCB"/>
    <w:rsid w:val="002B719F"/>
    <w:rsid w:val="002C1755"/>
    <w:rsid w:val="002C3BBB"/>
    <w:rsid w:val="002C6BB2"/>
    <w:rsid w:val="002D54A3"/>
    <w:rsid w:val="002E2D46"/>
    <w:rsid w:val="002E3FB2"/>
    <w:rsid w:val="002F0294"/>
    <w:rsid w:val="002F406F"/>
    <w:rsid w:val="002F70B1"/>
    <w:rsid w:val="003003B8"/>
    <w:rsid w:val="00303D80"/>
    <w:rsid w:val="00312D11"/>
    <w:rsid w:val="00313DFB"/>
    <w:rsid w:val="00321879"/>
    <w:rsid w:val="00323B43"/>
    <w:rsid w:val="003324C8"/>
    <w:rsid w:val="003552BF"/>
    <w:rsid w:val="0036717F"/>
    <w:rsid w:val="00372B98"/>
    <w:rsid w:val="00376392"/>
    <w:rsid w:val="00377EBA"/>
    <w:rsid w:val="00380B67"/>
    <w:rsid w:val="0039098E"/>
    <w:rsid w:val="00391B2F"/>
    <w:rsid w:val="0039359E"/>
    <w:rsid w:val="003941AF"/>
    <w:rsid w:val="0039495A"/>
    <w:rsid w:val="00397E08"/>
    <w:rsid w:val="003A0261"/>
    <w:rsid w:val="003B300C"/>
    <w:rsid w:val="003C6A6E"/>
    <w:rsid w:val="003D37D8"/>
    <w:rsid w:val="003D64BB"/>
    <w:rsid w:val="003D64C8"/>
    <w:rsid w:val="00401591"/>
    <w:rsid w:val="004067B9"/>
    <w:rsid w:val="00421072"/>
    <w:rsid w:val="0042109B"/>
    <w:rsid w:val="00433E05"/>
    <w:rsid w:val="004358AB"/>
    <w:rsid w:val="00454F26"/>
    <w:rsid w:val="0046027B"/>
    <w:rsid w:val="00460459"/>
    <w:rsid w:val="00461498"/>
    <w:rsid w:val="00464387"/>
    <w:rsid w:val="0046774E"/>
    <w:rsid w:val="00470EF4"/>
    <w:rsid w:val="0047184D"/>
    <w:rsid w:val="00472C91"/>
    <w:rsid w:val="004826F1"/>
    <w:rsid w:val="00486153"/>
    <w:rsid w:val="00493835"/>
    <w:rsid w:val="004A4E5C"/>
    <w:rsid w:val="004B043A"/>
    <w:rsid w:val="004C6B34"/>
    <w:rsid w:val="004D4658"/>
    <w:rsid w:val="004D47E5"/>
    <w:rsid w:val="004F10EA"/>
    <w:rsid w:val="004F634C"/>
    <w:rsid w:val="0050494D"/>
    <w:rsid w:val="00513101"/>
    <w:rsid w:val="00533710"/>
    <w:rsid w:val="00535393"/>
    <w:rsid w:val="0053639C"/>
    <w:rsid w:val="00541132"/>
    <w:rsid w:val="00542781"/>
    <w:rsid w:val="00542996"/>
    <w:rsid w:val="005429FD"/>
    <w:rsid w:val="005430E2"/>
    <w:rsid w:val="005432F2"/>
    <w:rsid w:val="005467CE"/>
    <w:rsid w:val="00547E1B"/>
    <w:rsid w:val="00567551"/>
    <w:rsid w:val="00573CC4"/>
    <w:rsid w:val="00581B94"/>
    <w:rsid w:val="0059252B"/>
    <w:rsid w:val="0059754B"/>
    <w:rsid w:val="005B2F02"/>
    <w:rsid w:val="005B6238"/>
    <w:rsid w:val="005C0BE6"/>
    <w:rsid w:val="005C2CD1"/>
    <w:rsid w:val="005C4CEB"/>
    <w:rsid w:val="005C573E"/>
    <w:rsid w:val="005D127F"/>
    <w:rsid w:val="005D1FA3"/>
    <w:rsid w:val="005D47CF"/>
    <w:rsid w:val="005D7B3C"/>
    <w:rsid w:val="005E02E6"/>
    <w:rsid w:val="005E4099"/>
    <w:rsid w:val="005E755D"/>
    <w:rsid w:val="00600B8F"/>
    <w:rsid w:val="00603085"/>
    <w:rsid w:val="00603B5A"/>
    <w:rsid w:val="0060735F"/>
    <w:rsid w:val="006147AB"/>
    <w:rsid w:val="0062047C"/>
    <w:rsid w:val="00623386"/>
    <w:rsid w:val="00632A5A"/>
    <w:rsid w:val="00643621"/>
    <w:rsid w:val="00643B24"/>
    <w:rsid w:val="00652865"/>
    <w:rsid w:val="00663AF4"/>
    <w:rsid w:val="006919A2"/>
    <w:rsid w:val="0069612A"/>
    <w:rsid w:val="0069773A"/>
    <w:rsid w:val="006A1EB4"/>
    <w:rsid w:val="006A7983"/>
    <w:rsid w:val="006B0253"/>
    <w:rsid w:val="006B5E0A"/>
    <w:rsid w:val="006C06B0"/>
    <w:rsid w:val="006D3897"/>
    <w:rsid w:val="006D54EC"/>
    <w:rsid w:val="006E1E4F"/>
    <w:rsid w:val="006E2AF8"/>
    <w:rsid w:val="006E34DF"/>
    <w:rsid w:val="006F71ED"/>
    <w:rsid w:val="00706471"/>
    <w:rsid w:val="00711FC7"/>
    <w:rsid w:val="00712C99"/>
    <w:rsid w:val="00716417"/>
    <w:rsid w:val="00720DF0"/>
    <w:rsid w:val="007219D3"/>
    <w:rsid w:val="007424C1"/>
    <w:rsid w:val="00752E39"/>
    <w:rsid w:val="007548D1"/>
    <w:rsid w:val="00764A8A"/>
    <w:rsid w:val="00766F46"/>
    <w:rsid w:val="0077039D"/>
    <w:rsid w:val="0077243A"/>
    <w:rsid w:val="0077661A"/>
    <w:rsid w:val="007843F1"/>
    <w:rsid w:val="00796B12"/>
    <w:rsid w:val="00797664"/>
    <w:rsid w:val="007A1B5F"/>
    <w:rsid w:val="007A22C3"/>
    <w:rsid w:val="007B39EB"/>
    <w:rsid w:val="007C05AF"/>
    <w:rsid w:val="007C489A"/>
    <w:rsid w:val="007C73BF"/>
    <w:rsid w:val="007F0533"/>
    <w:rsid w:val="007F1977"/>
    <w:rsid w:val="007F26C1"/>
    <w:rsid w:val="007F5AE9"/>
    <w:rsid w:val="007F621E"/>
    <w:rsid w:val="00800AA4"/>
    <w:rsid w:val="00803F62"/>
    <w:rsid w:val="00811791"/>
    <w:rsid w:val="00813B2A"/>
    <w:rsid w:val="00817416"/>
    <w:rsid w:val="00840838"/>
    <w:rsid w:val="00841042"/>
    <w:rsid w:val="008452D0"/>
    <w:rsid w:val="00850347"/>
    <w:rsid w:val="00850580"/>
    <w:rsid w:val="0085071B"/>
    <w:rsid w:val="00850DC9"/>
    <w:rsid w:val="00857ADE"/>
    <w:rsid w:val="008630FD"/>
    <w:rsid w:val="00865067"/>
    <w:rsid w:val="00871165"/>
    <w:rsid w:val="008739B7"/>
    <w:rsid w:val="00893ED5"/>
    <w:rsid w:val="008A1893"/>
    <w:rsid w:val="008B0CCC"/>
    <w:rsid w:val="008B63B3"/>
    <w:rsid w:val="008B7726"/>
    <w:rsid w:val="008C0E0A"/>
    <w:rsid w:val="008C55E9"/>
    <w:rsid w:val="008D380B"/>
    <w:rsid w:val="008D5244"/>
    <w:rsid w:val="008D588B"/>
    <w:rsid w:val="008D6E32"/>
    <w:rsid w:val="008E39F0"/>
    <w:rsid w:val="008E5935"/>
    <w:rsid w:val="008E5CCF"/>
    <w:rsid w:val="008E72A2"/>
    <w:rsid w:val="008F1842"/>
    <w:rsid w:val="009218CF"/>
    <w:rsid w:val="00924C1A"/>
    <w:rsid w:val="00934D26"/>
    <w:rsid w:val="00941454"/>
    <w:rsid w:val="00941F2A"/>
    <w:rsid w:val="009434F5"/>
    <w:rsid w:val="00944A91"/>
    <w:rsid w:val="00947306"/>
    <w:rsid w:val="00955921"/>
    <w:rsid w:val="00957FE4"/>
    <w:rsid w:val="009660FF"/>
    <w:rsid w:val="00966BFF"/>
    <w:rsid w:val="00967231"/>
    <w:rsid w:val="009768AA"/>
    <w:rsid w:val="00981CDF"/>
    <w:rsid w:val="00981D14"/>
    <w:rsid w:val="009835D4"/>
    <w:rsid w:val="009851EA"/>
    <w:rsid w:val="0098745E"/>
    <w:rsid w:val="00993C9B"/>
    <w:rsid w:val="009A232A"/>
    <w:rsid w:val="009B0FB7"/>
    <w:rsid w:val="009B1507"/>
    <w:rsid w:val="009C0F46"/>
    <w:rsid w:val="009E4611"/>
    <w:rsid w:val="009E784A"/>
    <w:rsid w:val="009F0E8F"/>
    <w:rsid w:val="009F15C1"/>
    <w:rsid w:val="00A01D7A"/>
    <w:rsid w:val="00A168F6"/>
    <w:rsid w:val="00A22B9C"/>
    <w:rsid w:val="00A2421A"/>
    <w:rsid w:val="00A26B9B"/>
    <w:rsid w:val="00A3488E"/>
    <w:rsid w:val="00A42A08"/>
    <w:rsid w:val="00A44218"/>
    <w:rsid w:val="00A5000E"/>
    <w:rsid w:val="00A51B18"/>
    <w:rsid w:val="00A6063B"/>
    <w:rsid w:val="00A624E0"/>
    <w:rsid w:val="00A65150"/>
    <w:rsid w:val="00A8331A"/>
    <w:rsid w:val="00A83F25"/>
    <w:rsid w:val="00A857A7"/>
    <w:rsid w:val="00A94317"/>
    <w:rsid w:val="00AB1DBE"/>
    <w:rsid w:val="00AB2B0A"/>
    <w:rsid w:val="00AB7D7A"/>
    <w:rsid w:val="00AC5312"/>
    <w:rsid w:val="00AC6206"/>
    <w:rsid w:val="00AD23D1"/>
    <w:rsid w:val="00AD597E"/>
    <w:rsid w:val="00AE1D96"/>
    <w:rsid w:val="00AE30BC"/>
    <w:rsid w:val="00AE7E98"/>
    <w:rsid w:val="00AF0D66"/>
    <w:rsid w:val="00B24AA6"/>
    <w:rsid w:val="00B45D96"/>
    <w:rsid w:val="00B53976"/>
    <w:rsid w:val="00B56030"/>
    <w:rsid w:val="00B57229"/>
    <w:rsid w:val="00B6005B"/>
    <w:rsid w:val="00B7192C"/>
    <w:rsid w:val="00B748C5"/>
    <w:rsid w:val="00B75470"/>
    <w:rsid w:val="00B75EFC"/>
    <w:rsid w:val="00B80576"/>
    <w:rsid w:val="00B85B91"/>
    <w:rsid w:val="00BB265E"/>
    <w:rsid w:val="00BC1959"/>
    <w:rsid w:val="00BC69BF"/>
    <w:rsid w:val="00BC73B8"/>
    <w:rsid w:val="00BC7CD5"/>
    <w:rsid w:val="00BE0E7B"/>
    <w:rsid w:val="00BE1AD7"/>
    <w:rsid w:val="00BE49F2"/>
    <w:rsid w:val="00BE5EB6"/>
    <w:rsid w:val="00BE72FE"/>
    <w:rsid w:val="00BF20E2"/>
    <w:rsid w:val="00BF3CA4"/>
    <w:rsid w:val="00C0728A"/>
    <w:rsid w:val="00C10994"/>
    <w:rsid w:val="00C3180B"/>
    <w:rsid w:val="00C33CBD"/>
    <w:rsid w:val="00C366EF"/>
    <w:rsid w:val="00C46A98"/>
    <w:rsid w:val="00C472F0"/>
    <w:rsid w:val="00C51211"/>
    <w:rsid w:val="00C620FB"/>
    <w:rsid w:val="00C62AB4"/>
    <w:rsid w:val="00C76D12"/>
    <w:rsid w:val="00C91012"/>
    <w:rsid w:val="00C930FD"/>
    <w:rsid w:val="00C94154"/>
    <w:rsid w:val="00C94C84"/>
    <w:rsid w:val="00C972D1"/>
    <w:rsid w:val="00C9735B"/>
    <w:rsid w:val="00C9767C"/>
    <w:rsid w:val="00CA04B6"/>
    <w:rsid w:val="00CA26DA"/>
    <w:rsid w:val="00CA555A"/>
    <w:rsid w:val="00CC287A"/>
    <w:rsid w:val="00CC37A6"/>
    <w:rsid w:val="00CD43B4"/>
    <w:rsid w:val="00CD5CEE"/>
    <w:rsid w:val="00CD627F"/>
    <w:rsid w:val="00CE10EC"/>
    <w:rsid w:val="00CE1142"/>
    <w:rsid w:val="00CE1674"/>
    <w:rsid w:val="00D053CF"/>
    <w:rsid w:val="00D06177"/>
    <w:rsid w:val="00D06B4B"/>
    <w:rsid w:val="00D07186"/>
    <w:rsid w:val="00D14F31"/>
    <w:rsid w:val="00D22EAD"/>
    <w:rsid w:val="00D31C7B"/>
    <w:rsid w:val="00D341B1"/>
    <w:rsid w:val="00D415D1"/>
    <w:rsid w:val="00D42210"/>
    <w:rsid w:val="00D44467"/>
    <w:rsid w:val="00D44D51"/>
    <w:rsid w:val="00D60878"/>
    <w:rsid w:val="00D66708"/>
    <w:rsid w:val="00D818AE"/>
    <w:rsid w:val="00D81CC4"/>
    <w:rsid w:val="00D8391B"/>
    <w:rsid w:val="00D95790"/>
    <w:rsid w:val="00D96793"/>
    <w:rsid w:val="00D96CC1"/>
    <w:rsid w:val="00DA3051"/>
    <w:rsid w:val="00DB4C17"/>
    <w:rsid w:val="00DB6B97"/>
    <w:rsid w:val="00DC1370"/>
    <w:rsid w:val="00DD0451"/>
    <w:rsid w:val="00DD3F27"/>
    <w:rsid w:val="00DD661E"/>
    <w:rsid w:val="00DE0659"/>
    <w:rsid w:val="00DF1D92"/>
    <w:rsid w:val="00DF288D"/>
    <w:rsid w:val="00DF2A45"/>
    <w:rsid w:val="00E03F16"/>
    <w:rsid w:val="00E04FA2"/>
    <w:rsid w:val="00E26189"/>
    <w:rsid w:val="00E43C37"/>
    <w:rsid w:val="00E50E0B"/>
    <w:rsid w:val="00E6331E"/>
    <w:rsid w:val="00E640FE"/>
    <w:rsid w:val="00E81019"/>
    <w:rsid w:val="00E87959"/>
    <w:rsid w:val="00EA1E31"/>
    <w:rsid w:val="00EB5813"/>
    <w:rsid w:val="00EC6771"/>
    <w:rsid w:val="00ED55B0"/>
    <w:rsid w:val="00ED745B"/>
    <w:rsid w:val="00ED7D86"/>
    <w:rsid w:val="00EE16FC"/>
    <w:rsid w:val="00F0263A"/>
    <w:rsid w:val="00F045C6"/>
    <w:rsid w:val="00F062B9"/>
    <w:rsid w:val="00F110FE"/>
    <w:rsid w:val="00F13A77"/>
    <w:rsid w:val="00F1614A"/>
    <w:rsid w:val="00F2011F"/>
    <w:rsid w:val="00F313B1"/>
    <w:rsid w:val="00F320FF"/>
    <w:rsid w:val="00F32334"/>
    <w:rsid w:val="00F375D3"/>
    <w:rsid w:val="00F418FB"/>
    <w:rsid w:val="00F42E18"/>
    <w:rsid w:val="00F50F9F"/>
    <w:rsid w:val="00F52CF2"/>
    <w:rsid w:val="00F53FCD"/>
    <w:rsid w:val="00F66252"/>
    <w:rsid w:val="00F717D1"/>
    <w:rsid w:val="00F71E1D"/>
    <w:rsid w:val="00F72374"/>
    <w:rsid w:val="00F802A0"/>
    <w:rsid w:val="00F83B50"/>
    <w:rsid w:val="00F96435"/>
    <w:rsid w:val="00FA0947"/>
    <w:rsid w:val="00FA17EB"/>
    <w:rsid w:val="00FA39FE"/>
    <w:rsid w:val="00FA3ABB"/>
    <w:rsid w:val="00FA4308"/>
    <w:rsid w:val="00FA76BF"/>
    <w:rsid w:val="00FB262B"/>
    <w:rsid w:val="00FB5E63"/>
    <w:rsid w:val="00FB5F0A"/>
    <w:rsid w:val="00FB7683"/>
    <w:rsid w:val="00FC2476"/>
    <w:rsid w:val="00FC41CF"/>
    <w:rsid w:val="00FD3658"/>
    <w:rsid w:val="00FD76BE"/>
    <w:rsid w:val="00FE351E"/>
    <w:rsid w:val="00FF5208"/>
    <w:rsid w:val="1B7D7EB9"/>
    <w:rsid w:val="21DF055B"/>
    <w:rsid w:val="45DE30FF"/>
    <w:rsid w:val="6EFC9E9E"/>
    <w:rsid w:val="6FB98AFC"/>
    <w:rsid w:val="79FBFEC7"/>
    <w:rsid w:val="7CF704FC"/>
    <w:rsid w:val="9E7727FF"/>
    <w:rsid w:val="BE7F4D7D"/>
    <w:rsid w:val="BEFB96FA"/>
    <w:rsid w:val="BEFF838B"/>
    <w:rsid w:val="D9BA14A9"/>
    <w:rsid w:val="DFDE2331"/>
    <w:rsid w:val="F3BF1E95"/>
    <w:rsid w:val="FED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jc w:val="center"/>
    </w:pPr>
    <w:rPr>
      <w:rFonts w:eastAsiaTheme="majorEastAsia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 w:eastAsiaTheme="majorEastAsia"/>
      <w:sz w:val="18"/>
      <w:szCs w:val="18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脚 Char"/>
    <w:basedOn w:val="5"/>
    <w:link w:val="2"/>
    <w:qFormat/>
    <w:uiPriority w:val="99"/>
    <w:rPr>
      <w:rFonts w:ascii="Tahoma" w:hAnsi="Tahoma"/>
      <w:sz w:val="18"/>
      <w:szCs w:val="18"/>
    </w:rPr>
  </w:style>
  <w:style w:type="character" w:customStyle="1" w:styleId="10">
    <w:name w:val="font1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1">
    <w:name w:val="font01"/>
    <w:basedOn w:val="5"/>
    <w:qFormat/>
    <w:uiPriority w:val="0"/>
    <w:rPr>
      <w:rFonts w:hint="eastAsia" w:ascii="方正书宋_GBK" w:hAnsi="方正书宋_GBK" w:eastAsia="方正书宋_GBK" w:cs="方正书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506</Words>
  <Characters>2885</Characters>
  <Lines>24</Lines>
  <Paragraphs>6</Paragraphs>
  <TotalTime>12</TotalTime>
  <ScaleCrop>false</ScaleCrop>
  <LinksUpToDate>false</LinksUpToDate>
  <CharactersWithSpaces>3385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2018-03-10T19:12:00Z</dcterms:created>
  <dc:creator>谭廷仲</dc:creator>
  <cp:lastModifiedBy>田学汉</cp:lastModifiedBy>
  <cp:lastPrinted>2020-01-03T23:21:00Z</cp:lastPrinted>
  <dcterms:modified xsi:type="dcterms:W3CDTF">2023-12-25T14:58:48Z</dcterms:modified>
  <cp:revision>210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