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N/>
        <w:bidi w:val="0"/>
        <w:adjustRightInd w:val="0"/>
        <w:snapToGrid w:val="0"/>
        <w:spacing w:line="540" w:lineRule="exact"/>
        <w:ind w:left="0" w:leftChars="0" w:right="0" w:firstLine="0" w:firstLineChars="0"/>
        <w:jc w:val="center"/>
        <w:textAlignment w:val="baseline"/>
        <w:outlineLvl w:val="9"/>
        <w:rPr>
          <w:rFonts w:ascii="Times New Roman" w:hAnsi="Times New Roman" w:eastAsia="方正小标宋简体" w:cs="Times New Roman"/>
          <w:color w:val="auto"/>
          <w:kern w:val="2"/>
          <w:sz w:val="44"/>
          <w:szCs w:val="44"/>
        </w:rPr>
      </w:pPr>
      <w:r>
        <w:rPr>
          <w:rFonts w:ascii="方正小标宋简体" w:hAnsi="Times New Roman" w:eastAsia="方正小标宋简体" w:cs="Times New Roman"/>
          <w:color w:val="auto"/>
          <w:kern w:val="2"/>
          <w:sz w:val="44"/>
          <w:szCs w:val="44"/>
        </w:rPr>
        <w:t>湛江市养老服务中心章程</w:t>
      </w:r>
    </w:p>
    <w:p>
      <w:pPr>
        <w:keepNext w:val="0"/>
        <w:keepLines w:val="0"/>
        <w:pageBreakBefore w:val="0"/>
        <w:widowControl w:val="0"/>
        <w:kinsoku/>
        <w:wordWrap/>
        <w:overflowPunct/>
        <w:topLinePunct w:val="0"/>
        <w:autoSpaceDN/>
        <w:bidi w:val="0"/>
        <w:adjustRightInd w:val="0"/>
        <w:snapToGrid w:val="0"/>
        <w:spacing w:line="540" w:lineRule="exact"/>
        <w:ind w:leftChars="0" w:right="0" w:firstLine="640" w:firstLineChars="200"/>
        <w:jc w:val="center"/>
        <w:textAlignment w:val="baseline"/>
        <w:outlineLvl w:val="9"/>
        <w:rPr>
          <w:rFonts w:ascii="Times New Roman" w:hAnsi="Times New Roman" w:cs="Times New Roman"/>
          <w:color w:val="auto"/>
          <w:kern w:val="2"/>
          <w:sz w:val="32"/>
          <w:szCs w:val="32"/>
        </w:rPr>
      </w:pPr>
    </w:p>
    <w:p>
      <w:pPr>
        <w:keepNext w:val="0"/>
        <w:keepLines w:val="0"/>
        <w:pageBreakBefore w:val="0"/>
        <w:widowControl w:val="0"/>
        <w:kinsoku/>
        <w:wordWrap/>
        <w:overflowPunct/>
        <w:topLinePunct w:val="0"/>
        <w:autoSpaceDN/>
        <w:bidi w:val="0"/>
        <w:adjustRightInd w:val="0"/>
        <w:snapToGrid w:val="0"/>
        <w:spacing w:line="540" w:lineRule="exact"/>
        <w:ind w:left="0" w:leftChars="0" w:right="0" w:firstLine="0" w:firstLineChars="0"/>
        <w:jc w:val="center"/>
        <w:textAlignment w:val="baseline"/>
        <w:outlineLvl w:val="9"/>
        <w:rPr>
          <w:rFonts w:hint="eastAsia" w:ascii="Times New Roman" w:hAnsi="Times New Roman" w:eastAsia="黑体" w:cs="Times New Roman"/>
          <w:color w:val="auto"/>
          <w:kern w:val="2"/>
          <w:sz w:val="32"/>
          <w:szCs w:val="32"/>
          <w:lang w:val="en-US" w:eastAsia="zh-CN"/>
        </w:rPr>
      </w:pPr>
      <w:r>
        <w:rPr>
          <w:rFonts w:ascii="黑体" w:hAnsi="黑体" w:eastAsia="黑体" w:cs="Times New Roman"/>
          <w:color w:val="auto"/>
          <w:kern w:val="2"/>
          <w:sz w:val="32"/>
          <w:szCs w:val="32"/>
        </w:rPr>
        <w:t>第一章</w:t>
      </w:r>
      <w:r>
        <w:rPr>
          <w:rFonts w:ascii="Times New Roman" w:hAnsi="Times New Roman" w:eastAsia="黑体" w:cs="Times New Roman"/>
          <w:color w:val="auto"/>
          <w:kern w:val="2"/>
          <w:sz w:val="32"/>
          <w:szCs w:val="32"/>
        </w:rPr>
        <w:t xml:space="preserve">  </w:t>
      </w:r>
      <w:r>
        <w:rPr>
          <w:rFonts w:ascii="黑体" w:hAnsi="黑体" w:eastAsia="黑体" w:cs="Times New Roman"/>
          <w:color w:val="auto"/>
          <w:kern w:val="2"/>
          <w:sz w:val="32"/>
          <w:szCs w:val="32"/>
        </w:rPr>
        <w:t>总</w:t>
      </w:r>
      <w:r>
        <w:rPr>
          <w:rFonts w:ascii="Times New Roman" w:hAnsi="Times New Roman" w:eastAsia="黑体" w:cs="Times New Roman"/>
          <w:color w:val="auto"/>
          <w:kern w:val="2"/>
          <w:sz w:val="32"/>
          <w:szCs w:val="32"/>
        </w:rPr>
        <w:t xml:space="preserve">  </w:t>
      </w:r>
      <w:r>
        <w:rPr>
          <w:rFonts w:ascii="黑体" w:hAnsi="黑体" w:eastAsia="黑体" w:cs="Times New Roman"/>
          <w:color w:val="auto"/>
          <w:kern w:val="2"/>
          <w:sz w:val="32"/>
          <w:szCs w:val="32"/>
        </w:rPr>
        <w:t>则</w:t>
      </w:r>
      <w:r>
        <w:rPr>
          <w:rFonts w:hint="eastAsia" w:ascii="黑体" w:hAnsi="黑体" w:eastAsia="黑体" w:cs="Times New Roman"/>
          <w:color w:val="auto"/>
          <w:kern w:val="2"/>
          <w:sz w:val="32"/>
          <w:szCs w:val="32"/>
          <w:lang w:val="en-US" w:eastAsia="zh-CN"/>
        </w:rPr>
        <w:t xml:space="preserve"> </w:t>
      </w:r>
    </w:p>
    <w:p>
      <w:pPr>
        <w:keepNext w:val="0"/>
        <w:keepLines w:val="0"/>
        <w:pageBreakBefore w:val="0"/>
        <w:widowControl w:val="0"/>
        <w:kinsoku/>
        <w:wordWrap/>
        <w:overflowPunct/>
        <w:topLinePunct w:val="0"/>
        <w:autoSpaceDN/>
        <w:bidi w:val="0"/>
        <w:adjustRightInd w:val="0"/>
        <w:snapToGrid w:val="0"/>
        <w:spacing w:line="540" w:lineRule="exact"/>
        <w:ind w:leftChars="0" w:right="0" w:firstLine="640" w:firstLineChars="200"/>
        <w:jc w:val="both"/>
        <w:textAlignment w:val="baseline"/>
        <w:outlineLvl w:val="9"/>
        <w:rPr>
          <w:rFonts w:ascii="Times New Roman" w:hAnsi="Times New Roman" w:eastAsia="黑体" w:cs="Times New Roman"/>
          <w:color w:val="auto"/>
          <w:kern w:val="2"/>
          <w:sz w:val="32"/>
          <w:szCs w:val="32"/>
        </w:rPr>
      </w:pPr>
      <w:r>
        <w:rPr>
          <w:rFonts w:ascii="Times New Roman" w:hAnsi="Times New Roman" w:eastAsia="黑体" w:cs="Times New Roman"/>
          <w:color w:val="auto"/>
          <w:kern w:val="2"/>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第一条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为加强党的全面领导、保障科学民主管理与依法依规运行有机统一，构建运行顺畅、协同高效、充满活力的事业单位现代治理机制。根据《中国共产党机构编制工作条例》《中华人民共和国民法典》《事业单位登记管理暂行条例》及其实施细则、国家有关法律法规及其他有关规定，制定本章程。</w:t>
      </w:r>
    </w:p>
    <w:p>
      <w:pPr>
        <w:keepNext w:val="0"/>
        <w:keepLines w:val="0"/>
        <w:pageBreakBefore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本单位名称是</w:t>
      </w:r>
      <w:r>
        <w:rPr>
          <w:rFonts w:hint="eastAsia" w:ascii="仿宋_GB2312" w:eastAsia="仿宋_GB2312"/>
          <w:color w:val="000000" w:themeColor="text1"/>
          <w:sz w:val="32"/>
          <w:szCs w:val="32"/>
          <w14:textFill>
            <w14:solidFill>
              <w14:schemeClr w14:val="tx1"/>
            </w14:solidFill>
          </w14:textFill>
        </w:rPr>
        <w:t>湛江市养老服务中心。</w:t>
      </w:r>
    </w:p>
    <w:p>
      <w:pPr>
        <w:keepNext w:val="0"/>
        <w:keepLines w:val="0"/>
        <w:pageBreakBefore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hint="eastAsia" w:ascii="仿宋_GB2312" w:eastAsia="仿宋_GB2312"/>
          <w:color w:val="000000" w:themeColor="text1"/>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本单位住所是</w:t>
      </w:r>
      <w:r>
        <w:rPr>
          <w:rFonts w:hint="eastAsia" w:ascii="仿宋_GB2312" w:eastAsia="仿宋_GB2312"/>
          <w:color w:val="000000" w:themeColor="text1"/>
          <w:sz w:val="32"/>
          <w:szCs w:val="32"/>
          <w14:textFill>
            <w14:solidFill>
              <w14:schemeClr w14:val="tx1"/>
            </w14:solidFill>
          </w14:textFill>
        </w:rPr>
        <w:t>湛江市赤坎区农林一路14号。</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ascii="Times New Roman" w:hAnsi="Times New Roman" w:eastAsia="楷体_GB2312" w:cs="Times New Roman"/>
          <w:iCs/>
          <w:color w:val="000000" w:themeColor="text1"/>
          <w:kern w:val="2"/>
          <w:sz w:val="28"/>
          <w:szCs w:val="28"/>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第四</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hAnsi="华文仿宋" w:eastAsia="仿宋_GB2312"/>
          <w:color w:val="000000" w:themeColor="text1"/>
          <w:sz w:val="32"/>
          <w:szCs w:val="32"/>
          <w:shd w:val="clear" w:color="auto" w:fill="FFFFFF"/>
          <w14:textFill>
            <w14:solidFill>
              <w14:schemeClr w14:val="tx1"/>
            </w14:solidFill>
          </w14:textFill>
        </w:rPr>
        <w:t>经费来源为财政补助</w:t>
      </w:r>
      <w:r>
        <w:rPr>
          <w:rFonts w:hint="eastAsia" w:ascii="仿宋_GB2312" w:hAnsi="华文仿宋"/>
          <w:color w:val="000000" w:themeColor="text1"/>
          <w:sz w:val="32"/>
          <w:szCs w:val="32"/>
          <w:shd w:val="clear" w:color="auto" w:fill="FFFFFF"/>
          <w:lang w:val="en-US" w:eastAsia="zh-CN"/>
          <w14:textFill>
            <w14:solidFill>
              <w14:schemeClr w14:val="tx1"/>
            </w14:solidFill>
          </w14:textFill>
        </w:rPr>
        <w:t>一类</w:t>
      </w:r>
      <w:r>
        <w:rPr>
          <w:rFonts w:hint="eastAsia" w:ascii="仿宋_GB2312" w:hAnsi="华文仿宋" w:eastAsia="仿宋_GB2312"/>
          <w:color w:val="000000" w:themeColor="text1"/>
          <w:sz w:val="32"/>
          <w:szCs w:val="32"/>
          <w:shd w:val="clear" w:color="auto" w:fill="FFFFFF"/>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第五条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eastAsia="仿宋_GB2312"/>
          <w:color w:val="000000" w:themeColor="text1"/>
          <w:sz w:val="32"/>
          <w:szCs w:val="32"/>
          <w14:textFill>
            <w14:solidFill>
              <w14:schemeClr w14:val="tx1"/>
            </w14:solidFill>
          </w14:textFill>
        </w:rPr>
        <w:t>开办资金为人民币</w:t>
      </w:r>
      <w:r>
        <w:rPr>
          <w:rFonts w:hint="eastAsia" w:ascii="仿宋_GB2312"/>
          <w:color w:val="000000" w:themeColor="text1"/>
          <w:sz w:val="32"/>
          <w:szCs w:val="32"/>
          <w:lang w:val="en-US" w:eastAsia="zh-CN"/>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w:t>
      </w:r>
    </w:p>
    <w:p>
      <w:pPr>
        <w:keepNext w:val="0"/>
        <w:keepLines w:val="0"/>
        <w:pageBreakBefore w:val="0"/>
        <w:numPr>
          <w:ilvl w:val="0"/>
          <w:numId w:val="0"/>
        </w:numPr>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hint="eastAsia" w:ascii="仿宋_GB2312" w:eastAsia="仿宋_GB2312"/>
          <w:color w:val="000000" w:themeColor="text1"/>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第六条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hAnsi="仿宋_GB2312" w:cs="仿宋_GB2312"/>
          <w:color w:val="000000" w:themeColor="text1"/>
          <w:kern w:val="2"/>
          <w:sz w:val="32"/>
          <w:szCs w:val="32"/>
          <w:lang w:val="en-US" w:eastAsia="zh-CN"/>
          <w14:textFill>
            <w14:solidFill>
              <w14:schemeClr w14:val="tx1"/>
            </w14:solidFill>
          </w14:textFill>
        </w:rPr>
        <w:t>的举办单位</w:t>
      </w:r>
      <w:r>
        <w:rPr>
          <w:rFonts w:hint="eastAsia" w:ascii="仿宋_GB2312" w:eastAsia="仿宋_GB2312"/>
          <w:color w:val="000000" w:themeColor="text1"/>
          <w:sz w:val="32"/>
          <w:szCs w:val="32"/>
          <w14:textFill>
            <w14:solidFill>
              <w14:schemeClr w14:val="tx1"/>
            </w14:solidFill>
          </w14:textFill>
        </w:rPr>
        <w:t>是湛江市民政局。</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hint="eastAsia" w:ascii="仿宋_GB2312" w:eastAsia="仿宋_GB2312"/>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第七条</w:t>
      </w:r>
      <w:r>
        <w:rPr>
          <w:rFonts w:hint="eastAsia" w:ascii="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hAnsi="仿宋_GB2312" w:cs="仿宋_GB2312"/>
          <w:color w:val="000000" w:themeColor="text1"/>
          <w:kern w:val="2"/>
          <w:sz w:val="32"/>
          <w:szCs w:val="32"/>
          <w:lang w:val="en-US" w:eastAsia="zh-CN"/>
          <w14:textFill>
            <w14:solidFill>
              <w14:schemeClr w14:val="tx1"/>
            </w14:solidFill>
          </w14:textFill>
        </w:rPr>
        <w:t>的</w:t>
      </w:r>
      <w:r>
        <w:rPr>
          <w:rFonts w:hint="eastAsia" w:ascii="仿宋_GB2312" w:eastAsia="仿宋_GB2312"/>
          <w:color w:val="000000" w:themeColor="text1"/>
          <w:sz w:val="32"/>
          <w:szCs w:val="32"/>
          <w14:textFill>
            <w14:solidFill>
              <w14:schemeClr w14:val="tx1"/>
            </w14:solidFill>
          </w14:textFill>
        </w:rPr>
        <w:t>业务主管单位是湛江市民政局。</w:t>
      </w:r>
    </w:p>
    <w:p>
      <w:pPr>
        <w:keepNext w:val="0"/>
        <w:keepLines w:val="0"/>
        <w:pageBreakBefore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hint="eastAsia" w:ascii="仿宋_GB2312" w:eastAsia="仿宋_GB2312"/>
          <w:color w:val="000000" w:themeColor="text1"/>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第八</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eastAsia="仿宋_GB2312"/>
          <w:color w:val="000000" w:themeColor="text1"/>
          <w:sz w:val="32"/>
          <w:szCs w:val="32"/>
          <w14:textFill>
            <w14:solidFill>
              <w14:schemeClr w14:val="tx1"/>
            </w14:solidFill>
          </w14:textFill>
        </w:rPr>
        <w:t>的登记管理机关是湛江市事业单位登记管理局。</w:t>
      </w:r>
    </w:p>
    <w:p>
      <w:pPr>
        <w:keepNext w:val="0"/>
        <w:keepLines w:val="0"/>
        <w:pageBreakBefore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hint="eastAsia" w:ascii="仿宋_GB2312" w:eastAsia="仿宋_GB2312"/>
          <w:color w:val="000000" w:themeColor="text1"/>
          <w:spacing w:val="0"/>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第九</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spacing w:val="0"/>
          <w:kern w:val="2"/>
          <w:sz w:val="32"/>
          <w:szCs w:val="32"/>
          <w:lang w:val="en-US" w:eastAsia="zh-CN"/>
          <w14:textFill>
            <w14:solidFill>
              <w14:schemeClr w14:val="tx1"/>
            </w14:solidFill>
          </w14:textFill>
        </w:rPr>
        <w:t>本单位</w:t>
      </w:r>
      <w:r>
        <w:rPr>
          <w:rFonts w:hint="eastAsia" w:ascii="仿宋_GB2312" w:eastAsia="仿宋_GB2312"/>
          <w:color w:val="000000" w:themeColor="text1"/>
          <w:spacing w:val="0"/>
          <w:sz w:val="32"/>
          <w:szCs w:val="32"/>
          <w14:textFill>
            <w14:solidFill>
              <w14:schemeClr w14:val="tx1"/>
            </w14:solidFill>
          </w14:textFill>
        </w:rPr>
        <w:t>的领导体制是</w:t>
      </w:r>
      <w:r>
        <w:rPr>
          <w:rFonts w:hint="eastAsia" w:ascii="仿宋_GB2312"/>
          <w:color w:val="000000" w:themeColor="text1"/>
          <w:spacing w:val="0"/>
          <w:sz w:val="32"/>
          <w:szCs w:val="32"/>
          <w:lang w:eastAsia="zh-CN"/>
          <w14:textFill>
            <w14:solidFill>
              <w14:schemeClr w14:val="tx1"/>
            </w14:solidFill>
          </w14:textFill>
        </w:rPr>
        <w:t>党委领导下的</w:t>
      </w:r>
      <w:r>
        <w:rPr>
          <w:rFonts w:hint="eastAsia" w:ascii="仿宋_GB2312" w:eastAsia="仿宋_GB2312"/>
          <w:color w:val="000000" w:themeColor="text1"/>
          <w:spacing w:val="0"/>
          <w:sz w:val="32"/>
          <w:szCs w:val="32"/>
          <w14:textFill>
            <w14:solidFill>
              <w14:schemeClr w14:val="tx1"/>
            </w14:solidFill>
          </w14:textFill>
        </w:rPr>
        <w:t>行政领导人负责制。</w:t>
      </w:r>
    </w:p>
    <w:p>
      <w:pPr>
        <w:keepNext w:val="0"/>
        <w:keepLines w:val="0"/>
        <w:pageBreakBefore w:val="0"/>
        <w:numPr>
          <w:ilvl w:val="0"/>
          <w:numId w:val="0"/>
        </w:numPr>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hint="eastAsia" w:ascii="仿宋_GB2312" w:eastAsia="仿宋_GB2312"/>
          <w:color w:val="000000" w:themeColor="text1"/>
          <w:sz w:val="32"/>
          <w:szCs w:val="32"/>
          <w:lang w:val="en-US"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eastAsia="仿宋_GB2312"/>
          <w:color w:val="000000" w:themeColor="text1"/>
          <w:sz w:val="32"/>
          <w:szCs w:val="32"/>
          <w14:textFill>
            <w14:solidFill>
              <w14:schemeClr w14:val="tx1"/>
            </w14:solidFill>
          </w14:textFill>
        </w:rPr>
        <w:t>的宗旨协助</w:t>
      </w:r>
      <w:r>
        <w:rPr>
          <w:rFonts w:hint="eastAsia" w:ascii="仿宋_GB2312"/>
          <w:color w:val="000000" w:themeColor="text1"/>
          <w:sz w:val="32"/>
          <w:szCs w:val="32"/>
          <w:lang w:eastAsia="zh-CN"/>
          <w14:textFill>
            <w14:solidFill>
              <w14:schemeClr w14:val="tx1"/>
            </w14:solidFill>
          </w14:textFill>
        </w:rPr>
        <w:t>是</w:t>
      </w:r>
      <w:r>
        <w:rPr>
          <w:rFonts w:hint="eastAsia" w:ascii="仿宋_GB2312" w:eastAsia="仿宋_GB2312"/>
          <w:color w:val="000000" w:themeColor="text1"/>
          <w:sz w:val="32"/>
          <w:szCs w:val="32"/>
          <w14:textFill>
            <w14:solidFill>
              <w14:schemeClr w14:val="tx1"/>
            </w14:solidFill>
          </w14:textFill>
        </w:rPr>
        <w:t>开展市人民政府在市区投资兴办的养老机构的管理服务工作</w:t>
      </w:r>
      <w:r>
        <w:rPr>
          <w:rFonts w:hint="eastAsia" w:ascii="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第十一条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eastAsia="仿宋_GB2312"/>
          <w:color w:val="000000" w:themeColor="text1"/>
          <w:sz w:val="32"/>
          <w:szCs w:val="32"/>
          <w14:textFill>
            <w14:solidFill>
              <w14:schemeClr w14:val="tx1"/>
            </w14:solidFill>
          </w14:textFill>
        </w:rPr>
        <w:t>的业务范围包括协助开展市人民政府在市区投资兴办的养老机构的管理服务工作。</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560" w:firstLineChars="200"/>
        <w:jc w:val="both"/>
        <w:textAlignment w:val="baseline"/>
        <w:outlineLvl w:val="9"/>
        <w:rPr>
          <w:rFonts w:ascii="Times New Roman" w:hAnsi="Times New Roman" w:eastAsia="楷体_GB2312" w:cs="Times New Roman"/>
          <w:iCs/>
          <w:color w:val="000000" w:themeColor="text1"/>
          <w:kern w:val="2"/>
          <w:sz w:val="28"/>
          <w:szCs w:val="28"/>
          <w14:textFill>
            <w14:solidFill>
              <w14:schemeClr w14:val="tx1"/>
            </w14:solidFill>
          </w14:textFill>
        </w:rPr>
      </w:pPr>
      <w:r>
        <w:rPr>
          <w:rFonts w:ascii="Times New Roman" w:hAnsi="Times New Roman" w:eastAsia="楷体_GB2312" w:cs="Times New Roman"/>
          <w:iCs/>
          <w:color w:val="000000" w:themeColor="text1"/>
          <w:kern w:val="2"/>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96"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党的建设</w:t>
      </w:r>
    </w:p>
    <w:p>
      <w:pPr>
        <w:keepNext w:val="0"/>
        <w:keepLines w:val="0"/>
        <w:pageBreakBefore w:val="0"/>
        <w:widowControl w:val="0"/>
        <w:kinsoku/>
        <w:wordWrap/>
        <w:overflowPunct/>
        <w:topLinePunct w:val="0"/>
        <w:autoSpaceDE/>
        <w:autoSpaceDN/>
        <w:bidi w:val="0"/>
        <w:adjustRightInd w:val="0"/>
        <w:snapToGrid w:val="0"/>
        <w:spacing w:line="396"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hAnsi="仿宋_GB2312" w:eastAsia="仿宋_GB2312" w:cs="仿宋_GB2312"/>
          <w:iCs/>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第十二条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本单位党组织的地位和作用是</w:t>
      </w:r>
      <w:r>
        <w:rPr>
          <w:rFonts w:hint="eastAsia" w:ascii="仿宋_GB2312" w:hAnsi="Times New Roman" w:cs="Times New Roman"/>
          <w:color w:val="000000" w:themeColor="text1"/>
          <w:kern w:val="2"/>
          <w:sz w:val="32"/>
          <w:szCs w:val="32"/>
          <w:lang w:val="en-US" w:eastAsia="zh-CN"/>
          <w14:textFill>
            <w14:solidFill>
              <w14:schemeClr w14:val="tx1"/>
            </w14:solidFill>
          </w14:textFill>
        </w:rPr>
        <w:t>根据《中国共产党章程》</w:t>
      </w:r>
      <w:r>
        <w:rPr>
          <w:rFonts w:hint="eastAsia" w:ascii="仿宋_GB2312"/>
          <w:color w:val="000000" w:themeColor="text1"/>
          <w:sz w:val="32"/>
          <w:szCs w:val="32"/>
          <w:lang w:val="en-US" w:eastAsia="zh-CN"/>
          <w14:textFill>
            <w14:solidFill>
              <w14:schemeClr w14:val="tx1"/>
            </w14:solidFill>
          </w14:textFill>
        </w:rPr>
        <w:t>和其他党内法规的</w:t>
      </w:r>
      <w:r>
        <w:rPr>
          <w:rFonts w:hint="eastAsia" w:ascii="仿宋_GB2312" w:eastAsia="仿宋_GB2312"/>
          <w:color w:val="000000" w:themeColor="text1"/>
          <w:sz w:val="32"/>
          <w:szCs w:val="32"/>
          <w14:textFill>
            <w14:solidFill>
              <w14:schemeClr w14:val="tx1"/>
            </w14:solidFill>
          </w14:textFill>
        </w:rPr>
        <w:t>有关规定，</w:t>
      </w:r>
      <w:r>
        <w:rPr>
          <w:rFonts w:hint="eastAsia" w:ascii="仿宋_GB2312"/>
          <w:color w:val="000000" w:themeColor="text1"/>
          <w:sz w:val="32"/>
          <w:szCs w:val="32"/>
          <w:lang w:val="en-US" w:eastAsia="zh-CN"/>
          <w14:textFill>
            <w14:solidFill>
              <w14:schemeClr w14:val="tx1"/>
            </w14:solidFill>
          </w14:textFill>
        </w:rPr>
        <w:t>设立中共湛江市养老服务中心</w:t>
      </w:r>
      <w:r>
        <w:rPr>
          <w:rFonts w:hint="eastAsia" w:ascii="仿宋_GB2312" w:eastAsia="仿宋_GB2312"/>
          <w:color w:val="000000" w:themeColor="text1"/>
          <w:sz w:val="32"/>
          <w:szCs w:val="32"/>
          <w14:textFill>
            <w14:solidFill>
              <w14:schemeClr w14:val="tx1"/>
            </w14:solidFill>
          </w14:textFill>
        </w:rPr>
        <w:t>党支部，</w:t>
      </w:r>
      <w:r>
        <w:rPr>
          <w:rFonts w:hint="eastAsia" w:ascii="仿宋_GB2312"/>
          <w:color w:val="000000" w:themeColor="text1"/>
          <w:sz w:val="32"/>
          <w:szCs w:val="32"/>
          <w:lang w:val="en-US" w:eastAsia="zh-CN"/>
          <w14:textFill>
            <w14:solidFill>
              <w14:schemeClr w14:val="tx1"/>
            </w14:solidFill>
          </w14:textFill>
        </w:rPr>
        <w:t>由市民政局党委统一领导，接受局机关党委管理，</w:t>
      </w:r>
      <w:r>
        <w:rPr>
          <w:rFonts w:hint="eastAsia" w:ascii="仿宋_GB2312" w:hAnsi="仿宋_GB2312" w:eastAsia="仿宋_GB2312" w:cs="仿宋_GB2312"/>
          <w:color w:val="000000" w:themeColor="text1"/>
          <w:sz w:val="32"/>
          <w:szCs w:val="32"/>
          <w14:textFill>
            <w14:solidFill>
              <w14:schemeClr w14:val="tx1"/>
            </w14:solidFill>
          </w14:textFill>
        </w:rPr>
        <w:t>全面加强党的领导，开展党的活动，</w:t>
      </w:r>
      <w:r>
        <w:rPr>
          <w:rFonts w:hint="eastAsia" w:ascii="仿宋_GB2312" w:hAnsi="仿宋_GB2312" w:cs="仿宋_GB2312"/>
          <w:color w:val="000000" w:themeColor="text1"/>
          <w:sz w:val="32"/>
          <w:szCs w:val="32"/>
          <w:lang w:val="en-US" w:eastAsia="zh-CN"/>
          <w14:textFill>
            <w14:solidFill>
              <w14:schemeClr w14:val="tx1"/>
            </w14:solidFill>
          </w14:textFill>
        </w:rPr>
        <w:t>按照参与决策、推动发展、监督保障的要求，推动湛江养老事业发展</w:t>
      </w:r>
      <w:r>
        <w:rPr>
          <w:rFonts w:hint="eastAsia" w:ascii="仿宋_GB2312" w:hAnsi="仿宋_GB2312" w:eastAsia="仿宋_GB2312" w:cs="仿宋_GB2312"/>
          <w:iCs/>
          <w:color w:val="000000" w:themeColor="text1"/>
          <w:kern w:val="2"/>
          <w:sz w:val="32"/>
          <w:szCs w:val="32"/>
          <w14:textFill>
            <w14:solidFill>
              <w14:schemeClr w14:val="tx1"/>
            </w14:solidFill>
          </w14:textFill>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本单位党组织发挥作用的方式、途径和程序</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（一）中共湛江市养老服务中心</w:t>
      </w:r>
      <w:r>
        <w:rPr>
          <w:rFonts w:hint="eastAsia" w:ascii="仿宋_GB2312" w:eastAsia="仿宋_GB2312"/>
          <w:color w:val="000000" w:themeColor="text1"/>
          <w:sz w:val="32"/>
          <w:szCs w:val="32"/>
          <w14:textFill>
            <w14:solidFill>
              <w14:schemeClr w14:val="tx1"/>
            </w14:solidFill>
          </w14:textFill>
        </w:rPr>
        <w:t>党支部</w:t>
      </w:r>
      <w:r>
        <w:rPr>
          <w:rFonts w:hint="eastAsia" w:ascii="仿宋_GB2312"/>
          <w:color w:val="000000" w:themeColor="text1"/>
          <w:sz w:val="32"/>
          <w:szCs w:val="32"/>
          <w:lang w:val="en-US" w:eastAsia="zh-CN"/>
          <w14:textFill>
            <w14:solidFill>
              <w14:schemeClr w14:val="tx1"/>
            </w14:solidFill>
          </w14:textFill>
        </w:rPr>
        <w:t>发挥战斗堡垒作用，紧密围绕党的基本路线，会同湛江市养老服务中心领导班子共同做好本单位工作，</w:t>
      </w:r>
      <w:r>
        <w:rPr>
          <w:rFonts w:hint="eastAsia" w:ascii="仿宋_GB2312" w:hAnsi="仿宋_GB2312" w:eastAsia="仿宋_GB2312" w:cs="仿宋_GB2312"/>
          <w:iCs/>
          <w:color w:val="000000" w:themeColor="text1"/>
          <w:kern w:val="2"/>
          <w:sz w:val="32"/>
          <w:szCs w:val="32"/>
          <w14:textFill>
            <w14:solidFill>
              <w14:schemeClr w14:val="tx1"/>
            </w14:solidFill>
          </w14:textFill>
        </w:rPr>
        <w:t>充分发挥</w:t>
      </w:r>
      <w:r>
        <w:rPr>
          <w:rFonts w:hint="eastAsia" w:ascii="仿宋_GB2312" w:hAnsi="仿宋_GB2312" w:cs="仿宋_GB2312"/>
          <w:iCs/>
          <w:color w:val="000000" w:themeColor="text1"/>
          <w:kern w:val="2"/>
          <w:sz w:val="32"/>
          <w:szCs w:val="32"/>
          <w:lang w:val="en-US" w:eastAsia="zh-CN"/>
          <w14:textFill>
            <w14:solidFill>
              <w14:schemeClr w14:val="tx1"/>
            </w14:solidFill>
          </w14:textFill>
        </w:rPr>
        <w:t>党的思想</w:t>
      </w:r>
      <w:r>
        <w:rPr>
          <w:rFonts w:hint="eastAsia" w:ascii="仿宋_GB2312" w:hAnsi="仿宋_GB2312" w:eastAsia="仿宋_GB2312" w:cs="仿宋_GB2312"/>
          <w:iCs/>
          <w:color w:val="000000" w:themeColor="text1"/>
          <w:kern w:val="2"/>
          <w:sz w:val="32"/>
          <w:szCs w:val="32"/>
          <w14:textFill>
            <w14:solidFill>
              <w14:schemeClr w14:val="tx1"/>
            </w14:solidFill>
          </w14:textFill>
        </w:rPr>
        <w:t>政治优势、组织优势</w:t>
      </w:r>
      <w:r>
        <w:rPr>
          <w:rFonts w:hint="eastAsia" w:ascii="仿宋_GB2312" w:hAnsi="仿宋_GB2312" w:cs="仿宋_GB2312"/>
          <w:iCs/>
          <w:color w:val="000000" w:themeColor="text1"/>
          <w:kern w:val="2"/>
          <w:sz w:val="32"/>
          <w:szCs w:val="32"/>
          <w:lang w:val="en-US" w:eastAsia="zh-CN"/>
          <w14:textFill>
            <w14:solidFill>
              <w14:schemeClr w14:val="tx1"/>
            </w14:solidFill>
          </w14:textFill>
        </w:rPr>
        <w:t>和密切联系群众的优势，</w:t>
      </w:r>
      <w:r>
        <w:rPr>
          <w:rFonts w:hint="eastAsia" w:ascii="仿宋_GB2312"/>
          <w:color w:val="000000" w:themeColor="text1"/>
          <w:sz w:val="32"/>
          <w:szCs w:val="32"/>
          <w:lang w:val="en-US" w:eastAsia="zh-CN"/>
          <w14:textFill>
            <w14:solidFill>
              <w14:schemeClr w14:val="tx1"/>
            </w14:solidFill>
          </w14:textFill>
        </w:rPr>
        <w:t>把服务中心、建设队伍贯穿始终，促进本单位各项工作任务的完成。坚持党要管党、从严治党原则，充分发挥党支部政治引领作用；</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（二）将党建工作与本单位业务工作同步融合推进，做到同谋划、同部署、同考核，使思想同心、目标同向、工作同力；</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（三）组织党员和支委进行学习培训；</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（四）召开组织生活会，落实“三会一课”制度；</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仿宋_GB2312"/>
          <w:color w:val="000000" w:themeColor="text1"/>
          <w:sz w:val="32"/>
          <w:szCs w:val="32"/>
          <w:lang w:val="en-US" w:eastAsia="zh-CN"/>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（五）坚持党要管党、从严治党，加强党员教育、管理、监督，发挥党支部的协助和监督作用，落实党风廉政建设和作风纪律相关规定要求；</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SA"/>
          <w14:textFill>
            <w14:solidFill>
              <w14:schemeClr w14:val="tx1"/>
            </w14:solidFill>
          </w14:textFill>
        </w:rPr>
      </w:pPr>
      <w:r>
        <w:rPr>
          <w:rFonts w:hint="eastAsia" w:ascii="仿宋_GB2312"/>
          <w:color w:val="000000" w:themeColor="text1"/>
          <w:sz w:val="32"/>
          <w:szCs w:val="32"/>
          <w:lang w:val="en-US" w:eastAsia="zh-CN"/>
          <w14:textFill>
            <w14:solidFill>
              <w14:schemeClr w14:val="tx1"/>
            </w14:solidFill>
          </w14:textFill>
        </w:rPr>
        <w:t>（六）其他法律法规规定的途径和方式。</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第十四条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ascii="仿宋_GB2312" w:hAnsi="Times New Roman" w:cs="Times New Roman"/>
          <w:color w:val="000000" w:themeColor="text1"/>
          <w:kern w:val="2"/>
          <w:sz w:val="32"/>
          <w:szCs w:val="32"/>
          <w14:textFill>
            <w14:solidFill>
              <w14:schemeClr w14:val="tx1"/>
            </w14:solidFill>
          </w14:textFill>
        </w:rPr>
        <w:t>通过以下方式保证党的全面领导</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default"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 </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一</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党支部认真贯彻党的路线方针政策，紧密围绕本单位工作，全面推进党的政治建设、思想建设、组织建设、作风建设、纪律建设，把制度建设贯彻其中，深入推进反腐败斗争，不断提高党的建设质量，发扬党内民主，加强党内监督，保证监督改革发展正确方向，参与重要决策，服务人才成长，促进湛江养老事业发展。</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（二）建立健全党支部议事决策、共同参与和督促改革发展等制度机制，保证党支部切实有效发挥作用，按规定实施党务公开。</w:t>
      </w:r>
    </w:p>
    <w:p>
      <w:pPr>
        <w:pStyle w:val="2"/>
        <w:keepNext w:val="0"/>
        <w:keepLines w:val="0"/>
        <w:pageBreakBefore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（三）党员大会是党支部的议事决策机构。党员大会讨论事项的相关进展情况以适当方式在党支部内通报，听取党支部的意见建议，接受党支部的监督。</w:t>
      </w:r>
    </w:p>
    <w:p>
      <w:pPr>
        <w:pStyle w:val="2"/>
        <w:keepNext w:val="0"/>
        <w:keepLines w:val="0"/>
        <w:pageBreakBefore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（四）党支部发现本单位决策及运行中偏离改革发展正确方向的，及时予以制止纠正。经制止纠正无效的，党支部及时向上级党组织报告。</w:t>
      </w:r>
    </w:p>
    <w:p>
      <w:pPr>
        <w:pStyle w:val="2"/>
        <w:keepNext w:val="0"/>
        <w:keepLines w:val="0"/>
        <w:pageBreakBefore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hint="default"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五）党支部实行集体领导和个人分工负责相结合的制度。设书记1名，主持党支部全面工作，是党支部工作第一责任人。党政领导班子其他成员严格落实“一岗双责”，党支部领导职数严格按照党章和其他党内法规的有关规定执行。本单位配备兼职党务工作人员，保障党支部工作经费，为党支部活动提供必要的条件。</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举办单位</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b w:val="0"/>
          <w:bCs w:val="0"/>
          <w:color w:val="000000" w:themeColor="text1"/>
          <w:kern w:val="2"/>
          <w:sz w:val="32"/>
          <w:szCs w:val="32"/>
          <w14:textFill>
            <w14:solidFill>
              <w14:schemeClr w14:val="tx1"/>
            </w14:solidFill>
          </w14:textFill>
        </w:rPr>
      </w:pPr>
      <w:r>
        <w:rPr>
          <w:rFonts w:ascii="Times New Roman" w:hAnsi="Times New Roman" w:eastAsia="黑体" w:cs="Times New Roman"/>
          <w:b w:val="0"/>
          <w:bCs w:val="0"/>
          <w:color w:val="000000" w:themeColor="text1"/>
          <w:kern w:val="2"/>
          <w:sz w:val="32"/>
          <w:szCs w:val="32"/>
          <w14:textFill>
            <w14:solidFill>
              <w14:schemeClr w14:val="tx1"/>
            </w14:solidFill>
          </w14:textFill>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eastAsia="zh-CN"/>
          <w14:textFill>
            <w14:solidFill>
              <w14:schemeClr w14:val="tx1"/>
            </w14:solidFill>
          </w14:textFill>
        </w:rPr>
      </w:pPr>
      <w:r>
        <w:rPr>
          <w:rFonts w:hint="eastAsia" w:ascii="黑体" w:hAnsi="黑体" w:eastAsia="黑体" w:cs="黑体"/>
          <w:b w:val="0"/>
          <w:bCs w:val="0"/>
          <w:color w:val="000000" w:themeColor="text1"/>
          <w:kern w:val="2"/>
          <w:sz w:val="32"/>
          <w:szCs w:val="32"/>
          <w:lang w:val="en-US" w:eastAsia="zh-CN"/>
          <w14:textFill>
            <w14:solidFill>
              <w14:schemeClr w14:val="tx1"/>
            </w14:solidFill>
          </w14:textFill>
        </w:rPr>
        <w:t>第十五条</w:t>
      </w:r>
      <w:r>
        <w:rPr>
          <w:rFonts w:ascii="Times New Roman" w:hAnsi="Times New Roman" w:cs="Times New Roman"/>
          <w:b w:val="0"/>
          <w:bCs w:val="0"/>
          <w:color w:val="000000" w:themeColor="text1"/>
          <w:kern w:val="2"/>
          <w:sz w:val="32"/>
          <w:szCs w:val="32"/>
          <w14:textFill>
            <w14:solidFill>
              <w14:schemeClr w14:val="tx1"/>
            </w14:solidFill>
          </w14:textFill>
        </w:rPr>
        <w:t xml:space="preserve"> </w:t>
      </w:r>
      <w:r>
        <w:rPr>
          <w:rFonts w:hint="eastAsia" w:ascii="Times New Roman" w:hAnsi="Times New Roman" w:cs="Times New Roman"/>
          <w:b w:val="0"/>
          <w:bCs w:val="0"/>
          <w:color w:val="000000" w:themeColor="text1"/>
          <w:kern w:val="2"/>
          <w:sz w:val="32"/>
          <w:szCs w:val="32"/>
          <w:lang w:val="en-US" w:eastAsia="zh-CN"/>
          <w14:textFill>
            <w14:solidFill>
              <w14:schemeClr w14:val="tx1"/>
            </w14:solidFill>
          </w14:textFill>
        </w:rPr>
        <w:t>湛江</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市民政局</w:t>
      </w:r>
      <w:r>
        <w:rPr>
          <w:rFonts w:ascii="仿宋_GB2312" w:hAnsi="Times New Roman" w:cs="Times New Roman"/>
          <w:color w:val="000000" w:themeColor="text1"/>
          <w:kern w:val="2"/>
          <w:sz w:val="32"/>
          <w:szCs w:val="32"/>
          <w14:textFill>
            <w14:solidFill>
              <w14:schemeClr w14:val="tx1"/>
            </w14:solidFill>
          </w14:textFill>
        </w:rPr>
        <w:t>对</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ascii="仿宋_GB2312" w:hAnsi="Times New Roman" w:cs="Times New Roman"/>
          <w:color w:val="000000" w:themeColor="text1"/>
          <w:kern w:val="2"/>
          <w:sz w:val="32"/>
          <w:szCs w:val="32"/>
          <w14:textFill>
            <w14:solidFill>
              <w14:schemeClr w14:val="tx1"/>
            </w14:solidFill>
          </w14:textFill>
        </w:rPr>
        <w:t>的权利</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default"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一</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提出本单位的机构编制事项；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二</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组建本单位管理层；</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（三）任免本单位的行政负责人及其他主要管理人员；</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（四）批准管理层工作报告；</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（五）监督本单位运行；</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（六）组织指导本单位制定章程草案（修订案），负责审核本单位章程草案及修订案；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仿宋_GB2312" w:hAnsi="仿宋_GB2312" w:cs="仿宋_GB2312"/>
          <w:iCs/>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（七）本单位</w:t>
      </w:r>
      <w:r>
        <w:rPr>
          <w:rFonts w:hint="eastAsia" w:ascii="仿宋_GB2312" w:hAnsi="仿宋_GB2312" w:eastAsia="仿宋_GB2312" w:cs="仿宋_GB2312"/>
          <w:iCs/>
          <w:color w:val="000000" w:themeColor="text1"/>
          <w:kern w:val="2"/>
          <w:sz w:val="32"/>
          <w:szCs w:val="32"/>
          <w14:textFill>
            <w14:solidFill>
              <w14:schemeClr w14:val="tx1"/>
            </w14:solidFill>
          </w14:textFill>
        </w:rPr>
        <w:t>终止时，负责指导</w:t>
      </w:r>
      <w:r>
        <w:rPr>
          <w:rFonts w:hint="eastAsia" w:ascii="仿宋_GB2312" w:hAnsi="仿宋_GB2312" w:cs="仿宋_GB2312"/>
          <w:iCs/>
          <w:color w:val="000000" w:themeColor="text1"/>
          <w:kern w:val="2"/>
          <w:sz w:val="32"/>
          <w:szCs w:val="32"/>
          <w:lang w:val="en-US" w:eastAsia="zh-CN"/>
          <w14:textFill>
            <w14:solidFill>
              <w14:schemeClr w14:val="tx1"/>
            </w14:solidFill>
          </w14:textFill>
        </w:rPr>
        <w:t>本单位</w:t>
      </w:r>
      <w:r>
        <w:rPr>
          <w:rFonts w:hint="eastAsia" w:ascii="仿宋_GB2312" w:hAnsi="仿宋_GB2312" w:eastAsia="仿宋_GB2312" w:cs="仿宋_GB2312"/>
          <w:iCs/>
          <w:color w:val="000000" w:themeColor="text1"/>
          <w:kern w:val="2"/>
          <w:sz w:val="32"/>
          <w:szCs w:val="32"/>
          <w14:textFill>
            <w14:solidFill>
              <w14:schemeClr w14:val="tx1"/>
            </w14:solidFill>
          </w14:textFill>
        </w:rPr>
        <w:t>依法开展清算、办理事业单位法人注销登记，并按照有关规定做好</w:t>
      </w:r>
      <w:r>
        <w:rPr>
          <w:rFonts w:hint="eastAsia" w:ascii="仿宋_GB2312" w:hAnsi="仿宋_GB2312" w:cs="仿宋_GB2312"/>
          <w:iCs/>
          <w:color w:val="000000" w:themeColor="text1"/>
          <w:kern w:val="2"/>
          <w:sz w:val="32"/>
          <w:szCs w:val="32"/>
          <w:lang w:val="en-US" w:eastAsia="zh-CN"/>
          <w14:textFill>
            <w14:solidFill>
              <w14:schemeClr w14:val="tx1"/>
            </w14:solidFill>
          </w14:textFill>
        </w:rPr>
        <w:t>本单位的</w:t>
      </w:r>
      <w:r>
        <w:rPr>
          <w:rFonts w:hint="eastAsia" w:ascii="仿宋_GB2312" w:hAnsi="仿宋_GB2312" w:eastAsia="仿宋_GB2312" w:cs="仿宋_GB2312"/>
          <w:iCs/>
          <w:color w:val="000000" w:themeColor="text1"/>
          <w:kern w:val="2"/>
          <w:sz w:val="32"/>
          <w:szCs w:val="32"/>
          <w14:textFill>
            <w14:solidFill>
              <w14:schemeClr w14:val="tx1"/>
            </w14:solidFill>
          </w14:textFill>
        </w:rPr>
        <w:t>人员、资产和债权债务处置工作</w:t>
      </w:r>
      <w:r>
        <w:rPr>
          <w:rFonts w:hint="eastAsia" w:ascii="仿宋_GB2312" w:hAnsi="仿宋_GB2312" w:cs="仿宋_GB2312"/>
          <w:iCs/>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pPr>
      <w:r>
        <w:rPr>
          <w:rFonts w:hint="eastAsia" w:ascii="仿宋_GB2312" w:hAnsi="仿宋_GB2312" w:cs="仿宋_GB2312"/>
          <w:iCs/>
          <w:color w:val="000000" w:themeColor="text1"/>
          <w:kern w:val="2"/>
          <w:sz w:val="32"/>
          <w:szCs w:val="32"/>
          <w:lang w:val="en-US" w:eastAsia="zh-CN"/>
          <w14:textFill>
            <w14:solidFill>
              <w14:schemeClr w14:val="tx1"/>
            </w14:solidFill>
          </w14:textFill>
        </w:rPr>
        <w:t>（八）</w:t>
      </w: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行使</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其他</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法律</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法规规定的</w:t>
      </w:r>
      <w:r>
        <w:rPr>
          <w:rFonts w:hint="eastAsia" w:ascii="仿宋_GB2312" w:hAnsi="仿宋_GB2312" w:eastAsia="仿宋_GB2312" w:cs="仿宋_GB2312"/>
          <w:iCs/>
          <w:color w:val="000000" w:themeColor="text1"/>
          <w:kern w:val="2"/>
          <w:sz w:val="32"/>
          <w:szCs w:val="32"/>
          <w14:textFill>
            <w14:solidFill>
              <w14:schemeClr w14:val="tx1"/>
            </w14:solidFill>
          </w14:textFill>
        </w:rPr>
        <w:t>举办单位权利</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ind w:leftChars="0" w:right="0" w:firstLine="640" w:firstLineChars="200"/>
        <w:jc w:val="both"/>
        <w:textAlignment w:val="baseline"/>
        <w:outlineLvl w:val="9"/>
        <w:rPr>
          <w:rFonts w:ascii="仿宋_GB2312"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第十六条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hint="eastAsia" w:ascii="Times New Roman" w:hAnsi="Times New Roman" w:cs="Times New Roman"/>
          <w:color w:val="000000" w:themeColor="text1"/>
          <w:kern w:val="2"/>
          <w:sz w:val="32"/>
          <w:szCs w:val="32"/>
          <w:lang w:val="en-US" w:eastAsia="zh-CN"/>
          <w14:textFill>
            <w14:solidFill>
              <w14:schemeClr w14:val="tx1"/>
            </w14:solidFill>
          </w14:textFill>
        </w:rPr>
        <w:t>湛江</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市民政局</w:t>
      </w:r>
      <w:r>
        <w:rPr>
          <w:rFonts w:ascii="仿宋_GB2312" w:hAnsi="Times New Roman" w:cs="Times New Roman"/>
          <w:color w:val="000000" w:themeColor="text1"/>
          <w:kern w:val="2"/>
          <w:sz w:val="32"/>
          <w:szCs w:val="32"/>
          <w14:textFill>
            <w14:solidFill>
              <w14:schemeClr w14:val="tx1"/>
            </w14:solidFill>
          </w14:textFill>
        </w:rPr>
        <w:t>对</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ascii="仿宋_GB2312" w:hAnsi="Times New Roman" w:cs="Times New Roman"/>
          <w:color w:val="000000" w:themeColor="text1"/>
          <w:kern w:val="2"/>
          <w:sz w:val="32"/>
          <w:szCs w:val="32"/>
          <w14:textFill>
            <w14:solidFill>
              <w14:schemeClr w14:val="tx1"/>
            </w14:solidFill>
          </w14:textFill>
        </w:rPr>
        <w:t>的义务</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华文仿宋" w:hAnsi="华文仿宋" w:eastAsia="华文仿宋" w:cs="华文仿宋"/>
          <w:i w:val="0"/>
          <w:iCs w:val="0"/>
          <w:caps w:val="0"/>
          <w:color w:val="000000" w:themeColor="text1"/>
          <w:spacing w:val="0"/>
          <w:sz w:val="32"/>
          <w:szCs w:val="32"/>
          <w:shd w:val="clear" w:color="auto" w:fill="FFFFFF"/>
          <w:vertAlign w:val="baseline"/>
          <w:lang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（一）支持</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本单位</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依</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照法律、</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法规</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规章和本章程行使自主权的行为；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（二）</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维护本单位合法权益，支持与引导本单位发展；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（三）对事业单位年度报告及相关资料进行保密性审查并出具审查意见。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华文仿宋" w:hAnsi="华文仿宋" w:eastAsia="华文仿宋" w:cs="华文仿宋"/>
          <w:color w:val="000000" w:themeColor="text1"/>
          <w:sz w:val="32"/>
          <w:szCs w:val="32"/>
          <w14:textFill>
            <w14:solidFill>
              <w14:schemeClr w14:val="tx1"/>
            </w14:solidFill>
          </w14:textFill>
        </w:rPr>
      </w:pP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（四）</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法律法规规定的</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lang w:val="en-US" w:eastAsia="zh-CN"/>
          <w14:textFill>
            <w14:solidFill>
              <w14:schemeClr w14:val="tx1"/>
            </w14:solidFill>
          </w14:textFill>
        </w:rPr>
        <w:t>举办单位义务</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360" w:lineRule="auto"/>
        <w:ind w:leftChars="0" w:right="0" w:firstLine="560" w:firstLineChars="200"/>
        <w:jc w:val="both"/>
        <w:textAlignment w:val="baseline"/>
        <w:outlineLvl w:val="9"/>
        <w:rPr>
          <w:rFonts w:ascii="Times New Roman" w:hAnsi="Times New Roman" w:eastAsia="楷体_GB2312" w:cs="Times New Roman"/>
          <w:iCs/>
          <w:color w:val="000000" w:themeColor="text1"/>
          <w:kern w:val="2"/>
          <w:sz w:val="28"/>
          <w:szCs w:val="28"/>
          <w14:textFill>
            <w14:solidFill>
              <w14:schemeClr w14:val="tx1"/>
            </w14:solidFill>
          </w14:textFill>
        </w:rPr>
      </w:pPr>
      <w:r>
        <w:rPr>
          <w:rFonts w:ascii="Times New Roman" w:hAnsi="Times New Roman" w:eastAsia="楷体_GB2312" w:cs="Times New Roman"/>
          <w:iCs/>
          <w:color w:val="000000" w:themeColor="text1"/>
          <w:kern w:val="2"/>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第四章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管理层</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第十七条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本单位的决策机构是</w:t>
      </w:r>
      <w:r>
        <w:rPr>
          <w:rFonts w:hint="eastAsia" w:ascii="仿宋_GB2312" w:hAnsi="Times New Roman" w:cs="Times New Roman"/>
          <w:color w:val="000000" w:themeColor="text1"/>
          <w:kern w:val="2"/>
          <w:sz w:val="32"/>
          <w:szCs w:val="32"/>
          <w:lang w:val="en-US" w:eastAsia="zh-CN"/>
          <w14:textFill>
            <w14:solidFill>
              <w14:schemeClr w14:val="tx1"/>
            </w14:solidFill>
          </w14:textFill>
        </w:rPr>
        <w:t>行政办公会议</w:t>
      </w:r>
      <w:r>
        <w:rPr>
          <w:rFonts w:ascii="仿宋_GB2312" w:hAnsi="Times New Roman" w:cs="Times New Roman"/>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第十八</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本单位决策机构的职责</w:t>
      </w:r>
      <w:r>
        <w:rPr>
          <w:rFonts w:hint="eastAsia" w:ascii="仿宋_GB2312" w:hAnsi="Times New Roman" w:cs="Times New Roman"/>
          <w:color w:val="000000" w:themeColor="text1"/>
          <w:kern w:val="2"/>
          <w:sz w:val="32"/>
          <w:szCs w:val="32"/>
          <w:lang w:val="en-US" w:eastAsia="zh-CN"/>
          <w14:textFill>
            <w14:solidFill>
              <w14:schemeClr w14:val="tx1"/>
            </w14:solidFill>
          </w14:textFill>
        </w:rPr>
        <w:t>是</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default"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一</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接受党的领导，贯彻执行党的政策方针和决策部署；</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二</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拟定和实施年度工作计划等日常业务管理；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（三）编制并组织实施经费预算等财务资产管理；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（四）工作人员管理；</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（五）定期向党组织和湛江市民政局汇报工作；</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Chars="0" w:right="0" w:rightChars="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（六）负责筹建章程起草（修订）组织，拟定本单位章程草案（修订案）；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仿宋_GB2312" w:hAnsi="仿宋_GB2312" w:cs="仿宋_GB2312"/>
          <w:iCs/>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（七）建立健全各项内部管理制度</w:t>
      </w:r>
      <w:r>
        <w:rPr>
          <w:rFonts w:hint="eastAsia" w:ascii="仿宋_GB2312" w:hAnsi="仿宋_GB2312" w:cs="仿宋_GB2312"/>
          <w:iCs/>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pPr>
      <w:r>
        <w:rPr>
          <w:rFonts w:hint="eastAsia" w:ascii="仿宋_GB2312" w:hAnsi="仿宋_GB2312" w:cs="仿宋_GB2312"/>
          <w:iCs/>
          <w:color w:val="000000" w:themeColor="text1"/>
          <w:kern w:val="2"/>
          <w:sz w:val="32"/>
          <w:szCs w:val="32"/>
          <w:lang w:val="en-US" w:eastAsia="zh-CN"/>
          <w14:textFill>
            <w14:solidFill>
              <w14:schemeClr w14:val="tx1"/>
            </w14:solidFill>
          </w14:textFill>
        </w:rPr>
        <w:t>（八）完成湛江市民政局交办的各项任务；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baseline"/>
        <w:outlineLvl w:val="9"/>
        <w:rPr>
          <w:rFonts w:hint="eastAsia" w:ascii="仿宋_GB2312" w:hAnsi="仿宋_GB2312" w:cs="仿宋_GB2312"/>
          <w:iCs/>
          <w:color w:val="000000" w:themeColor="text1"/>
          <w:kern w:val="2"/>
          <w:sz w:val="32"/>
          <w:szCs w:val="32"/>
          <w:lang w:val="en-US" w:eastAsia="zh-CN"/>
          <w14:textFill>
            <w14:solidFill>
              <w14:schemeClr w14:val="tx1"/>
            </w14:solidFill>
          </w14:textFill>
        </w:rPr>
      </w:pP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（九）</w:t>
      </w:r>
      <w:r>
        <w:rPr>
          <w:rFonts w:hint="eastAsia" w:ascii="仿宋_GB2312" w:hAnsi="Times New Roman" w:cs="Times New Roman"/>
          <w:color w:val="000000" w:themeColor="text1"/>
          <w:kern w:val="2"/>
          <w:sz w:val="32"/>
          <w:szCs w:val="32"/>
          <w:lang w:val="en-US" w:eastAsia="zh-CN"/>
          <w14:textFill>
            <w14:solidFill>
              <w14:schemeClr w14:val="tx1"/>
            </w14:solidFill>
          </w14:textFill>
        </w:rPr>
        <w:t>本单位</w:t>
      </w:r>
      <w:r>
        <w:rPr>
          <w:rFonts w:hint="eastAsia" w:ascii="仿宋_GB2312" w:hAnsi="仿宋_GB2312" w:eastAsia="仿宋_GB2312" w:cs="仿宋_GB2312"/>
          <w:iCs/>
          <w:color w:val="000000" w:themeColor="text1"/>
          <w:kern w:val="2"/>
          <w:sz w:val="32"/>
          <w:szCs w:val="32"/>
          <w14:textFill>
            <w14:solidFill>
              <w14:schemeClr w14:val="tx1"/>
            </w14:solidFill>
          </w14:textFill>
        </w:rPr>
        <w:t>终止时，负责依法开展清算、办理事业单位法人注销登记</w:t>
      </w:r>
      <w:r>
        <w:rPr>
          <w:rFonts w:hint="eastAsia" w:ascii="仿宋_GB2312" w:hAnsi="仿宋_GB2312" w:cs="仿宋_GB2312"/>
          <w:iCs/>
          <w:color w:val="000000" w:themeColor="text1"/>
          <w:kern w:val="2"/>
          <w:sz w:val="32"/>
          <w:szCs w:val="32"/>
          <w:lang w:val="en-US"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jc w:val="both"/>
        <w:textAlignment w:val="baseline"/>
        <w:outlineLvl w:val="9"/>
        <w:rPr>
          <w:rFonts w:hint="default" w:ascii="仿宋_GB2312" w:hAnsi="仿宋_GB2312" w:cs="仿宋_GB2312"/>
          <w:iCs/>
          <w:color w:val="000000" w:themeColor="text1"/>
          <w:kern w:val="2"/>
          <w:sz w:val="32"/>
          <w:szCs w:val="32"/>
          <w:lang w:val="en-US" w:eastAsia="zh-CN"/>
          <w14:textFill>
            <w14:solidFill>
              <w14:schemeClr w14:val="tx1"/>
            </w14:solidFill>
          </w14:textFill>
        </w:rPr>
      </w:pP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（十）</w:t>
      </w:r>
      <w:r>
        <w:rPr>
          <w:rFonts w:hint="eastAsia" w:ascii="仿宋_GB2312" w:hAnsi="仿宋_GB2312" w:cs="仿宋_GB2312"/>
          <w:iCs/>
          <w:color w:val="000000" w:themeColor="text1"/>
          <w:kern w:val="2"/>
          <w:sz w:val="32"/>
          <w:szCs w:val="32"/>
          <w:lang w:val="en-US" w:eastAsia="zh-CN"/>
          <w14:textFill>
            <w14:solidFill>
              <w14:schemeClr w14:val="tx1"/>
            </w14:solidFill>
          </w14:textFill>
        </w:rPr>
        <w:t>湛江市民政局赋予的其他职权。</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第十九条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Times New Roman" w:cs="Times New Roman"/>
          <w:color w:val="000000" w:themeColor="text1"/>
          <w:kern w:val="2"/>
          <w:sz w:val="32"/>
          <w:szCs w:val="32"/>
          <w14:textFill>
            <w14:solidFill>
              <w14:schemeClr w14:val="tx1"/>
            </w14:solidFill>
          </w14:textFill>
        </w:rPr>
        <w:t>行政负责人的产生方式和职权</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2"/>
        <w:keepNext w:val="0"/>
        <w:keepLines w:val="0"/>
        <w:pageBreakBefore w:val="0"/>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主任是本单位行政负责人，按照干部人事管理权限，由湛江市民政局任免，负责本单位全面工作。</w:t>
      </w:r>
    </w:p>
    <w:p>
      <w:pPr>
        <w:pStyle w:val="2"/>
        <w:keepNext w:val="0"/>
        <w:keepLines w:val="0"/>
        <w:pageBreakBefore w:val="0"/>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职权是：</w:t>
      </w:r>
    </w:p>
    <w:p>
      <w:pPr>
        <w:pStyle w:val="2"/>
        <w:keepNext w:val="0"/>
        <w:keepLines w:val="0"/>
        <w:pageBreakBefore w:val="0"/>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一</w:t>
      </w:r>
      <w:r>
        <w:rPr>
          <w:rFonts w:hint="eastAsia"/>
          <w:color w:val="000000" w:themeColor="text1"/>
          <w:lang w:eastAsia="zh-CN"/>
          <w14:textFill>
            <w14:solidFill>
              <w14:schemeClr w14:val="tx1"/>
            </w14:solidFill>
          </w14:textFill>
        </w:rPr>
        <w:t>）</w:t>
      </w:r>
      <w:r>
        <w:rPr>
          <w:rFonts w:hint="eastAsia"/>
          <w:color w:val="000000" w:themeColor="text1"/>
          <w:lang w:val="en-US" w:eastAsia="zh-CN"/>
          <w14:textFill>
            <w14:solidFill>
              <w14:schemeClr w14:val="tx1"/>
            </w14:solidFill>
          </w14:textFill>
        </w:rPr>
        <w:t>负责本单位业务工作；</w:t>
      </w:r>
    </w:p>
    <w:p>
      <w:pPr>
        <w:pStyle w:val="2"/>
        <w:keepNext w:val="0"/>
        <w:keepLines w:val="0"/>
        <w:pageBreakBefore w:val="0"/>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（二）负责管理本单位的日常事务；</w:t>
      </w:r>
    </w:p>
    <w:p>
      <w:pPr>
        <w:pStyle w:val="2"/>
        <w:keepNext w:val="0"/>
        <w:keepLines w:val="0"/>
        <w:pageBreakBefore w:val="0"/>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（三）负责本单位的人事、财务、资产等管理；</w:t>
      </w:r>
    </w:p>
    <w:p>
      <w:pPr>
        <w:pStyle w:val="2"/>
        <w:keepNext w:val="0"/>
        <w:keepLines w:val="0"/>
        <w:pageBreakBefore w:val="0"/>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（四）法律法规和本章程规定的其他职责。</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本单位拟任法定代表人产生方式</w:t>
      </w:r>
      <w:r>
        <w:rPr>
          <w:rFonts w:hint="eastAsia" w:ascii="仿宋_GB2312" w:hAnsi="Times New Roman" w:cs="Times New Roman"/>
          <w:color w:val="000000" w:themeColor="text1"/>
          <w:kern w:val="2"/>
          <w:sz w:val="32"/>
          <w:szCs w:val="32"/>
          <w14:textFill>
            <w14:solidFill>
              <w14:schemeClr w14:val="tx1"/>
            </w14:solidFill>
          </w14:textFill>
        </w:rPr>
        <w:t>是</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2"/>
        <w:keepNext w:val="0"/>
        <w:keepLines w:val="0"/>
        <w:pageBreakBefore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default"/>
          <w:color w:val="000000" w:themeColor="text1"/>
          <w:lang w:val="en-US" w:eastAsia="zh-CN"/>
          <w14:textFill>
            <w14:solidFill>
              <w14:schemeClr w14:val="tx1"/>
            </w14:solidFill>
          </w14:textFill>
        </w:rPr>
      </w:pPr>
      <w:r>
        <w:rPr>
          <w:rFonts w:hint="eastAsia" w:ascii="仿宋_GB2312" w:hAnsi="仿宋_GB2312" w:cs="仿宋_GB2312"/>
          <w:color w:val="000000" w:themeColor="text1"/>
          <w:kern w:val="2"/>
          <w:sz w:val="32"/>
          <w:szCs w:val="32"/>
          <w:lang w:val="en-US" w:eastAsia="zh-CN"/>
          <w14:textFill>
            <w14:solidFill>
              <w14:schemeClr w14:val="tx1"/>
            </w14:solidFill>
          </w14:textFill>
        </w:rPr>
        <w:t>一般情况下，主要行政负责人（主任）为拟任法定代表人人选，经市民政局批准，报市事业单位登记</w:t>
      </w:r>
      <w:r>
        <w:rPr>
          <w:rFonts w:hint="eastAsia" w:ascii="华文仿宋" w:hAnsi="华文仿宋" w:eastAsia="华文仿宋" w:cs="华文仿宋"/>
          <w:i w:val="0"/>
          <w:iCs w:val="0"/>
          <w:caps w:val="0"/>
          <w:color w:val="000000" w:themeColor="text1"/>
          <w:spacing w:val="0"/>
          <w:sz w:val="32"/>
          <w:szCs w:val="32"/>
          <w:shd w:val="clear" w:color="auto" w:fill="FFFFFF"/>
          <w:vertAlign w:val="baseline"/>
          <w14:textFill>
            <w14:solidFill>
              <w14:schemeClr w14:val="tx1"/>
            </w14:solidFill>
          </w14:textFill>
        </w:rPr>
        <w:t>管理局核准登记</w:t>
      </w:r>
      <w:r>
        <w:rPr>
          <w:rFonts w:hint="eastAsia" w:ascii="仿宋_GB2312" w:hAnsi="Times New Roman" w:cs="Times New Roman"/>
          <w:color w:val="000000" w:themeColor="text1"/>
          <w:kern w:val="2"/>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第二十一条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本单位内部组织机构设置及产生程序、议事规则</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本单位</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依据法律法规和国家规定，结合</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单位</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实际</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情况和需要</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，设立</w:t>
      </w: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办公室和社工部两个内设</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机构，</w:t>
      </w: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分别设置办公室主任1名和社工部部长1名（为中层管理人员），报市民政局和市人社局事业单位管理科备案</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rightChars="0" w:firstLine="640" w:firstLineChars="200"/>
        <w:jc w:val="both"/>
        <w:textAlignment w:val="baseline"/>
        <w:outlineLvl w:val="9"/>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办公室职责：</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主要负责沟通</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协调、</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上传下达、</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党务工作</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会议组织、来访接待、</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安全</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宣传</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人事</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劳资</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社保、财务、资产管理、</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物资采购</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消防安全管理</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、绿化</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保洁</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、水电保障、</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保安保卫、</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设备</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维护</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社工部职责：主要负责政府采购、养老</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业务</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培训</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养老服务质量</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考核</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养老服务评估、社工培训、</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志愿服务</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、档案管理</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以及养老</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活动组织</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等</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工作。</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第五章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服务对象</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第二十二条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本单位服务对象的权利</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Times New Roman" w:hAnsi="Times New Roman"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w:t>
      </w:r>
      <w:r>
        <w:rPr>
          <w:rFonts w:hint="eastAsia" w:ascii="Times New Roman" w:hAnsi="Times New Roman" w:cs="Times New Roman"/>
          <w:color w:val="000000" w:themeColor="text1"/>
          <w:kern w:val="2"/>
          <w:sz w:val="32"/>
          <w:szCs w:val="32"/>
          <w:lang w:val="en-US" w:eastAsia="zh-CN"/>
          <w14:textFill>
            <w14:solidFill>
              <w14:schemeClr w14:val="tx1"/>
            </w14:solidFill>
          </w14:textFill>
        </w:rPr>
        <w:t>享有《老年人权益保障法》规定的各项权利；</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default"/>
          <w:color w:val="000000" w:themeColor="text1"/>
          <w:lang w:val="en-US" w:eastAsia="zh-CN"/>
          <w14:textFill>
            <w14:solidFill>
              <w14:schemeClr w14:val="tx1"/>
            </w14:solidFill>
          </w14:textFill>
        </w:rPr>
      </w:pPr>
      <w:r>
        <w:rPr>
          <w:rFonts w:hint="eastAsia" w:ascii="Calibri" w:hAnsi="Calibri" w:eastAsia="仿宋_GB2312" w:cs="Times New Roman"/>
          <w:color w:val="000000" w:themeColor="text1"/>
          <w:sz w:val="31"/>
          <w:szCs w:val="22"/>
          <w:lang w:val="en-US" w:eastAsia="zh-CN" w:bidi="ar-SA"/>
          <w14:textFill>
            <w14:solidFill>
              <w14:schemeClr w14:val="tx1"/>
            </w14:solidFill>
          </w14:textFill>
        </w:rPr>
        <w:t>（二）</w:t>
      </w:r>
      <w:r>
        <w:rPr>
          <w:rFonts w:hint="eastAsia"/>
          <w:color w:val="000000" w:themeColor="text1"/>
          <w:lang w:val="en-US" w:eastAsia="zh-CN"/>
          <w14:textFill>
            <w14:solidFill>
              <w14:schemeClr w14:val="tx1"/>
            </w14:solidFill>
          </w14:textFill>
        </w:rPr>
        <w:t>在养老中心内有被照护、医疗康复、安全保障、参与社会活动等权利；</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default"/>
          <w:color w:val="000000" w:themeColor="text1"/>
          <w:lang w:val="en-US" w:eastAsia="zh-CN"/>
          <w14:textFill>
            <w14:solidFill>
              <w14:schemeClr w14:val="tx1"/>
            </w14:solidFill>
          </w14:textFill>
        </w:rPr>
      </w:pPr>
      <w:r>
        <w:rPr>
          <w:rFonts w:hint="eastAsia" w:ascii="Calibri" w:hAnsi="Calibri" w:eastAsia="仿宋_GB2312" w:cs="Times New Roman"/>
          <w:color w:val="000000" w:themeColor="text1"/>
          <w:sz w:val="31"/>
          <w:szCs w:val="22"/>
          <w:lang w:val="en-US" w:eastAsia="zh-CN" w:bidi="ar-SA"/>
          <w14:textFill>
            <w14:solidFill>
              <w14:schemeClr w14:val="tx1"/>
            </w14:solidFill>
          </w14:textFill>
        </w:rPr>
        <w:t>（三）</w:t>
      </w:r>
      <w:r>
        <w:rPr>
          <w:rFonts w:hint="eastAsia"/>
          <w:color w:val="000000" w:themeColor="text1"/>
          <w:lang w:val="en-US" w:eastAsia="zh-CN"/>
          <w14:textFill>
            <w14:solidFill>
              <w14:schemeClr w14:val="tx1"/>
            </w14:solidFill>
          </w14:textFill>
        </w:rPr>
        <w:t>对养老服务中心的服务提出意见建议的权利。</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第二十三条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本单位服务对象的义务</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Times New Roman" w:hAnsi="Times New Roman" w:cs="Times New Roman"/>
          <w:color w:val="000000" w:themeColor="text1"/>
          <w:kern w:val="2"/>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（一）</w:t>
      </w:r>
      <w:r>
        <w:rPr>
          <w:rFonts w:hint="eastAsia" w:ascii="Times New Roman" w:hAnsi="Times New Roman" w:cs="Times New Roman"/>
          <w:color w:val="000000" w:themeColor="text1"/>
          <w:kern w:val="2"/>
          <w:sz w:val="32"/>
          <w:szCs w:val="32"/>
          <w:lang w:val="en-US" w:eastAsia="zh-CN"/>
          <w14:textFill>
            <w14:solidFill>
              <w14:schemeClr w14:val="tx1"/>
            </w14:solidFill>
          </w14:textFill>
        </w:rPr>
        <w:t>服从养老服务中心内工作人员管理；</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default"/>
          <w:color w:val="000000" w:themeColor="text1"/>
          <w:lang w:val="en-US" w:eastAsia="zh-CN"/>
          <w14:textFill>
            <w14:solidFill>
              <w14:schemeClr w14:val="tx1"/>
            </w14:solidFill>
          </w14:textFill>
        </w:rPr>
      </w:pPr>
      <w:r>
        <w:rPr>
          <w:rFonts w:hint="eastAsia" w:ascii="Calibri" w:hAnsi="Calibri" w:eastAsia="仿宋_GB2312" w:cs="Times New Roman"/>
          <w:color w:val="000000" w:themeColor="text1"/>
          <w:sz w:val="31"/>
          <w:szCs w:val="22"/>
          <w:lang w:val="en-US" w:eastAsia="zh-CN" w:bidi="ar-SA"/>
          <w14:textFill>
            <w14:solidFill>
              <w14:schemeClr w14:val="tx1"/>
            </w14:solidFill>
          </w14:textFill>
        </w:rPr>
        <w:t>（二）</w:t>
      </w:r>
      <w:r>
        <w:rPr>
          <w:rFonts w:hint="eastAsia"/>
          <w:color w:val="000000" w:themeColor="text1"/>
          <w:lang w:val="en-US" w:eastAsia="zh-CN"/>
          <w14:textFill>
            <w14:solidFill>
              <w14:schemeClr w14:val="tx1"/>
            </w14:solidFill>
          </w14:textFill>
        </w:rPr>
        <w:t>接受中心内工作人员生活照料、医疗康复、精神慰藉等服务。</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第二十四条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本单位服务对象参与管理的具体途径、方式和运行机制</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（一）</w:t>
      </w:r>
      <w:r>
        <w:rPr>
          <w:rFonts w:hint="eastAsia" w:ascii="仿宋_GB2312" w:hAnsi="Times New Roman" w:cs="Times New Roman"/>
          <w:color w:val="000000" w:themeColor="text1"/>
          <w:kern w:val="2"/>
          <w:sz w:val="32"/>
          <w:szCs w:val="32"/>
          <w:lang w:val="en-US" w:eastAsia="zh-CN"/>
          <w14:textFill>
            <w14:solidFill>
              <w14:schemeClr w14:val="tx1"/>
            </w14:solidFill>
          </w14:textFill>
        </w:rPr>
        <w:t>自愿主动参与长者委员会；</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eastAsia="仿宋_GB2312" w:cs="Times New Roman"/>
          <w:color w:val="000000" w:themeColor="text1"/>
          <w:kern w:val="2"/>
          <w:sz w:val="32"/>
          <w:szCs w:val="32"/>
          <w:lang w:val="en-US" w:eastAsia="zh-CN" w:bidi="ar-SA"/>
          <w14:textFill>
            <w14:solidFill>
              <w14:schemeClr w14:val="tx1"/>
            </w14:solidFill>
          </w14:textFill>
        </w:rPr>
        <w:t>（二）</w:t>
      </w:r>
      <w:r>
        <w:rPr>
          <w:rFonts w:hint="eastAsia" w:ascii="仿宋_GB2312" w:hAnsi="Times New Roman" w:cs="Times New Roman"/>
          <w:color w:val="000000" w:themeColor="text1"/>
          <w:kern w:val="2"/>
          <w:sz w:val="32"/>
          <w:szCs w:val="32"/>
          <w:lang w:val="en-US" w:eastAsia="zh-CN"/>
          <w14:textFill>
            <w14:solidFill>
              <w14:schemeClr w14:val="tx1"/>
            </w14:solidFill>
          </w14:textFill>
        </w:rPr>
        <w:t>提出合理化意见建议；</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default"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（三）向上级主管部门提出申诉。</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第六章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业务运行</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val="0"/>
        <w:autoSpaceDN/>
        <w:bidi w:val="0"/>
        <w:adjustRightInd w:val="0"/>
        <w:snapToGrid w:val="0"/>
        <w:spacing w:line="360"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第二十五条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本单位业务运行原则和办法</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bidi w:val="0"/>
        <w:adjustRightInd w:val="0"/>
        <w:snapToGrid w:val="0"/>
        <w:spacing w:line="360" w:lineRule="auto"/>
        <w:ind w:leftChars="0" w:right="0" w:firstLine="640" w:firstLineChars="200"/>
        <w:jc w:val="both"/>
        <w:textAlignment w:val="baseline"/>
        <w:outlineLvl w:val="9"/>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cs="仿宋_GB2312"/>
          <w:color w:val="000000" w:themeColor="text1"/>
          <w:kern w:val="2"/>
          <w:sz w:val="32"/>
          <w:szCs w:val="32"/>
          <w:lang w:val="en-US" w:eastAsia="zh-CN"/>
          <w14:textFill>
            <w14:solidFill>
              <w14:schemeClr w14:val="tx1"/>
            </w14:solidFill>
          </w14:textFill>
        </w:rPr>
        <w:t>公开透明、</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公平公正</w:t>
      </w:r>
      <w:r>
        <w:rPr>
          <w:rFonts w:hint="eastAsia" w:ascii="仿宋_GB2312" w:hAnsi="仿宋_GB2312" w:cs="仿宋_GB2312"/>
          <w:color w:val="000000" w:themeColor="text1"/>
          <w:kern w:val="2"/>
          <w:sz w:val="32"/>
          <w:szCs w:val="32"/>
          <w:lang w:val="en-US" w:eastAsia="zh-CN"/>
          <w14:textFill>
            <w14:solidFill>
              <w14:schemeClr w14:val="tx1"/>
            </w14:solidFill>
          </w14:textFill>
        </w:rPr>
        <w:t>、有效激励、注重质量、注重公益的原则，整合各项资源，提升养老服务质量，打造优美环境，加强工作人员的能力培训。</w:t>
      </w:r>
    </w:p>
    <w:p>
      <w:pPr>
        <w:keepNext w:val="0"/>
        <w:keepLines w:val="0"/>
        <w:pageBreakBefore w:val="0"/>
        <w:widowControl w:val="0"/>
        <w:kinsoku/>
        <w:wordWrap/>
        <w:overflowPunct/>
        <w:topLinePunct w:val="0"/>
        <w:autoSpaceDE w:val="0"/>
        <w:autoSpaceDN/>
        <w:bidi w:val="0"/>
        <w:adjustRightInd w:val="0"/>
        <w:snapToGrid w:val="0"/>
        <w:spacing w:line="360" w:lineRule="auto"/>
        <w:ind w:leftChars="0" w:right="0" w:firstLine="640" w:firstLineChars="200"/>
        <w:jc w:val="both"/>
        <w:textAlignment w:val="baseline"/>
        <w:outlineLvl w:val="9"/>
        <w:rPr>
          <w:rFonts w:hint="eastAsia" w:ascii="Times New Roman" w:hAnsi="Times New Roman" w:eastAsia="仿宋_GB2312" w:cs="Times New Roman"/>
          <w:color w:val="000000" w:themeColor="text1"/>
          <w:kern w:val="2"/>
          <w:sz w:val="32"/>
          <w:szCs w:val="32"/>
          <w:lang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第二十六条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业务范围内开展业务运行的具体措施</w:t>
      </w:r>
      <w:r>
        <w:rPr>
          <w:rFonts w:hint="eastAsia" w:ascii="仿宋_GB2312" w:hAnsi="Times New Roman" w:cs="Times New Roman"/>
          <w:color w:val="000000" w:themeColor="text1"/>
          <w:kern w:val="2"/>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val="0"/>
        <w:autoSpaceDN/>
        <w:bidi w:val="0"/>
        <w:adjustRightInd w:val="0"/>
        <w:snapToGrid w:val="0"/>
        <w:spacing w:line="360" w:lineRule="auto"/>
        <w:ind w:leftChars="0" w:right="0" w:firstLine="640" w:firstLineChars="200"/>
        <w:jc w:val="both"/>
        <w:textAlignment w:val="baseline"/>
        <w:outlineLvl w:val="9"/>
        <w:rPr>
          <w:rFonts w:hint="default" w:ascii="仿宋_GB2312"/>
          <w:color w:val="000000" w:themeColor="text1"/>
          <w:sz w:val="32"/>
          <w:szCs w:val="32"/>
          <w:lang w:val="en-US" w:eastAsia="zh-CN"/>
          <w14:textFill>
            <w14:solidFill>
              <w14:schemeClr w14:val="tx1"/>
            </w14:solidFill>
          </w14:textFill>
        </w:rPr>
      </w:pPr>
      <w:r>
        <w:rPr>
          <w:rFonts w:hint="eastAsia" w:ascii="仿宋_GB2312" w:hAnsi="Calibri" w:eastAsia="仿宋_GB2312" w:cs="Calibri"/>
          <w:color w:val="000000" w:themeColor="text1"/>
          <w:kern w:val="0"/>
          <w:sz w:val="32"/>
          <w:szCs w:val="32"/>
          <w:lang w:val="en-US" w:eastAsia="zh-CN" w:bidi="ar-SA"/>
          <w14:textFill>
            <w14:solidFill>
              <w14:schemeClr w14:val="tx1"/>
            </w14:solidFill>
          </w14:textFill>
        </w:rPr>
        <w:t>（一）</w:t>
      </w:r>
      <w:r>
        <w:rPr>
          <w:rFonts w:hint="eastAsia" w:ascii="仿宋_GB2312" w:cs="Calibri"/>
          <w:color w:val="000000" w:themeColor="text1"/>
          <w:kern w:val="0"/>
          <w:sz w:val="32"/>
          <w:szCs w:val="32"/>
          <w:lang w:val="en-US" w:eastAsia="zh-CN" w:bidi="ar-SA"/>
          <w14:textFill>
            <w14:solidFill>
              <w14:schemeClr w14:val="tx1"/>
            </w14:solidFill>
          </w14:textFill>
        </w:rPr>
        <w:t>负责对中心运营团队的服务质量考核和安全生产等工作；</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ascii="Calibri" w:hAnsi="Calibri" w:eastAsia="仿宋_GB2312" w:cs="Times New Roman"/>
          <w:color w:val="000000" w:themeColor="text1"/>
          <w:sz w:val="31"/>
          <w:szCs w:val="22"/>
          <w:lang w:val="en-US" w:eastAsia="zh-CN" w:bidi="ar-SA"/>
          <w14:textFill>
            <w14:solidFill>
              <w14:schemeClr w14:val="tx1"/>
            </w14:solidFill>
          </w14:textFill>
        </w:rPr>
        <w:t>（二）</w:t>
      </w:r>
      <w:r>
        <w:rPr>
          <w:rFonts w:hint="eastAsia"/>
          <w:color w:val="000000" w:themeColor="text1"/>
          <w:lang w:val="en-US" w:eastAsia="zh-CN"/>
          <w14:textFill>
            <w14:solidFill>
              <w14:schemeClr w14:val="tx1"/>
            </w14:solidFill>
          </w14:textFill>
        </w:rPr>
        <w:t>协助政府履行对特困人员的兜底工作；</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20" w:firstLineChars="200"/>
        <w:jc w:val="both"/>
        <w:textAlignment w:val="baseline"/>
        <w:outlineLvl w:val="9"/>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（三）协助市民政局对全市养老护理员开展业务培训。</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第七章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黑体" w:hAnsi="黑体" w:eastAsia="黑体" w:cs="Times New Roman"/>
          <w:color w:val="000000" w:themeColor="text1"/>
          <w:kern w:val="2"/>
          <w:sz w:val="32"/>
          <w:szCs w:val="32"/>
          <w14:textFill>
            <w14:solidFill>
              <w14:schemeClr w14:val="tx1"/>
            </w14:solidFill>
          </w14:textFill>
        </w:rPr>
        <w:t>资产和财务的管理</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第二十七条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本单位按照国家实行的统一会计制度，依法</w:t>
      </w:r>
      <w:r>
        <w:rPr>
          <w:rFonts w:hint="eastAsia" w:ascii="仿宋_GB2312" w:hAnsi="仿宋_GB2312" w:cs="仿宋_GB2312"/>
          <w:color w:val="000000" w:themeColor="text1"/>
          <w:kern w:val="2"/>
          <w:sz w:val="32"/>
          <w:szCs w:val="32"/>
          <w:lang w:val="en-US" w:eastAsia="zh-CN"/>
          <w14:textFill>
            <w14:solidFill>
              <w14:schemeClr w14:val="tx1"/>
            </w14:solidFill>
          </w14:textFill>
        </w:rPr>
        <w:t>接受税务、财政、审计、国有资产管理等主管部门监督管理。本单位的经费使用根据《中华人民共和国会计法》《政府会计准则制度》等会计政策，严格按照部门预算开支标准和范围的相关要求，开展本单位的财务工作。</w:t>
      </w:r>
      <w:r>
        <w:rPr>
          <w:rFonts w:hint="eastAsia" w:ascii="仿宋_GB2312" w:hAnsi="Times New Roman" w:cs="Times New Roman"/>
          <w:color w:val="000000" w:themeColor="text1"/>
          <w:kern w:val="2"/>
          <w:sz w:val="32"/>
          <w:szCs w:val="32"/>
          <w14:textFill>
            <w14:solidFill>
              <w14:schemeClr w14:val="tx1"/>
            </w14:solidFill>
          </w14:textFill>
        </w:rPr>
        <w:t>本单位国有资产包括使用财政资金形成的资产，接受调拨或者划转、置换形成的资产，接受捐赠并确认为国有的资产以及其他国有资产；其表现形式为流动资产、固定资产、无形资产和对外投资等。本单位应当根据依法履行职能和事业发展的需要，结合资产存量、资产配置标准、绩效目标和财政承受能力配置资产。本单位按照有关规定负责单位内部国有资产的具体管理，应当建立和完善内部控制管理制度。</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第二十八</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Times New Roman" w:cs="Times New Roman"/>
          <w:color w:val="000000" w:themeColor="text1"/>
          <w:kern w:val="2"/>
          <w:sz w:val="32"/>
          <w:szCs w:val="32"/>
          <w14:textFill>
            <w14:solidFill>
              <w14:schemeClr w14:val="tx1"/>
            </w14:solidFill>
          </w14:textFill>
        </w:rPr>
        <w:t>本单位</w:t>
      </w:r>
      <w:r>
        <w:rPr>
          <w:rFonts w:hint="eastAsia" w:ascii="仿宋_GB2312" w:hAnsi="Times New Roman" w:cs="Times New Roman"/>
          <w:color w:val="000000" w:themeColor="text1"/>
          <w:kern w:val="2"/>
          <w:sz w:val="32"/>
          <w:szCs w:val="32"/>
          <w:lang w:val="en-US" w:eastAsia="zh-CN"/>
          <w14:textFill>
            <w14:solidFill>
              <w14:schemeClr w14:val="tx1"/>
            </w14:solidFill>
          </w14:textFill>
        </w:rPr>
        <w:t>经费主要来源是非税收入。</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hint="default" w:ascii="Times New Roman" w:hAnsi="Times New Roman" w:cs="Times New Roman"/>
          <w:color w:val="000000" w:themeColor="text1"/>
          <w:kern w:val="2"/>
          <w:sz w:val="32"/>
          <w:szCs w:val="32"/>
          <w:u w:val="single"/>
          <w:lang w:val="en-US"/>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第二十九</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本单位财务管理体制</w:t>
      </w:r>
      <w:r>
        <w:rPr>
          <w:rFonts w:hint="eastAsia" w:ascii="仿宋_GB2312" w:hAnsi="Times New Roman" w:cs="Times New Roman"/>
          <w:color w:val="000000" w:themeColor="text1"/>
          <w:kern w:val="2"/>
          <w:sz w:val="32"/>
          <w:szCs w:val="32"/>
          <w:lang w:val="en-US" w:eastAsia="zh-CN"/>
          <w14:textFill>
            <w14:solidFill>
              <w14:schemeClr w14:val="tx1"/>
            </w14:solidFill>
          </w14:textFill>
        </w:rPr>
        <w:t>是统一领导、集中管理模式。财务收支、预算决算、绩效、资产管理等都按规定执行，接受市财政部门和审计部门的监督。</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本单位的人员（包括在编人员、离退休人员和聘用人员）工资、社保、福利待遇按照国家有关规定执行。</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第三十一</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本单位接受捐赠、资助和使用的原则</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按</w:t>
      </w:r>
      <w:r>
        <w:rPr>
          <w:rFonts w:hint="eastAsia" w:ascii="仿宋_GB2312" w:hAnsi="仿宋_GB2312" w:cs="仿宋_GB2312"/>
          <w:color w:val="000000" w:themeColor="text1"/>
          <w:kern w:val="2"/>
          <w:sz w:val="32"/>
          <w:szCs w:val="32"/>
          <w:lang w:val="en-US" w:eastAsia="zh-CN"/>
          <w14:textFill>
            <w14:solidFill>
              <w14:schemeClr w14:val="tx1"/>
            </w14:solidFill>
          </w14:textFill>
        </w:rPr>
        <w:t>《湛江市民政局直属单位民政资金和资产管理办法》</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和</w:t>
      </w:r>
      <w:r>
        <w:rPr>
          <w:rFonts w:hint="eastAsia" w:ascii="仿宋_GB2312" w:hAnsi="仿宋_GB2312" w:eastAsia="仿宋_GB2312" w:cs="仿宋_GB2312"/>
          <w:iCs/>
          <w:color w:val="000000" w:themeColor="text1"/>
          <w:kern w:val="2"/>
          <w:sz w:val="32"/>
          <w:szCs w:val="32"/>
          <w14:textFill>
            <w14:solidFill>
              <w14:schemeClr w14:val="tx1"/>
            </w14:solidFill>
          </w14:textFill>
        </w:rPr>
        <w:t>相关法律法规</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保管、使用。</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第三十二</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14:textFill>
            <w14:solidFill>
              <w14:schemeClr w14:val="tx1"/>
            </w14:solidFill>
          </w14:textFill>
        </w:rPr>
        <w:t>本单位内部审计、</w:t>
      </w:r>
      <w:r>
        <w:rPr>
          <w:rFonts w:hint="eastAsia" w:ascii="仿宋_GB2312" w:hAnsi="仿宋_GB2312" w:cs="仿宋_GB2312"/>
          <w:color w:val="000000" w:themeColor="text1"/>
          <w:kern w:val="2"/>
          <w:sz w:val="32"/>
          <w:szCs w:val="32"/>
          <w:lang w:val="en-US" w:eastAsia="zh-CN"/>
          <w14:textFill>
            <w14:solidFill>
              <w14:schemeClr w14:val="tx1"/>
            </w14:solidFill>
          </w14:textFill>
        </w:rPr>
        <w:t>负责人</w:t>
      </w:r>
      <w:r>
        <w:rPr>
          <w:rFonts w:hint="eastAsia" w:ascii="仿宋_GB2312" w:hAnsi="仿宋_GB2312" w:eastAsia="仿宋_GB2312" w:cs="仿宋_GB2312"/>
          <w:color w:val="000000" w:themeColor="text1"/>
          <w:kern w:val="2"/>
          <w:sz w:val="32"/>
          <w:szCs w:val="32"/>
          <w14:textFill>
            <w14:solidFill>
              <w14:schemeClr w14:val="tx1"/>
            </w14:solidFill>
          </w14:textFill>
        </w:rPr>
        <w:t>经济责任审计、财政、税务等审计监督制度</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本单位配备专职财务人员，会计和出纳各履其责。</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依照相关法律法规</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和</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内部控制制度</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依法进行</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财务</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核算，</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接受上级和相关部门</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监督</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eastAsia="zh-CN"/>
          <w14:textFill>
            <w14:solidFill>
              <w14:schemeClr w14:val="tx1"/>
            </w14:solidFill>
          </w14:textFill>
        </w:rPr>
        <w:t>，</w:t>
      </w:r>
      <w:r>
        <w:rPr>
          <w:rFonts w:hint="eastAsia" w:ascii="仿宋_GB2312" w:hAnsi="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经费使用应符合中央、省、市相关管理办法，确保</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财务</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资料合法</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lang w:val="en-US" w:eastAsia="zh-CN"/>
          <w14:textFill>
            <w14:solidFill>
              <w14:schemeClr w14:val="tx1"/>
            </w14:solidFill>
          </w14:textFill>
        </w:rPr>
        <w:t>合规、</w:t>
      </w:r>
      <w:r>
        <w:rPr>
          <w:rFonts w:hint="eastAsia" w:ascii="仿宋_GB2312" w:hAnsi="仿宋_GB2312" w:eastAsia="仿宋_GB2312" w:cs="仿宋_GB2312"/>
          <w:i w:val="0"/>
          <w:iCs w:val="0"/>
          <w:caps w:val="0"/>
          <w:color w:val="000000" w:themeColor="text1"/>
          <w:spacing w:val="0"/>
          <w:sz w:val="32"/>
          <w:szCs w:val="32"/>
          <w:shd w:val="clear" w:color="auto" w:fill="FFFFFF"/>
          <w:vertAlign w:val="baseline"/>
          <w14:textFill>
            <w14:solidFill>
              <w14:schemeClr w14:val="tx1"/>
            </w14:solidFill>
          </w14:textFill>
        </w:rPr>
        <w:t>真实完整。</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第三十三条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w:t>
      </w:r>
      <w:r>
        <w:rPr>
          <w:rFonts w:hint="eastAsia" w:ascii="仿宋_GB2312" w:hAnsi="仿宋_GB2312" w:cs="仿宋_GB2312"/>
          <w:color w:val="000000" w:themeColor="text1"/>
          <w:kern w:val="2"/>
          <w:sz w:val="32"/>
          <w:szCs w:val="32"/>
          <w:lang w:val="en-US" w:eastAsia="zh-CN"/>
          <w14:textFill>
            <w14:solidFill>
              <w14:schemeClr w14:val="tx1"/>
            </w14:solidFill>
          </w14:textFill>
        </w:rPr>
        <w:t>主任或法定代表人</w:t>
      </w:r>
      <w:r>
        <w:rPr>
          <w:rFonts w:hint="eastAsia" w:ascii="仿宋_GB2312" w:hAnsi="Times New Roman" w:cs="Times New Roman"/>
          <w:color w:val="000000" w:themeColor="text1"/>
          <w:kern w:val="2"/>
          <w:sz w:val="32"/>
          <w:szCs w:val="32"/>
          <w:lang w:val="en-US" w:eastAsia="zh-CN"/>
          <w14:textFill>
            <w14:solidFill>
              <w14:schemeClr w14:val="tx1"/>
            </w14:solidFill>
          </w14:textFill>
        </w:rPr>
        <w:t>离</w:t>
      </w:r>
      <w:r>
        <w:rPr>
          <w:rFonts w:ascii="仿宋_GB2312" w:hAnsi="Times New Roman" w:cs="Times New Roman"/>
          <w:color w:val="000000" w:themeColor="text1"/>
          <w:kern w:val="2"/>
          <w:sz w:val="32"/>
          <w:szCs w:val="32"/>
          <w14:textFill>
            <w14:solidFill>
              <w14:schemeClr w14:val="tx1"/>
            </w14:solidFill>
          </w14:textFill>
        </w:rPr>
        <w:t>任前，应当进行</w:t>
      </w:r>
      <w:r>
        <w:rPr>
          <w:rFonts w:hint="eastAsia" w:ascii="仿宋_GB2312" w:hAnsi="Times New Roman" w:cs="Times New Roman"/>
          <w:color w:val="000000" w:themeColor="text1"/>
          <w:kern w:val="2"/>
          <w:sz w:val="32"/>
          <w:szCs w:val="32"/>
          <w:lang w:val="en-US" w:eastAsia="zh-CN"/>
          <w14:textFill>
            <w14:solidFill>
              <w14:schemeClr w14:val="tx1"/>
            </w14:solidFill>
          </w14:textFill>
        </w:rPr>
        <w:t>离任审计和</w:t>
      </w:r>
      <w:r>
        <w:rPr>
          <w:rFonts w:ascii="仿宋_GB2312" w:hAnsi="Times New Roman" w:cs="Times New Roman"/>
          <w:color w:val="000000" w:themeColor="text1"/>
          <w:kern w:val="2"/>
          <w:sz w:val="32"/>
          <w:szCs w:val="32"/>
          <w14:textFill>
            <w14:solidFill>
              <w14:schemeClr w14:val="tx1"/>
            </w14:solidFill>
          </w14:textFill>
        </w:rPr>
        <w:t>经济责任审计。</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eastAsia="宋体" w:cs="Times New Roman"/>
          <w:color w:val="000000" w:themeColor="text1"/>
          <w:kern w:val="2"/>
          <w:sz w:val="32"/>
          <w:szCs w:val="32"/>
          <w14:textFill>
            <w14:solidFill>
              <w14:schemeClr w14:val="tx1"/>
            </w14:solidFill>
          </w14:textFill>
        </w:rPr>
      </w:pPr>
      <w:r>
        <w:rPr>
          <w:rFonts w:ascii="Times New Roman" w:hAnsi="Times New Roman" w:eastAsia="宋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630" w:lineRule="exact"/>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第八章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信息公开</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第三十四</w:t>
      </w:r>
      <w:r>
        <w:rPr>
          <w:rFonts w:hint="eastAsia" w:ascii="黑体" w:hAnsi="黑体" w:eastAsia="黑体" w:cs="Times New Roman"/>
          <w:color w:val="000000" w:themeColor="text1"/>
          <w:kern w:val="2"/>
          <w:sz w:val="32"/>
          <w:szCs w:val="32"/>
          <w14:textFill>
            <w14:solidFill>
              <w14:schemeClr w14:val="tx1"/>
            </w14:solidFill>
          </w14:textFill>
        </w:rPr>
        <w:t>条</w:t>
      </w:r>
      <w:r>
        <w:rPr>
          <w:rFonts w:hint="eastAsia"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本单位承诺按照国家法律法规和事业单位登记管理机关的规定，真实、完整、及时地公开以下信息：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（一）</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本单位的章程，</w:t>
      </w:r>
      <w:r>
        <w:rPr>
          <w:rFonts w:hint="eastAsia" w:ascii="仿宋_GB2312" w:hAnsi="仿宋_GB2312" w:eastAsia="仿宋_GB2312" w:cs="仿宋_GB2312"/>
          <w:iCs/>
          <w:color w:val="000000" w:themeColor="text1"/>
          <w:kern w:val="2"/>
          <w:sz w:val="32"/>
          <w:szCs w:val="32"/>
          <w14:textFill>
            <w14:solidFill>
              <w14:schemeClr w14:val="tx1"/>
            </w14:solidFill>
          </w14:textFill>
        </w:rPr>
        <w:t>自章程核准（备案）之日起</w:t>
      </w:r>
      <w:r>
        <w:rPr>
          <w:rFonts w:hint="eastAsia" w:ascii="仿宋_GB2312" w:hAnsi="仿宋_GB2312" w:cs="仿宋_GB2312"/>
          <w:iCs/>
          <w:color w:val="000000" w:themeColor="text1"/>
          <w:kern w:val="2"/>
          <w:sz w:val="32"/>
          <w:szCs w:val="32"/>
          <w:lang w:val="en-US" w:eastAsia="zh-CN"/>
          <w14:textFill>
            <w14:solidFill>
              <w14:schemeClr w14:val="tx1"/>
            </w14:solidFill>
          </w14:textFill>
        </w:rPr>
        <w:t>20</w:t>
      </w:r>
      <w:r>
        <w:rPr>
          <w:rFonts w:hint="eastAsia" w:ascii="仿宋_GB2312" w:hAnsi="仿宋_GB2312" w:eastAsia="仿宋_GB2312" w:cs="仿宋_GB2312"/>
          <w:iCs/>
          <w:color w:val="000000" w:themeColor="text1"/>
          <w:kern w:val="2"/>
          <w:sz w:val="32"/>
          <w:szCs w:val="32"/>
          <w14:textFill>
            <w14:solidFill>
              <w14:schemeClr w14:val="tx1"/>
            </w14:solidFill>
          </w14:textFill>
        </w:rPr>
        <w:t>个工作日内在自有或</w:t>
      </w:r>
      <w:r>
        <w:rPr>
          <w:rFonts w:hint="eastAsia" w:ascii="仿宋_GB2312" w:hAnsi="仿宋_GB2312" w:eastAsia="仿宋_GB2312" w:cs="仿宋_GB2312"/>
          <w:iCs/>
          <w:color w:val="000000" w:themeColor="text1"/>
          <w:kern w:val="2"/>
          <w:sz w:val="32"/>
          <w:szCs w:val="32"/>
          <w:lang w:val="en-US" w:eastAsia="zh-CN"/>
          <w14:textFill>
            <w14:solidFill>
              <w14:schemeClr w14:val="tx1"/>
            </w14:solidFill>
          </w14:textFill>
        </w:rPr>
        <w:t>市民政局</w:t>
      </w:r>
      <w:r>
        <w:rPr>
          <w:rFonts w:hint="eastAsia" w:ascii="仿宋_GB2312" w:hAnsi="仿宋_GB2312" w:eastAsia="仿宋_GB2312" w:cs="仿宋_GB2312"/>
          <w:iCs/>
          <w:color w:val="000000" w:themeColor="text1"/>
          <w:kern w:val="2"/>
          <w:sz w:val="32"/>
          <w:szCs w:val="32"/>
          <w14:textFill>
            <w14:solidFill>
              <w14:schemeClr w14:val="tx1"/>
            </w14:solidFill>
          </w14:textFill>
        </w:rPr>
        <w:t>的信息平台发布章程正式文本</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p>
    <w:p>
      <w:pPr>
        <w:pStyle w:val="2"/>
        <w:keepNext w:val="0"/>
        <w:keepLines w:val="0"/>
        <w:pageBreakBefore w:val="0"/>
        <w:numPr>
          <w:ilvl w:val="0"/>
          <w:numId w:val="0"/>
        </w:numPr>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hint="eastAsia"/>
          <w:color w:val="000000" w:themeColor="text1"/>
          <w:sz w:val="32"/>
          <w:szCs w:val="32"/>
          <w:lang w:val="en-US" w:eastAsia="zh-CN"/>
          <w14:textFill>
            <w14:solidFill>
              <w14:schemeClr w14:val="tx1"/>
            </w14:solidFill>
          </w14:textFill>
        </w:rPr>
      </w:pPr>
      <w:r>
        <w:rPr>
          <w:rFonts w:hint="eastAsia" w:ascii="Calibri" w:hAnsi="Calibri" w:eastAsia="仿宋_GB2312" w:cs="Times New Roman"/>
          <w:color w:val="000000" w:themeColor="text1"/>
          <w:sz w:val="32"/>
          <w:szCs w:val="32"/>
          <w:lang w:val="en-US" w:eastAsia="zh-CN" w:bidi="ar-SA"/>
          <w14:textFill>
            <w14:solidFill>
              <w14:schemeClr w14:val="tx1"/>
            </w14:solidFill>
          </w14:textFill>
        </w:rPr>
        <w:t>（二）</w:t>
      </w:r>
      <w:r>
        <w:rPr>
          <w:rFonts w:hint="eastAsia" w:cs="Times New Roman"/>
          <w:color w:val="000000" w:themeColor="text1"/>
          <w:sz w:val="32"/>
          <w:szCs w:val="32"/>
          <w:lang w:val="en-US" w:eastAsia="zh-CN" w:bidi="ar-SA"/>
          <w14:textFill>
            <w14:solidFill>
              <w14:schemeClr w14:val="tx1"/>
            </w14:solidFill>
          </w14:textFill>
        </w:rPr>
        <w:t>根据《事业单位登记管理暂行条例》，按规定时限</w:t>
      </w:r>
      <w:r>
        <w:rPr>
          <w:rFonts w:hint="eastAsia"/>
          <w:color w:val="000000" w:themeColor="text1"/>
          <w:sz w:val="32"/>
          <w:szCs w:val="32"/>
          <w:lang w:val="en-US" w:eastAsia="zh-CN"/>
          <w14:textFill>
            <w14:solidFill>
              <w14:schemeClr w14:val="tx1"/>
            </w14:solidFill>
          </w14:textFill>
        </w:rPr>
        <w:t>向市事业单位登记管理局提交本单位年度工作报告；</w:t>
      </w:r>
    </w:p>
    <w:p>
      <w:pPr>
        <w:pStyle w:val="2"/>
        <w:keepNext w:val="0"/>
        <w:keepLines w:val="0"/>
        <w:pageBreakBefore w:val="0"/>
        <w:numPr>
          <w:ilvl w:val="0"/>
          <w:numId w:val="0"/>
        </w:numPr>
        <w:kinsoku/>
        <w:wordWrap/>
        <w:overflowPunct/>
        <w:topLinePunct w:val="0"/>
        <w:autoSpaceDE/>
        <w:autoSpaceDN/>
        <w:bidi w:val="0"/>
        <w:adjustRightInd w:val="0"/>
        <w:snapToGrid w:val="0"/>
        <w:spacing w:line="630" w:lineRule="exact"/>
        <w:ind w:leftChars="0" w:right="0" w:firstLine="62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三）根据《中华人民共和国政府信息公开条例》属于主动公开范围的政府信息，应当自该政府信息形成或变更之日起20个工作日内及时公开；</w:t>
      </w:r>
    </w:p>
    <w:p>
      <w:pPr>
        <w:pStyle w:val="2"/>
        <w:keepNext w:val="0"/>
        <w:keepLines w:val="0"/>
        <w:pageBreakBefore w:val="0"/>
        <w:numPr>
          <w:ilvl w:val="0"/>
          <w:numId w:val="0"/>
        </w:numPr>
        <w:kinsoku/>
        <w:wordWrap/>
        <w:overflowPunct/>
        <w:topLinePunct w:val="0"/>
        <w:autoSpaceDE/>
        <w:autoSpaceDN/>
        <w:bidi w:val="0"/>
        <w:adjustRightInd w:val="0"/>
        <w:snapToGrid w:val="0"/>
        <w:spacing w:line="630" w:lineRule="exact"/>
        <w:ind w:leftChars="0" w:right="0"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bidi="ar-SA"/>
          <w14:textFill>
            <w14:solidFill>
              <w14:schemeClr w14:val="tx1"/>
            </w14:solidFill>
          </w14:textFill>
        </w:rPr>
        <w:t>（四）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其他法律法规应当及时公开的情形。</w:t>
      </w:r>
    </w:p>
    <w:p>
      <w:pPr>
        <w:pStyle w:val="2"/>
        <w:keepNext w:val="0"/>
        <w:keepLines w:val="0"/>
        <w:pageBreakBefore w:val="0"/>
        <w:numPr>
          <w:ilvl w:val="0"/>
          <w:numId w:val="0"/>
        </w:numPr>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360"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第九章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终止和剩余资产处理</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第三十五条</w:t>
      </w:r>
      <w:r>
        <w:rPr>
          <w:rFonts w:hint="eastAsia" w:ascii="仿宋_GB2312" w:hAnsi="Times New Roman" w:cs="Times New Roman"/>
          <w:color w:val="000000" w:themeColor="text1"/>
          <w:kern w:val="2"/>
          <w:sz w:val="32"/>
          <w:szCs w:val="32"/>
          <w14:textFill>
            <w14:solidFill>
              <w14:schemeClr w14:val="tx1"/>
            </w14:solidFill>
          </w14:textFill>
        </w:rPr>
        <w:t xml:space="preserve"> </w:t>
      </w:r>
      <w:r>
        <w:rPr>
          <w:rFonts w:hint="eastAsia" w:ascii="仿宋_GB2312" w:hAnsi="Times New Roman" w:cs="Times New Roman"/>
          <w:b/>
          <w:bCs/>
          <w:color w:val="000000" w:themeColor="text1"/>
          <w:kern w:val="2"/>
          <w:sz w:val="32"/>
          <w:szCs w:val="32"/>
          <w14:textFill>
            <w14:solidFill>
              <w14:schemeClr w14:val="tx1"/>
            </w14:solidFill>
          </w14:textFill>
        </w:rPr>
        <w:t xml:space="preserve"> </w:t>
      </w:r>
      <w:r>
        <w:rPr>
          <w:rFonts w:hint="eastAsia" w:ascii="仿宋_GB2312" w:hAnsi="Times New Roman" w:cs="Times New Roman"/>
          <w:b w:val="0"/>
          <w:bCs w:val="0"/>
          <w:color w:val="000000" w:themeColor="text1"/>
          <w:kern w:val="2"/>
          <w:sz w:val="32"/>
          <w:szCs w:val="32"/>
          <w14:textFill>
            <w14:solidFill>
              <w14:schemeClr w14:val="tx1"/>
            </w14:solidFill>
          </w14:textFill>
        </w:rPr>
        <w:t>根据《事业单位登记管理暂行条例实施细则》规定，本单位有下列情形之一的，应当向登记管理机关申请注销登记:</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(一)举办单位决定解散;</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(二)因合并、分立解散;</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(三)依照法律、法规和本单位章程，自行决定解散;</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(四)行政机关依照法律、行政法规责令撤销;</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(五)事业单位法人登记依法被撤销，或者事业单位法人证书依法被吊销;</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b w:val="0"/>
          <w:bCs w:val="0"/>
          <w:color w:val="000000" w:themeColor="text1"/>
          <w:kern w:val="2"/>
          <w:sz w:val="32"/>
          <w:szCs w:val="32"/>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(六)法律、法规规定的应当注销登记的其他情形。</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color w:val="000000" w:themeColor="text1"/>
          <w14:textFill>
            <w14:solidFill>
              <w14:schemeClr w14:val="tx1"/>
            </w14:solidFill>
          </w14:textFill>
        </w:rPr>
      </w:pPr>
      <w:r>
        <w:rPr>
          <w:rFonts w:hint="eastAsia" w:ascii="仿宋_GB2312" w:hAnsi="Times New Roman" w:cs="Times New Roman"/>
          <w:b w:val="0"/>
          <w:bCs w:val="0"/>
          <w:color w:val="000000" w:themeColor="text1"/>
          <w:kern w:val="2"/>
          <w:sz w:val="32"/>
          <w:szCs w:val="32"/>
          <w14:textFill>
            <w14:solidFill>
              <w14:schemeClr w14:val="tx1"/>
            </w14:solidFill>
          </w14:textFill>
        </w:rPr>
        <w:t>经登记管理机关注销</w:t>
      </w:r>
      <w:r>
        <w:rPr>
          <w:rFonts w:hint="eastAsia"/>
          <w:b w:val="0"/>
          <w:bCs w:val="0"/>
          <w:color w:val="000000" w:themeColor="text1"/>
          <w:sz w:val="32"/>
          <w:szCs w:val="32"/>
          <w14:textFill>
            <w14:solidFill>
              <w14:schemeClr w14:val="tx1"/>
            </w14:solidFill>
          </w14:textFill>
        </w:rPr>
        <w:t>登记，自核准注销登记之日起终止运行。</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第三十六条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本单位在申请注销登记前，应在</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市民政局</w:t>
      </w:r>
      <w:r>
        <w:rPr>
          <w:rFonts w:ascii="仿宋_GB2312" w:hAnsi="Times New Roman" w:cs="Times New Roman"/>
          <w:color w:val="000000" w:themeColor="text1"/>
          <w:kern w:val="2"/>
          <w:sz w:val="32"/>
          <w:szCs w:val="32"/>
          <w14:textFill>
            <w14:solidFill>
              <w14:schemeClr w14:val="tx1"/>
            </w14:solidFill>
          </w14:textFill>
        </w:rPr>
        <w:t>和有关机关的指导下，成立清算组织，开展清算工作。清算期间不开展清算以外的活动。</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第三十七条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清算工作结束后形成清算报告，报</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市民政局</w:t>
      </w:r>
      <w:r>
        <w:rPr>
          <w:rFonts w:ascii="仿宋_GB2312" w:hAnsi="Times New Roman" w:cs="Times New Roman"/>
          <w:color w:val="000000" w:themeColor="text1"/>
          <w:kern w:val="2"/>
          <w:sz w:val="32"/>
          <w:szCs w:val="32"/>
          <w14:textFill>
            <w14:solidFill>
              <w14:schemeClr w14:val="tx1"/>
            </w14:solidFill>
          </w14:textFill>
        </w:rPr>
        <w:t>审查同意，向</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市事业单位</w:t>
      </w:r>
      <w:r>
        <w:rPr>
          <w:rFonts w:ascii="仿宋_GB2312" w:hAnsi="Times New Roman" w:cs="Times New Roman"/>
          <w:color w:val="000000" w:themeColor="text1"/>
          <w:kern w:val="2"/>
          <w:sz w:val="32"/>
          <w:szCs w:val="32"/>
          <w14:textFill>
            <w14:solidFill>
              <w14:schemeClr w14:val="tx1"/>
            </w14:solidFill>
          </w14:textFill>
        </w:rPr>
        <w:t>登记管理</w:t>
      </w:r>
      <w:r>
        <w:rPr>
          <w:rFonts w:hint="eastAsia" w:ascii="仿宋_GB2312" w:hAnsi="Times New Roman" w:cs="Times New Roman"/>
          <w:color w:val="000000" w:themeColor="text1"/>
          <w:kern w:val="2"/>
          <w:sz w:val="32"/>
          <w:szCs w:val="32"/>
          <w:lang w:val="en-US" w:eastAsia="zh-CN"/>
          <w14:textFill>
            <w14:solidFill>
              <w14:schemeClr w14:val="tx1"/>
            </w14:solidFill>
          </w14:textFill>
        </w:rPr>
        <w:t>局</w:t>
      </w:r>
      <w:r>
        <w:rPr>
          <w:rFonts w:ascii="仿宋_GB2312" w:hAnsi="Times New Roman" w:cs="Times New Roman"/>
          <w:color w:val="000000" w:themeColor="text1"/>
          <w:kern w:val="2"/>
          <w:sz w:val="32"/>
          <w:szCs w:val="32"/>
          <w14:textFill>
            <w14:solidFill>
              <w14:schemeClr w14:val="tx1"/>
            </w14:solidFill>
          </w14:textFill>
        </w:rPr>
        <w:t>申请注销登记。</w:t>
      </w:r>
      <w:r>
        <w:rPr>
          <w:rFonts w:hint="eastAsia" w:ascii="仿宋_GB2312" w:hAnsi="Times New Roman" w:cs="Times New Roman"/>
          <w:color w:val="000000" w:themeColor="text1"/>
          <w:kern w:val="2"/>
          <w:sz w:val="32"/>
          <w:szCs w:val="32"/>
          <w14:textFill>
            <w14:solidFill>
              <w14:schemeClr w14:val="tx1"/>
            </w14:solidFill>
          </w14:textFill>
        </w:rPr>
        <w:t>本单位存在下列情形之一的，且资产及债权债务情况清晰明确，权利义务有承接单位的事业单位，可按照有关规定向</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市事业单位</w:t>
      </w:r>
      <w:r>
        <w:rPr>
          <w:rFonts w:hint="eastAsia" w:ascii="仿宋_GB2312" w:hAnsi="Times New Roman" w:cs="Times New Roman"/>
          <w:color w:val="000000" w:themeColor="text1"/>
          <w:kern w:val="2"/>
          <w:sz w:val="32"/>
          <w:szCs w:val="32"/>
          <w14:textFill>
            <w14:solidFill>
              <w14:schemeClr w14:val="tx1"/>
            </w14:solidFill>
          </w14:textFill>
        </w:rPr>
        <w:t>登记管理</w:t>
      </w:r>
      <w:r>
        <w:rPr>
          <w:rFonts w:hint="eastAsia" w:ascii="仿宋_GB2312" w:hAnsi="Times New Roman" w:cs="Times New Roman"/>
          <w:color w:val="000000" w:themeColor="text1"/>
          <w:kern w:val="2"/>
          <w:sz w:val="32"/>
          <w:szCs w:val="32"/>
          <w:lang w:val="en-US" w:eastAsia="zh-CN"/>
          <w14:textFill>
            <w14:solidFill>
              <w14:schemeClr w14:val="tx1"/>
            </w14:solidFill>
          </w14:textFill>
        </w:rPr>
        <w:t>局</w:t>
      </w:r>
      <w:r>
        <w:rPr>
          <w:rFonts w:hint="eastAsia" w:ascii="仿宋_GB2312" w:hAnsi="Times New Roman" w:cs="Times New Roman"/>
          <w:color w:val="000000" w:themeColor="text1"/>
          <w:kern w:val="2"/>
          <w:sz w:val="32"/>
          <w:szCs w:val="32"/>
          <w14:textFill>
            <w14:solidFill>
              <w14:schemeClr w14:val="tx1"/>
            </w14:solidFill>
          </w14:textFill>
        </w:rPr>
        <w:t>申请简易注销登记：</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转制为行政机构的；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转制为国有企业的；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因合并、分立解散的；</w:t>
      </w:r>
    </w:p>
    <w:p>
      <w:pPr>
        <w:keepNext w:val="0"/>
        <w:keepLines w:val="0"/>
        <w:pageBreakBefore w:val="0"/>
        <w:widowControl w:val="0"/>
        <w:numPr>
          <w:ilvl w:val="0"/>
          <w:numId w:val="2"/>
        </w:numPr>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直接撤销事业单位建制的。</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第三十八条</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本单位终止后的剩余资产，在</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市民政局</w:t>
      </w:r>
      <w:r>
        <w:rPr>
          <w:rFonts w:ascii="仿宋_GB2312" w:hAnsi="Times New Roman" w:cs="Times New Roman"/>
          <w:color w:val="000000" w:themeColor="text1"/>
          <w:kern w:val="2"/>
          <w:sz w:val="32"/>
          <w:szCs w:val="32"/>
          <w14:textFill>
            <w14:solidFill>
              <w14:schemeClr w14:val="tx1"/>
            </w14:solidFill>
          </w14:textFill>
        </w:rPr>
        <w:t>和</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w:t>
      </w:r>
      <w:r>
        <w:rPr>
          <w:rFonts w:ascii="仿宋_GB2312" w:hAnsi="Times New Roman" w:cs="Times New Roman"/>
          <w:color w:val="000000" w:themeColor="text1"/>
          <w:kern w:val="2"/>
          <w:sz w:val="32"/>
          <w:szCs w:val="32"/>
          <w14:textFill>
            <w14:solidFill>
              <w14:schemeClr w14:val="tx1"/>
            </w14:solidFill>
          </w14:textFill>
        </w:rPr>
        <w:t>财政、</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w:t>
      </w:r>
      <w:r>
        <w:rPr>
          <w:rFonts w:ascii="仿宋_GB2312" w:hAnsi="Times New Roman" w:cs="Times New Roman"/>
          <w:color w:val="000000" w:themeColor="text1"/>
          <w:kern w:val="2"/>
          <w:sz w:val="32"/>
          <w:szCs w:val="32"/>
          <w14:textFill>
            <w14:solidFill>
              <w14:schemeClr w14:val="tx1"/>
            </w14:solidFill>
          </w14:textFill>
        </w:rPr>
        <w:t>国有资产管理等部门的监督下，按照</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湛江市市直行政事业单位国有资产处置管理条暂行办法（2020年修订）</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ascii="仿宋_GB2312" w:hAnsi="Times New Roman" w:cs="Times New Roman"/>
          <w:color w:val="000000" w:themeColor="text1"/>
          <w:kern w:val="2"/>
          <w:sz w:val="32"/>
          <w:szCs w:val="32"/>
          <w14:textFill>
            <w14:solidFill>
              <w14:schemeClr w14:val="tx1"/>
            </w14:solidFill>
          </w14:textFill>
        </w:rPr>
        <w:t>有关法律法规和章程进行处置。</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560" w:firstLineChars="200"/>
        <w:jc w:val="both"/>
        <w:textAlignment w:val="baseline"/>
        <w:outlineLvl w:val="9"/>
        <w:rPr>
          <w:rFonts w:ascii="Times New Roman" w:hAnsi="Times New Roman" w:eastAsia="楷体_GB2312" w:cs="Times New Roman"/>
          <w:iCs/>
          <w:color w:val="000000" w:themeColor="text1"/>
          <w:kern w:val="2"/>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384"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章程修改</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ascii="仿宋_GB2312" w:hAnsi="Times New Roman"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第三十九条</w:t>
      </w:r>
      <w:r>
        <w:rPr>
          <w:rFonts w:hint="eastAsia" w:ascii="仿宋_GB2312" w:hAnsi="Times New Roman" w:cs="Times New Roman"/>
          <w:color w:val="000000" w:themeColor="text1"/>
          <w:kern w:val="2"/>
          <w:sz w:val="32"/>
          <w:szCs w:val="32"/>
          <w14:textFill>
            <w14:solidFill>
              <w14:schemeClr w14:val="tx1"/>
            </w14:solidFill>
          </w14:textFill>
        </w:rPr>
        <w:t xml:space="preserve">  本单位有下列情形之一，应当修改章程：</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（一）章程规定的事项与修改后的国家法律、行政法规的规定不符的；</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（二）章程内容与实际情况不符的；</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14:textFill>
            <w14:solidFill>
              <w14:schemeClr w14:val="tx1"/>
            </w14:solidFill>
          </w14:textFill>
        </w:rPr>
      </w:pP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lang w:val="en-US" w:eastAsia="zh-CN"/>
          <w14:textFill>
            <w14:solidFill>
              <w14:schemeClr w14:val="tx1"/>
            </w14:solidFill>
          </w14:textFill>
        </w:rPr>
        <w:t>三</w:t>
      </w:r>
      <w:r>
        <w:rPr>
          <w:rFonts w:hint="eastAsia" w:ascii="仿宋_GB2312" w:hAnsi="Times New Roman" w:cs="Times New Roman"/>
          <w:color w:val="000000" w:themeColor="text1"/>
          <w:kern w:val="2"/>
          <w:sz w:val="32"/>
          <w:szCs w:val="32"/>
          <w:lang w:eastAsia="zh-CN"/>
          <w14:textFill>
            <w14:solidFill>
              <w14:schemeClr w14:val="tx1"/>
            </w14:solidFill>
          </w14:textFill>
        </w:rPr>
        <w:t>）</w:t>
      </w:r>
      <w:r>
        <w:rPr>
          <w:rFonts w:hint="eastAsia" w:ascii="仿宋_GB2312" w:hAnsi="Times New Roman" w:cs="Times New Roman"/>
          <w:color w:val="000000" w:themeColor="text1"/>
          <w:kern w:val="2"/>
          <w:sz w:val="32"/>
          <w:szCs w:val="32"/>
          <w14:textFill>
            <w14:solidFill>
              <w14:schemeClr w14:val="tx1"/>
            </w14:solidFill>
          </w14:textFill>
        </w:rPr>
        <w:t>应当修改章程的其他情形。</w:t>
      </w:r>
    </w:p>
    <w:p>
      <w:pPr>
        <w:keepNext w:val="0"/>
        <w:keepLines w:val="0"/>
        <w:pageBreakBefore w:val="0"/>
        <w:widowControl w:val="0"/>
        <w:kinsoku/>
        <w:wordWrap/>
        <w:overflowPunct/>
        <w:topLinePunct w:val="0"/>
        <w:autoSpaceDE/>
        <w:autoSpaceDN/>
        <w:bidi w:val="0"/>
        <w:adjustRightInd w:val="0"/>
        <w:snapToGrid w:val="0"/>
        <w:spacing w:line="384" w:lineRule="auto"/>
        <w:ind w:leftChars="0" w:right="0" w:firstLine="640" w:firstLineChars="200"/>
        <w:jc w:val="both"/>
        <w:textAlignment w:val="baseline"/>
        <w:outlineLvl w:val="9"/>
        <w:rPr>
          <w:rFonts w:hint="eastAsia" w:ascii="仿宋_GB2312" w:hAnsi="Times New Roman" w:cs="Times New Roman"/>
          <w:color w:val="000000" w:themeColor="text1"/>
          <w:kern w:val="2"/>
          <w:sz w:val="32"/>
          <w:szCs w:val="32"/>
          <w14:textFill>
            <w14:solidFill>
              <w14:schemeClr w14:val="tx1"/>
            </w14:solidFill>
          </w14:textFill>
        </w:rPr>
      </w:pPr>
      <w:r>
        <w:rPr>
          <w:rFonts w:hint="eastAsia" w:ascii="黑体" w:hAnsi="黑体" w:eastAsia="黑体" w:cs="Times New Roman"/>
          <w:color w:val="000000" w:themeColor="text1"/>
          <w:kern w:val="2"/>
          <w:sz w:val="32"/>
          <w:szCs w:val="32"/>
          <w14:textFill>
            <w14:solidFill>
              <w14:schemeClr w14:val="tx1"/>
            </w14:solidFill>
          </w14:textFill>
        </w:rPr>
        <w:t>第四十条</w:t>
      </w:r>
      <w:r>
        <w:rPr>
          <w:rFonts w:hint="eastAsia" w:ascii="仿宋_GB2312" w:hAnsi="Times New Roman" w:cs="Times New Roman"/>
          <w:color w:val="000000" w:themeColor="text1"/>
          <w:kern w:val="2"/>
          <w:sz w:val="32"/>
          <w:szCs w:val="32"/>
          <w14:textFill>
            <w14:solidFill>
              <w14:schemeClr w14:val="tx1"/>
            </w14:solidFill>
          </w14:textFill>
        </w:rPr>
        <w:t xml:space="preserve">  章程修改的草案应经</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市民政局</w:t>
      </w:r>
      <w:r>
        <w:rPr>
          <w:rFonts w:hint="eastAsia" w:ascii="仿宋_GB2312" w:hAnsi="Times New Roman" w:cs="Times New Roman"/>
          <w:color w:val="000000" w:themeColor="text1"/>
          <w:kern w:val="2"/>
          <w:sz w:val="32"/>
          <w:szCs w:val="32"/>
          <w14:textFill>
            <w14:solidFill>
              <w14:schemeClr w14:val="tx1"/>
            </w14:solidFill>
          </w14:textFill>
        </w:rPr>
        <w:t>审查核准同意，并向</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市事业单位</w:t>
      </w:r>
      <w:r>
        <w:rPr>
          <w:rFonts w:hint="eastAsia" w:ascii="仿宋_GB2312" w:hAnsi="Times New Roman" w:cs="Times New Roman"/>
          <w:color w:val="000000" w:themeColor="text1"/>
          <w:kern w:val="2"/>
          <w:sz w:val="32"/>
          <w:szCs w:val="32"/>
          <w14:textFill>
            <w14:solidFill>
              <w14:schemeClr w14:val="tx1"/>
            </w14:solidFill>
          </w14:textFill>
        </w:rPr>
        <w:t>登记管理</w:t>
      </w:r>
      <w:r>
        <w:rPr>
          <w:rFonts w:hint="eastAsia" w:ascii="仿宋_GB2312" w:hAnsi="Times New Roman" w:cs="Times New Roman"/>
          <w:color w:val="000000" w:themeColor="text1"/>
          <w:kern w:val="2"/>
          <w:sz w:val="32"/>
          <w:szCs w:val="32"/>
          <w:lang w:val="en-US" w:eastAsia="zh-CN"/>
          <w14:textFill>
            <w14:solidFill>
              <w14:schemeClr w14:val="tx1"/>
            </w14:solidFill>
          </w14:textFill>
        </w:rPr>
        <w:t>局</w:t>
      </w:r>
      <w:r>
        <w:rPr>
          <w:rFonts w:hint="eastAsia" w:ascii="仿宋_GB2312" w:hAnsi="Times New Roman" w:cs="Times New Roman"/>
          <w:color w:val="000000" w:themeColor="text1"/>
          <w:kern w:val="2"/>
          <w:sz w:val="32"/>
          <w:szCs w:val="32"/>
          <w14:textFill>
            <w14:solidFill>
              <w14:schemeClr w14:val="tx1"/>
            </w14:solidFill>
          </w14:textFill>
        </w:rPr>
        <w:t>备案。涉及事业单位法人登记事项的，须向</w:t>
      </w:r>
      <w:r>
        <w:rPr>
          <w:rFonts w:hint="eastAsia" w:ascii="仿宋_GB2312" w:hAnsi="Times New Roman" w:cs="Times New Roman"/>
          <w:color w:val="000000" w:themeColor="text1"/>
          <w:kern w:val="2"/>
          <w:sz w:val="32"/>
          <w:szCs w:val="32"/>
          <w:lang w:val="en-US" w:eastAsia="zh-CN"/>
          <w14:textFill>
            <w14:solidFill>
              <w14:schemeClr w14:val="tx1"/>
            </w14:solidFill>
          </w14:textFill>
        </w:rPr>
        <w:t>市事业单位</w:t>
      </w:r>
      <w:r>
        <w:rPr>
          <w:rFonts w:hint="eastAsia" w:ascii="仿宋_GB2312" w:hAnsi="Times New Roman" w:cs="Times New Roman"/>
          <w:color w:val="000000" w:themeColor="text1"/>
          <w:kern w:val="2"/>
          <w:sz w:val="32"/>
          <w:szCs w:val="32"/>
          <w14:textFill>
            <w14:solidFill>
              <w14:schemeClr w14:val="tx1"/>
            </w14:solidFill>
          </w14:textFill>
        </w:rPr>
        <w:t>登记管理</w:t>
      </w:r>
      <w:r>
        <w:rPr>
          <w:rFonts w:hint="eastAsia" w:ascii="仿宋_GB2312" w:hAnsi="Times New Roman" w:cs="Times New Roman"/>
          <w:color w:val="000000" w:themeColor="text1"/>
          <w:kern w:val="2"/>
          <w:sz w:val="32"/>
          <w:szCs w:val="32"/>
          <w:lang w:val="en-US" w:eastAsia="zh-CN"/>
          <w14:textFill>
            <w14:solidFill>
              <w14:schemeClr w14:val="tx1"/>
            </w14:solidFill>
          </w14:textFill>
        </w:rPr>
        <w:t>局</w:t>
      </w:r>
      <w:r>
        <w:rPr>
          <w:rFonts w:hint="eastAsia" w:ascii="仿宋_GB2312" w:hAnsi="Times New Roman" w:cs="Times New Roman"/>
          <w:color w:val="000000" w:themeColor="text1"/>
          <w:kern w:val="2"/>
          <w:sz w:val="32"/>
          <w:szCs w:val="32"/>
          <w14:textFill>
            <w14:solidFill>
              <w14:schemeClr w14:val="tx1"/>
            </w14:solidFill>
          </w14:textFill>
        </w:rPr>
        <w:t>申请变更登记。</w:t>
      </w:r>
    </w:p>
    <w:p>
      <w:pPr>
        <w:keepNext w:val="0"/>
        <w:keepLines w:val="0"/>
        <w:pageBreakBefore w:val="0"/>
        <w:widowControl w:val="0"/>
        <w:kinsoku/>
        <w:wordWrap/>
        <w:overflowPunct/>
        <w:topLinePunct w:val="0"/>
        <w:autoSpaceDE/>
        <w:autoSpaceDN/>
        <w:bidi w:val="0"/>
        <w:adjustRightInd w:val="0"/>
        <w:snapToGrid w:val="0"/>
        <w:spacing w:line="384" w:lineRule="auto"/>
        <w:ind w:left="0" w:leftChars="0" w:right="0" w:firstLine="0" w:firstLineChars="0"/>
        <w:jc w:val="center"/>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第十一章</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附</w:t>
      </w:r>
      <w:r>
        <w:rPr>
          <w:rFonts w:ascii="Times New Roman" w:hAnsi="Times New Roman" w:eastAsia="黑体" w:cs="Times New Roman"/>
          <w:color w:val="000000" w:themeColor="text1"/>
          <w:kern w:val="2"/>
          <w:sz w:val="32"/>
          <w:szCs w:val="32"/>
          <w14:textFill>
            <w14:solidFill>
              <w14:schemeClr w14:val="tx1"/>
            </w14:solidFill>
          </w14:textFill>
        </w:rPr>
        <w:t xml:space="preserve">  </w:t>
      </w:r>
      <w:r>
        <w:rPr>
          <w:rFonts w:ascii="黑体" w:hAnsi="黑体" w:eastAsia="黑体" w:cs="Times New Roman"/>
          <w:color w:val="000000" w:themeColor="text1"/>
          <w:kern w:val="2"/>
          <w:sz w:val="32"/>
          <w:szCs w:val="32"/>
          <w14:textFill>
            <w14:solidFill>
              <w14:schemeClr w14:val="tx1"/>
            </w14:solidFill>
          </w14:textFill>
        </w:rPr>
        <w:t>则</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eastAsia="黑体" w:cs="Times New Roman"/>
          <w:color w:val="000000" w:themeColor="text1"/>
          <w:kern w:val="2"/>
          <w:sz w:val="32"/>
          <w:szCs w:val="32"/>
          <w14:textFill>
            <w14:solidFill>
              <w14:schemeClr w14:val="tx1"/>
            </w14:solidFill>
          </w14:textFill>
        </w:rPr>
      </w:pPr>
      <w:r>
        <w:rPr>
          <w:rFonts w:ascii="Times New Roman" w:hAnsi="Times New Roman" w:eastAsia="黑体"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第四十一条</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本章程于</w:t>
      </w:r>
      <w:r>
        <w:rPr>
          <w:rFonts w:hint="eastAsia" w:ascii="仿宋_GB2312" w:hAnsi="Times New Roman" w:cs="Times New Roman"/>
          <w:color w:val="000000" w:themeColor="text1"/>
          <w:kern w:val="2"/>
          <w:sz w:val="32"/>
          <w:szCs w:val="32"/>
          <w:lang w:val="en-US" w:eastAsia="zh-CN"/>
          <w14:textFill>
            <w14:solidFill>
              <w14:schemeClr w14:val="tx1"/>
            </w14:solidFill>
          </w14:textFill>
        </w:rPr>
        <w:t>2023</w:t>
      </w:r>
      <w:r>
        <w:rPr>
          <w:rFonts w:ascii="仿宋_GB2312" w:hAnsi="Times New Roman" w:cs="Times New Roman"/>
          <w:color w:val="000000" w:themeColor="text1"/>
          <w:kern w:val="2"/>
          <w:sz w:val="32"/>
          <w:szCs w:val="32"/>
          <w14:textFill>
            <w14:solidFill>
              <w14:schemeClr w14:val="tx1"/>
            </w14:solidFill>
          </w14:textFill>
        </w:rPr>
        <w:t>年</w:t>
      </w:r>
      <w:r>
        <w:rPr>
          <w:rFonts w:hint="eastAsia" w:ascii="仿宋_GB2312" w:hAnsi="Times New Roman" w:cs="Times New Roman"/>
          <w:color w:val="000000" w:themeColor="text1"/>
          <w:kern w:val="2"/>
          <w:sz w:val="32"/>
          <w:szCs w:val="32"/>
          <w:lang w:val="en-US" w:eastAsia="zh-CN"/>
          <w14:textFill>
            <w14:solidFill>
              <w14:schemeClr w14:val="tx1"/>
            </w14:solidFill>
          </w14:textFill>
        </w:rPr>
        <w:t>9</w:t>
      </w:r>
      <w:r>
        <w:rPr>
          <w:rFonts w:ascii="仿宋_GB2312" w:hAnsi="Times New Roman" w:cs="Times New Roman"/>
          <w:color w:val="000000" w:themeColor="text1"/>
          <w:kern w:val="2"/>
          <w:sz w:val="32"/>
          <w:szCs w:val="32"/>
          <w14:textFill>
            <w14:solidFill>
              <w14:schemeClr w14:val="tx1"/>
            </w14:solidFill>
          </w14:textFill>
        </w:rPr>
        <w:t>月</w:t>
      </w:r>
      <w:r>
        <w:rPr>
          <w:rFonts w:hint="eastAsia" w:ascii="仿宋_GB2312" w:hAnsi="Times New Roman" w:cs="Times New Roman"/>
          <w:color w:val="000000" w:themeColor="text1"/>
          <w:kern w:val="2"/>
          <w:sz w:val="32"/>
          <w:szCs w:val="32"/>
          <w:lang w:val="en-US" w:eastAsia="zh-CN"/>
          <w14:textFill>
            <w14:solidFill>
              <w14:schemeClr w14:val="tx1"/>
            </w14:solidFill>
          </w14:textFill>
        </w:rPr>
        <w:t>5</w:t>
      </w:r>
      <w:r>
        <w:rPr>
          <w:rFonts w:ascii="仿宋_GB2312" w:hAnsi="Times New Roman" w:cs="Times New Roman"/>
          <w:color w:val="000000" w:themeColor="text1"/>
          <w:kern w:val="2"/>
          <w:sz w:val="32"/>
          <w:szCs w:val="32"/>
          <w14:textFill>
            <w14:solidFill>
              <w14:schemeClr w14:val="tx1"/>
            </w14:solidFill>
          </w14:textFill>
        </w:rPr>
        <w:t>日经</w:t>
      </w:r>
      <w:r>
        <w:rPr>
          <w:rFonts w:hint="eastAsia" w:ascii="仿宋_GB2312" w:hAnsi="Times New Roman" w:cs="Times New Roman"/>
          <w:color w:val="000000" w:themeColor="text1"/>
          <w:kern w:val="2"/>
          <w:sz w:val="32"/>
          <w:szCs w:val="32"/>
          <w:lang w:val="en-US" w:eastAsia="zh-CN"/>
          <w14:textFill>
            <w14:solidFill>
              <w14:schemeClr w14:val="tx1"/>
            </w14:solidFill>
          </w14:textFill>
        </w:rPr>
        <w:t>行政办公会议</w:t>
      </w:r>
      <w:r>
        <w:rPr>
          <w:rFonts w:ascii="仿宋_GB2312" w:hAnsi="Times New Roman" w:cs="Times New Roman"/>
          <w:color w:val="000000" w:themeColor="text1"/>
          <w:kern w:val="2"/>
          <w:sz w:val="32"/>
          <w:szCs w:val="32"/>
          <w14:textFill>
            <w14:solidFill>
              <w14:schemeClr w14:val="tx1"/>
            </w14:solidFill>
          </w14:textFill>
        </w:rPr>
        <w:t>表决通过。</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第四十二条</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本章程内容如与法律法规、行政规章及国家政策相抵触时，应以法律法规</w:t>
      </w:r>
      <w:r>
        <w:rPr>
          <w:rFonts w:hint="eastAsia" w:ascii="仿宋_GB2312" w:hAnsi="Times New Roman" w:cs="Times New Roman"/>
          <w:color w:val="000000" w:themeColor="text1"/>
          <w:kern w:val="2"/>
          <w:sz w:val="32"/>
          <w:szCs w:val="32"/>
          <w14:textFill>
            <w14:solidFill>
              <w14:schemeClr w14:val="tx1"/>
            </w14:solidFill>
          </w14:textFill>
        </w:rPr>
        <w:t>、</w:t>
      </w:r>
      <w:r>
        <w:rPr>
          <w:rFonts w:ascii="仿宋_GB2312" w:hAnsi="Times New Roman" w:cs="Times New Roman"/>
          <w:color w:val="000000" w:themeColor="text1"/>
          <w:kern w:val="2"/>
          <w:sz w:val="32"/>
          <w:szCs w:val="32"/>
          <w14:textFill>
            <w14:solidFill>
              <w14:schemeClr w14:val="tx1"/>
            </w14:solidFill>
          </w14:textFill>
        </w:rPr>
        <w:t>行政规章及国家政策的规定为准。涉及事业单位法人登记事项的，以登记管理机关核准颁发的《事业单位法人证书》刊载内容为准。</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仿宋_GB2312"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第四十三条</w:t>
      </w:r>
      <w:r>
        <w:rPr>
          <w:rFonts w:ascii="Times New Roman" w:hAnsi="Times New Roman" w:cs="Times New Roman"/>
          <w:color w:val="000000" w:themeColor="text1"/>
          <w:kern w:val="2"/>
          <w:sz w:val="32"/>
          <w:szCs w:val="32"/>
          <w14:textFill>
            <w14:solidFill>
              <w14:schemeClr w14:val="tx1"/>
            </w14:solidFill>
          </w14:textFill>
        </w:rPr>
        <w:t xml:space="preserve">  </w:t>
      </w:r>
      <w:r>
        <w:rPr>
          <w:rFonts w:ascii="仿宋_GB2312" w:hAnsi="Times New Roman" w:cs="Times New Roman"/>
          <w:color w:val="000000" w:themeColor="text1"/>
          <w:kern w:val="2"/>
          <w:sz w:val="32"/>
          <w:szCs w:val="32"/>
          <w14:textFill>
            <w14:solidFill>
              <w14:schemeClr w14:val="tx1"/>
            </w14:solidFill>
          </w14:textFill>
        </w:rPr>
        <w:t>本章程的解释权属于</w:t>
      </w:r>
      <w:r>
        <w:rPr>
          <w:rFonts w:hint="eastAsia" w:ascii="仿宋_GB2312" w:hAnsi="Times New Roman" w:cs="Times New Roman"/>
          <w:color w:val="000000" w:themeColor="text1"/>
          <w:kern w:val="2"/>
          <w:sz w:val="32"/>
          <w:szCs w:val="32"/>
          <w:lang w:val="en-US" w:eastAsia="zh-CN"/>
          <w14:textFill>
            <w14:solidFill>
              <w14:schemeClr w14:val="tx1"/>
            </w14:solidFill>
          </w14:textFill>
        </w:rPr>
        <w:t>湛江市养老服务中心</w:t>
      </w:r>
      <w:r>
        <w:rPr>
          <w:rFonts w:ascii="仿宋_GB2312" w:hAnsi="Times New Roman" w:cs="Times New Roman"/>
          <w:color w:val="000000" w:themeColor="text1"/>
          <w:kern w:val="2"/>
          <w:sz w:val="32"/>
          <w:szCs w:val="32"/>
          <w14:textFill>
            <w14:solidFill>
              <w14:schemeClr w14:val="tx1"/>
            </w14:solidFill>
          </w14:textFill>
        </w:rPr>
        <w:t>。</w:t>
      </w:r>
    </w:p>
    <w:p>
      <w:pPr>
        <w:keepNext w:val="0"/>
        <w:keepLines w:val="0"/>
        <w:pageBreakBefore w:val="0"/>
        <w:widowControl w:val="0"/>
        <w:kinsoku/>
        <w:wordWrap/>
        <w:overflowPunct/>
        <w:topLinePunct w:val="0"/>
        <w:autoSpaceDN/>
        <w:bidi w:val="0"/>
        <w:adjustRightInd w:val="0"/>
        <w:snapToGrid w:val="0"/>
        <w:spacing w:line="360" w:lineRule="auto"/>
        <w:ind w:leftChars="0" w:right="0" w:firstLine="640" w:firstLineChars="200"/>
        <w:jc w:val="both"/>
        <w:textAlignment w:val="baseline"/>
        <w:outlineLvl w:val="9"/>
        <w:rPr>
          <w:rFonts w:ascii="仿宋_GB2312" w:hAnsi="Times New Roman" w:cs="Times New Roman"/>
          <w:color w:val="000000" w:themeColor="text1"/>
          <w:kern w:val="2"/>
          <w:sz w:val="32"/>
          <w:szCs w:val="32"/>
          <w14:textFill>
            <w14:solidFill>
              <w14:schemeClr w14:val="tx1"/>
            </w14:solidFill>
          </w14:textFill>
        </w:rPr>
      </w:pPr>
      <w:r>
        <w:rPr>
          <w:rFonts w:ascii="黑体" w:hAnsi="黑体" w:eastAsia="黑体" w:cs="Times New Roman"/>
          <w:color w:val="000000" w:themeColor="text1"/>
          <w:kern w:val="2"/>
          <w:sz w:val="32"/>
          <w:szCs w:val="32"/>
          <w14:textFill>
            <w14:solidFill>
              <w14:schemeClr w14:val="tx1"/>
            </w14:solidFill>
          </w14:textFill>
        </w:rPr>
        <w:t>第四十四条</w:t>
      </w:r>
      <w:r>
        <w:rPr>
          <w:rFonts w:hint="eastAsia" w:ascii="仿宋_GB2312" w:hAnsi="Times New Roman" w:cs="Times New Roman"/>
          <w:color w:val="000000" w:themeColor="text1"/>
          <w:kern w:val="2"/>
          <w:sz w:val="32"/>
          <w:szCs w:val="32"/>
          <w14:textFill>
            <w14:solidFill>
              <w14:schemeClr w14:val="tx1"/>
            </w14:solidFill>
          </w14:textFill>
        </w:rPr>
        <w:t xml:space="preserve">  本章程自</w:t>
      </w:r>
      <w:r>
        <w:rPr>
          <w:rFonts w:hint="eastAsia" w:ascii="仿宋_GB2312" w:hAnsi="Times New Roman" w:cs="Times New Roman"/>
          <w:color w:val="000000" w:themeColor="text1"/>
          <w:kern w:val="2"/>
          <w:sz w:val="32"/>
          <w:szCs w:val="32"/>
          <w:lang w:val="en-US" w:eastAsia="zh-CN"/>
          <w14:textFill>
            <w14:solidFill>
              <w14:schemeClr w14:val="tx1"/>
            </w14:solidFill>
          </w14:textFill>
        </w:rPr>
        <w:t>9月7日</w:t>
      </w:r>
      <w:r>
        <w:rPr>
          <w:rFonts w:hint="eastAsia" w:ascii="仿宋_GB2312" w:hAnsi="Times New Roman" w:cs="Times New Roman"/>
          <w:color w:val="000000" w:themeColor="text1"/>
          <w:kern w:val="2"/>
          <w:sz w:val="32"/>
          <w:szCs w:val="32"/>
          <w14:textFill>
            <w14:solidFill>
              <w14:schemeClr w14:val="tx1"/>
            </w14:solidFill>
          </w14:textFill>
        </w:rPr>
        <w:t>起生效。</w:t>
      </w:r>
    </w:p>
    <w:p>
      <w:pPr>
        <w:keepNext w:val="0"/>
        <w:keepLines w:val="0"/>
        <w:pageBreakBefore w:val="0"/>
        <w:widowControl w:val="0"/>
        <w:kinsoku/>
        <w:wordWrap/>
        <w:overflowPunct/>
        <w:topLinePunct w:val="0"/>
        <w:autoSpaceDN/>
        <w:bidi w:val="0"/>
        <w:adjustRightInd w:val="0"/>
        <w:snapToGrid w:val="0"/>
        <w:spacing w:line="54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4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6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p>
    <w:p>
      <w:pPr>
        <w:keepNext w:val="0"/>
        <w:keepLines w:val="0"/>
        <w:pageBreakBefore w:val="0"/>
        <w:widowControl w:val="0"/>
        <w:kinsoku/>
        <w:wordWrap/>
        <w:overflowPunct/>
        <w:topLinePunct w:val="0"/>
        <w:autoSpaceDN/>
        <w:bidi w:val="0"/>
        <w:adjustRightInd w:val="0"/>
        <w:snapToGrid w:val="0"/>
        <w:spacing w:line="560" w:lineRule="exact"/>
        <w:ind w:leftChars="0" w:right="0" w:firstLine="640" w:firstLineChars="200"/>
        <w:jc w:val="both"/>
        <w:textAlignment w:val="baseline"/>
        <w:outlineLvl w:val="9"/>
        <w:rPr>
          <w:rFonts w:ascii="Times New Roman" w:hAnsi="Times New Roman" w:cs="Times New Roman"/>
          <w:color w:val="000000" w:themeColor="text1"/>
          <w:kern w:val="2"/>
          <w:sz w:val="32"/>
          <w:szCs w:val="32"/>
          <w14:textFill>
            <w14:solidFill>
              <w14:schemeClr w14:val="tx1"/>
            </w14:solidFill>
          </w14:textFill>
        </w:rPr>
      </w:pPr>
      <w:r>
        <w:rPr>
          <w:rFonts w:ascii="Times New Roman" w:hAnsi="Times New Roman" w:cs="Times New Roman"/>
          <w:color w:val="000000" w:themeColor="text1"/>
          <w:kern w:val="2"/>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val="0"/>
        <w:snapToGrid w:val="0"/>
        <w:spacing w:line="480" w:lineRule="auto"/>
        <w:ind w:leftChars="0" w:right="0" w:firstLine="640" w:firstLineChars="200"/>
        <w:jc w:val="both"/>
        <w:textAlignment w:val="baseline"/>
        <w:outlineLvl w:val="9"/>
        <w:rPr>
          <w:rFonts w:hint="default"/>
          <w:color w:val="000000" w:themeColor="text1"/>
          <w:lang w:val="en-US" w:eastAsia="zh-CN"/>
          <w14:textFill>
            <w14:solidFill>
              <w14:schemeClr w14:val="tx1"/>
            </w14:solidFill>
          </w14:textFill>
        </w:rPr>
      </w:pPr>
      <w:r>
        <w:rPr>
          <w:rFonts w:hint="eastAsia" w:ascii="仿宋_GB2312" w:hAnsi="Times New Roman" w:cs="Times New Roman"/>
          <w:color w:val="000000" w:themeColor="text1"/>
          <w:kern w:val="2"/>
          <w:sz w:val="32"/>
          <w:szCs w:val="32"/>
          <w14:textFill>
            <w14:solidFill>
              <w14:schemeClr w14:val="tx1"/>
            </w14:solidFill>
          </w14:textFill>
        </w:rPr>
        <w:t>法定代表人签字：</w:t>
      </w:r>
    </w:p>
    <w:p>
      <w:pPr>
        <w:widowControl w:val="0"/>
        <w:wordWrap/>
        <w:adjustRightInd/>
        <w:snapToGrid/>
        <w:spacing w:before="0" w:beforeLines="0" w:line="240" w:lineRule="auto"/>
        <w:ind w:left="0" w:leftChars="0" w:firstLine="640" w:firstLineChars="200"/>
        <w:textAlignment w:val="auto"/>
        <w:outlineLvl w:val="9"/>
        <w:rPr>
          <w:rFonts w:hint="eastAsia" w:ascii="仿宋_GB2312" w:hAnsi="Times New Roman" w:cs="Times New Roman"/>
          <w:color w:val="000000" w:themeColor="text1"/>
          <w:kern w:val="2"/>
          <w:sz w:val="32"/>
          <w:szCs w:val="32"/>
          <w:lang w:val="en-US" w:eastAsia="zh-CN"/>
          <w14:textFill>
            <w14:solidFill>
              <w14:schemeClr w14:val="tx1"/>
            </w14:solidFill>
          </w14:textFill>
        </w:rPr>
      </w:pPr>
      <w:r>
        <w:rPr>
          <w:rFonts w:hint="eastAsia" w:ascii="仿宋_GB2312" w:hAnsi="Times New Roman" w:cs="Times New Roman"/>
          <w:color w:val="000000" w:themeColor="text1"/>
          <w:kern w:val="2"/>
          <w:sz w:val="32"/>
          <w:szCs w:val="32"/>
          <w:lang w:val="en-US" w:eastAsia="zh-CN"/>
          <w14:textFill>
            <w14:solidFill>
              <w14:schemeClr w14:val="tx1"/>
            </w14:solidFill>
          </w14:textFill>
        </w:rPr>
        <w:t>湛江市养老服务中心</w:t>
      </w:r>
      <w:r>
        <w:rPr>
          <w:rFonts w:hint="eastAsia" w:ascii="仿宋_GB2312" w:hAnsi="Times New Roman" w:cs="Times New Roman"/>
          <w:color w:val="000000" w:themeColor="text1"/>
          <w:kern w:val="2"/>
          <w:sz w:val="32"/>
          <w:szCs w:val="32"/>
          <w14:textFill>
            <w14:solidFill>
              <w14:schemeClr w14:val="tx1"/>
            </w14:solidFill>
          </w14:textFill>
        </w:rPr>
        <w:t xml:space="preserve">         </w:t>
      </w:r>
      <w:r>
        <w:rPr>
          <w:rFonts w:hint="eastAsia" w:ascii="仿宋_GB2312" w:hAnsi="Times New Roman"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cs="Times New Roman"/>
          <w:color w:val="000000" w:themeColor="text1"/>
          <w:kern w:val="2"/>
          <w:sz w:val="32"/>
          <w:szCs w:val="32"/>
          <w14:textFill>
            <w14:solidFill>
              <w14:schemeClr w14:val="tx1"/>
            </w14:solidFill>
          </w14:textFill>
        </w:rPr>
        <w:t xml:space="preserve"> </w:t>
      </w:r>
      <w:r>
        <w:rPr>
          <w:rFonts w:hint="eastAsia" w:ascii="仿宋_GB2312" w:hAnsi="Times New Roman" w:cs="Times New Roman"/>
          <w:color w:val="000000" w:themeColor="text1"/>
          <w:kern w:val="2"/>
          <w:sz w:val="32"/>
          <w:szCs w:val="32"/>
          <w:lang w:val="en-US" w:eastAsia="zh-CN"/>
          <w14:textFill>
            <w14:solidFill>
              <w14:schemeClr w14:val="tx1"/>
            </w14:solidFill>
          </w14:textFill>
        </w:rPr>
        <w:t>湛江市民政局</w:t>
      </w:r>
    </w:p>
    <w:p>
      <w:pPr>
        <w:widowControl w:val="0"/>
        <w:wordWrap/>
        <w:adjustRightInd/>
        <w:snapToGrid/>
        <w:spacing w:before="0" w:beforeLines="0" w:line="240" w:lineRule="auto"/>
        <w:ind w:firstLine="960" w:firstLineChars="300"/>
        <w:textAlignment w:val="auto"/>
        <w:outlineLvl w:val="9"/>
        <w:rPr>
          <w:rFonts w:ascii="Times New Roman" w:hAnsi="Times New Roman" w:cs="Times New Roman"/>
          <w:color w:val="000000" w:themeColor="text1"/>
          <w:kern w:val="2"/>
          <w:sz w:val="32"/>
          <w:szCs w:val="32"/>
          <w14:textFill>
            <w14:solidFill>
              <w14:schemeClr w14:val="tx1"/>
            </w14:solidFill>
          </w14:textFill>
        </w:rPr>
        <w:sectPr>
          <w:footerReference r:id="rId5" w:type="default"/>
          <w:pgSz w:w="11906" w:h="16838"/>
          <w:pgMar w:top="1701" w:right="1474" w:bottom="1587" w:left="1587" w:header="851" w:footer="1474" w:gutter="0"/>
          <w:cols w:space="720" w:num="1"/>
          <w:docGrid w:type="lines" w:linePitch="554" w:charSpace="0"/>
        </w:sectPr>
      </w:pPr>
      <w:r>
        <w:rPr>
          <w:rFonts w:hint="eastAsia" w:ascii="仿宋_GB2312" w:hAnsi="Times New Roman" w:cs="Times New Roman"/>
          <w:color w:val="000000" w:themeColor="text1"/>
          <w:kern w:val="2"/>
          <w:sz w:val="32"/>
          <w:szCs w:val="32"/>
          <w:lang w:val="en-US" w:eastAsia="zh-CN"/>
          <w14:textFill>
            <w14:solidFill>
              <w14:schemeClr w14:val="tx1"/>
            </w14:solidFill>
          </w14:textFill>
        </w:rPr>
        <w:t>2023</w:t>
      </w:r>
      <w:r>
        <w:rPr>
          <w:rFonts w:hint="eastAsia" w:ascii="仿宋_GB2312" w:hAnsi="Times New Roman" w:cs="Times New Roman"/>
          <w:color w:val="000000" w:themeColor="text1"/>
          <w:kern w:val="2"/>
          <w:sz w:val="32"/>
          <w:szCs w:val="32"/>
          <w14:textFill>
            <w14:solidFill>
              <w14:schemeClr w14:val="tx1"/>
            </w14:solidFill>
          </w14:textFill>
        </w:rPr>
        <w:t>年</w:t>
      </w:r>
      <w:r>
        <w:rPr>
          <w:rFonts w:hint="eastAsia" w:ascii="仿宋_GB2312" w:hAnsi="Times New Roman" w:cs="Times New Roman"/>
          <w:color w:val="000000" w:themeColor="text1"/>
          <w:kern w:val="2"/>
          <w:sz w:val="32"/>
          <w:szCs w:val="32"/>
          <w:lang w:val="en-US" w:eastAsia="zh-CN"/>
          <w14:textFill>
            <w14:solidFill>
              <w14:schemeClr w14:val="tx1"/>
            </w14:solidFill>
          </w14:textFill>
        </w:rPr>
        <w:t>9</w:t>
      </w:r>
      <w:r>
        <w:rPr>
          <w:rFonts w:hint="eastAsia" w:ascii="仿宋_GB2312" w:hAnsi="Times New Roman" w:cs="Times New Roman"/>
          <w:color w:val="000000" w:themeColor="text1"/>
          <w:kern w:val="2"/>
          <w:sz w:val="32"/>
          <w:szCs w:val="32"/>
          <w14:textFill>
            <w14:solidFill>
              <w14:schemeClr w14:val="tx1"/>
            </w14:solidFill>
          </w14:textFill>
        </w:rPr>
        <w:t>月</w:t>
      </w:r>
      <w:r>
        <w:rPr>
          <w:rFonts w:hint="eastAsia" w:ascii="仿宋_GB2312" w:hAnsi="Times New Roman" w:cs="Times New Roman"/>
          <w:color w:val="000000" w:themeColor="text1"/>
          <w:kern w:val="2"/>
          <w:sz w:val="32"/>
          <w:szCs w:val="32"/>
          <w:lang w:val="en-US" w:eastAsia="zh-CN"/>
          <w14:textFill>
            <w14:solidFill>
              <w14:schemeClr w14:val="tx1"/>
            </w14:solidFill>
          </w14:textFill>
        </w:rPr>
        <w:t>7</w:t>
      </w:r>
      <w:r>
        <w:rPr>
          <w:rFonts w:hint="eastAsia" w:ascii="仿宋_GB2312" w:hAnsi="Times New Roman" w:cs="Times New Roman"/>
          <w:color w:val="000000" w:themeColor="text1"/>
          <w:kern w:val="2"/>
          <w:sz w:val="32"/>
          <w:szCs w:val="32"/>
          <w14:textFill>
            <w14:solidFill>
              <w14:schemeClr w14:val="tx1"/>
            </w14:solidFill>
          </w14:textFill>
        </w:rPr>
        <w:t xml:space="preserve">日         </w:t>
      </w:r>
      <w:r>
        <w:rPr>
          <w:rFonts w:hint="eastAsia" w:ascii="仿宋_GB2312" w:hAnsi="Times New Roman" w:cs="Times New Roman"/>
          <w:color w:val="000000" w:themeColor="text1"/>
          <w:kern w:val="2"/>
          <w:sz w:val="32"/>
          <w:szCs w:val="32"/>
          <w:lang w:val="en-US" w:eastAsia="zh-CN"/>
          <w14:textFill>
            <w14:solidFill>
              <w14:schemeClr w14:val="tx1"/>
            </w14:solidFill>
          </w14:textFill>
        </w:rPr>
        <w:t xml:space="preserve"> </w:t>
      </w:r>
      <w:r>
        <w:rPr>
          <w:rFonts w:hint="eastAsia" w:ascii="仿宋_GB2312" w:hAnsi="Times New Roman" w:cs="Times New Roman"/>
          <w:color w:val="000000" w:themeColor="text1"/>
          <w:kern w:val="2"/>
          <w:sz w:val="32"/>
          <w:szCs w:val="32"/>
          <w14:textFill>
            <w14:solidFill>
              <w14:schemeClr w14:val="tx1"/>
            </w14:solidFill>
          </w14:textFill>
        </w:rPr>
        <w:t xml:space="preserve">    </w:t>
      </w:r>
      <w:r>
        <w:rPr>
          <w:rFonts w:hint="eastAsia" w:ascii="仿宋_GB2312" w:hAnsi="Times New Roman" w:cs="Times New Roman"/>
          <w:color w:val="000000" w:themeColor="text1"/>
          <w:kern w:val="2"/>
          <w:sz w:val="32"/>
          <w:szCs w:val="32"/>
          <w:lang w:val="en-US" w:eastAsia="zh-CN"/>
          <w14:textFill>
            <w14:solidFill>
              <w14:schemeClr w14:val="tx1"/>
            </w14:solidFill>
          </w14:textFill>
        </w:rPr>
        <w:t>2023</w:t>
      </w:r>
      <w:r>
        <w:rPr>
          <w:rFonts w:hint="eastAsia" w:ascii="仿宋_GB2312" w:hAnsi="Times New Roman" w:cs="Times New Roman"/>
          <w:color w:val="000000" w:themeColor="text1"/>
          <w:kern w:val="2"/>
          <w:sz w:val="32"/>
          <w:szCs w:val="32"/>
          <w14:textFill>
            <w14:solidFill>
              <w14:schemeClr w14:val="tx1"/>
            </w14:solidFill>
          </w14:textFill>
        </w:rPr>
        <w:t>年</w:t>
      </w:r>
      <w:r>
        <w:rPr>
          <w:rFonts w:hint="eastAsia" w:ascii="仿宋_GB2312" w:hAnsi="Times New Roman" w:cs="Times New Roman"/>
          <w:color w:val="000000" w:themeColor="text1"/>
          <w:kern w:val="2"/>
          <w:sz w:val="32"/>
          <w:szCs w:val="32"/>
          <w:lang w:val="en-US" w:eastAsia="zh-CN"/>
          <w14:textFill>
            <w14:solidFill>
              <w14:schemeClr w14:val="tx1"/>
            </w14:solidFill>
          </w14:textFill>
        </w:rPr>
        <w:t>9</w:t>
      </w:r>
      <w:r>
        <w:rPr>
          <w:rFonts w:hint="eastAsia" w:ascii="仿宋_GB2312" w:hAnsi="Times New Roman" w:cs="Times New Roman"/>
          <w:color w:val="000000" w:themeColor="text1"/>
          <w:kern w:val="2"/>
          <w:sz w:val="32"/>
          <w:szCs w:val="32"/>
          <w14:textFill>
            <w14:solidFill>
              <w14:schemeClr w14:val="tx1"/>
            </w14:solidFill>
          </w14:textFill>
        </w:rPr>
        <w:t>月</w:t>
      </w:r>
      <w:r>
        <w:rPr>
          <w:rFonts w:hint="eastAsia" w:ascii="仿宋_GB2312" w:hAnsi="Times New Roman" w:cs="Times New Roman"/>
          <w:color w:val="000000" w:themeColor="text1"/>
          <w:kern w:val="2"/>
          <w:sz w:val="32"/>
          <w:szCs w:val="32"/>
          <w:lang w:val="en-US" w:eastAsia="zh-CN"/>
          <w14:textFill>
            <w14:solidFill>
              <w14:schemeClr w14:val="tx1"/>
            </w14:solidFill>
          </w14:textFill>
        </w:rPr>
        <w:t>7</w:t>
      </w:r>
      <w:r>
        <w:rPr>
          <w:rFonts w:hint="eastAsia" w:ascii="仿宋_GB2312" w:hAnsi="Times New Roman" w:cs="Times New Roman"/>
          <w:color w:val="000000" w:themeColor="text1"/>
          <w:kern w:val="2"/>
          <w:sz w:val="32"/>
          <w:szCs w:val="32"/>
          <w14:textFill>
            <w14:solidFill>
              <w14:schemeClr w14:val="tx1"/>
            </w14:solidFill>
          </w14:textFill>
        </w:rPr>
        <w:t>日</w:t>
      </w:r>
      <w:bookmarkStart w:id="0" w:name="_GoBack"/>
      <w:bookmarkEnd w:id="0"/>
    </w:p>
    <w:p>
      <w:pPr>
        <w:widowControl w:val="0"/>
        <w:wordWrap/>
        <w:adjustRightInd/>
        <w:snapToGrid/>
        <w:spacing w:before="0" w:beforeLines="0" w:line="240" w:lineRule="auto"/>
        <w:ind w:left="0" w:leftChars="0" w:firstLine="0" w:firstLineChars="0"/>
        <w:textAlignment w:val="auto"/>
        <w:outlineLvl w:val="9"/>
        <w:rPr>
          <w:color w:val="auto"/>
        </w:rPr>
      </w:pPr>
    </w:p>
    <w:sectPr>
      <w:pgSz w:w="11906" w:h="16838"/>
      <w:pgMar w:top="1701" w:right="1474" w:bottom="158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BL25QFtgEAAFUDAAAOAAAAAAAAAAEAIAAAADQBAABkcnMvZTJv&#10;RG9jLnhtbFBLBQYAAAAABgAGAFkBAABcBQ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22761"/>
    <w:multiLevelType w:val="singleLevel"/>
    <w:tmpl w:val="1D222761"/>
    <w:lvl w:ilvl="0" w:tentative="0">
      <w:start w:val="1"/>
      <w:numFmt w:val="chineseCounting"/>
      <w:suff w:val="nothing"/>
      <w:lvlText w:val="（%1）"/>
      <w:lvlJc w:val="left"/>
      <w:rPr>
        <w:rFonts w:hint="eastAsia"/>
      </w:rPr>
    </w:lvl>
  </w:abstractNum>
  <w:abstractNum w:abstractNumId="1">
    <w:nsid w:val="620863A9"/>
    <w:multiLevelType w:val="singleLevel"/>
    <w:tmpl w:val="620863A9"/>
    <w:lvl w:ilvl="0" w:tentative="0">
      <w:start w:val="13"/>
      <w:numFmt w:val="chineseCounting"/>
      <w:suff w:val="space"/>
      <w:lvlText w:val="第%1条"/>
      <w:lvlJc w:val="left"/>
      <w:rPr>
        <w:rFonts w:hint="eastAsia" w:ascii="黑体" w:hAnsi="黑体" w:eastAsia="黑体" w:cs="黑体"/>
        <w:sz w:val="32"/>
        <w:szCs w:val="32"/>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2Y2I0ZGNlZDA1YmExMmEyYjQyNTU4MzgyZDVjMGUifQ=="/>
  </w:docVars>
  <w:rsids>
    <w:rsidRoot w:val="00AE7336"/>
    <w:rsid w:val="00416C14"/>
    <w:rsid w:val="00AE7336"/>
    <w:rsid w:val="00EC2339"/>
    <w:rsid w:val="01543C57"/>
    <w:rsid w:val="01553765"/>
    <w:rsid w:val="018B771C"/>
    <w:rsid w:val="021B4152"/>
    <w:rsid w:val="041F71F7"/>
    <w:rsid w:val="04B43984"/>
    <w:rsid w:val="04F02AF8"/>
    <w:rsid w:val="07147112"/>
    <w:rsid w:val="07E029B6"/>
    <w:rsid w:val="095C45FF"/>
    <w:rsid w:val="09E5370A"/>
    <w:rsid w:val="0A2F18AD"/>
    <w:rsid w:val="0AFB10C9"/>
    <w:rsid w:val="0BB46054"/>
    <w:rsid w:val="0CBF0C40"/>
    <w:rsid w:val="0D106818"/>
    <w:rsid w:val="0E983C22"/>
    <w:rsid w:val="1098394E"/>
    <w:rsid w:val="109E6C9D"/>
    <w:rsid w:val="118B085C"/>
    <w:rsid w:val="11B00E04"/>
    <w:rsid w:val="12192A7F"/>
    <w:rsid w:val="14003432"/>
    <w:rsid w:val="156965FF"/>
    <w:rsid w:val="160D3D54"/>
    <w:rsid w:val="174937F3"/>
    <w:rsid w:val="175C6F6A"/>
    <w:rsid w:val="1A2C3B35"/>
    <w:rsid w:val="1B186E43"/>
    <w:rsid w:val="1B9D4B32"/>
    <w:rsid w:val="1BC4604E"/>
    <w:rsid w:val="1CA968AD"/>
    <w:rsid w:val="1D9D45A6"/>
    <w:rsid w:val="1FF65182"/>
    <w:rsid w:val="1FF873E4"/>
    <w:rsid w:val="208E129B"/>
    <w:rsid w:val="20AA5E2F"/>
    <w:rsid w:val="22274B1A"/>
    <w:rsid w:val="22D00239"/>
    <w:rsid w:val="23957A8C"/>
    <w:rsid w:val="239926F9"/>
    <w:rsid w:val="247C37A0"/>
    <w:rsid w:val="252871F7"/>
    <w:rsid w:val="254863E9"/>
    <w:rsid w:val="28AA4F76"/>
    <w:rsid w:val="29A214B1"/>
    <w:rsid w:val="29DC2793"/>
    <w:rsid w:val="2B8B33EF"/>
    <w:rsid w:val="2BD20927"/>
    <w:rsid w:val="2C292736"/>
    <w:rsid w:val="2D7051A5"/>
    <w:rsid w:val="2EA32C7E"/>
    <w:rsid w:val="2EFC4E63"/>
    <w:rsid w:val="2F0C2317"/>
    <w:rsid w:val="30536D05"/>
    <w:rsid w:val="30E21731"/>
    <w:rsid w:val="322A6E48"/>
    <w:rsid w:val="32F860CE"/>
    <w:rsid w:val="33A23C86"/>
    <w:rsid w:val="33D431D0"/>
    <w:rsid w:val="349F59E9"/>
    <w:rsid w:val="359C4D22"/>
    <w:rsid w:val="35DD75FE"/>
    <w:rsid w:val="35F235F7"/>
    <w:rsid w:val="369218A5"/>
    <w:rsid w:val="371935C8"/>
    <w:rsid w:val="376561BD"/>
    <w:rsid w:val="37691503"/>
    <w:rsid w:val="382E5770"/>
    <w:rsid w:val="38CE51B0"/>
    <w:rsid w:val="38F117B0"/>
    <w:rsid w:val="38F9715A"/>
    <w:rsid w:val="39BF22C1"/>
    <w:rsid w:val="39D50BCC"/>
    <w:rsid w:val="3A7B4D82"/>
    <w:rsid w:val="3B1B5E2D"/>
    <w:rsid w:val="3BDD30D2"/>
    <w:rsid w:val="3BDF1D94"/>
    <w:rsid w:val="3C97266F"/>
    <w:rsid w:val="3CB77779"/>
    <w:rsid w:val="3E381B50"/>
    <w:rsid w:val="3E5F540E"/>
    <w:rsid w:val="3E86418F"/>
    <w:rsid w:val="3FF81676"/>
    <w:rsid w:val="410F4ECA"/>
    <w:rsid w:val="42141472"/>
    <w:rsid w:val="442C637C"/>
    <w:rsid w:val="44715C23"/>
    <w:rsid w:val="46BD19A6"/>
    <w:rsid w:val="46CD571A"/>
    <w:rsid w:val="47C004BB"/>
    <w:rsid w:val="482118CE"/>
    <w:rsid w:val="482639A0"/>
    <w:rsid w:val="49417BEA"/>
    <w:rsid w:val="4A4A2ACF"/>
    <w:rsid w:val="4B0D1A11"/>
    <w:rsid w:val="4B0E7FA0"/>
    <w:rsid w:val="4B7826B9"/>
    <w:rsid w:val="4B7A38EB"/>
    <w:rsid w:val="4C0805B1"/>
    <w:rsid w:val="4C2537F3"/>
    <w:rsid w:val="4C3C02D5"/>
    <w:rsid w:val="4C6065D9"/>
    <w:rsid w:val="4C973318"/>
    <w:rsid w:val="4D300650"/>
    <w:rsid w:val="503E216F"/>
    <w:rsid w:val="508458BF"/>
    <w:rsid w:val="50DB6613"/>
    <w:rsid w:val="51BD002A"/>
    <w:rsid w:val="523456B2"/>
    <w:rsid w:val="5397518A"/>
    <w:rsid w:val="53F42767"/>
    <w:rsid w:val="544B68C5"/>
    <w:rsid w:val="54AA3F05"/>
    <w:rsid w:val="54F55D2D"/>
    <w:rsid w:val="554967A4"/>
    <w:rsid w:val="566379CB"/>
    <w:rsid w:val="56850613"/>
    <w:rsid w:val="56BF2A96"/>
    <w:rsid w:val="56D24578"/>
    <w:rsid w:val="56F9152E"/>
    <w:rsid w:val="57624411"/>
    <w:rsid w:val="579536FE"/>
    <w:rsid w:val="57D73744"/>
    <w:rsid w:val="57DA5F78"/>
    <w:rsid w:val="57DA6058"/>
    <w:rsid w:val="589233DD"/>
    <w:rsid w:val="59A55F73"/>
    <w:rsid w:val="59B5448E"/>
    <w:rsid w:val="5A22092F"/>
    <w:rsid w:val="5A4E0252"/>
    <w:rsid w:val="5A7D7FB4"/>
    <w:rsid w:val="5B265EF0"/>
    <w:rsid w:val="5B413A7A"/>
    <w:rsid w:val="5C25649D"/>
    <w:rsid w:val="5C4750C0"/>
    <w:rsid w:val="5C8A050F"/>
    <w:rsid w:val="5C8E2444"/>
    <w:rsid w:val="5D573D3E"/>
    <w:rsid w:val="5D845EA0"/>
    <w:rsid w:val="5E0F6F66"/>
    <w:rsid w:val="5F20072A"/>
    <w:rsid w:val="60803296"/>
    <w:rsid w:val="60805092"/>
    <w:rsid w:val="62400DDA"/>
    <w:rsid w:val="6300421A"/>
    <w:rsid w:val="63BF2892"/>
    <w:rsid w:val="64C0606E"/>
    <w:rsid w:val="64FD3107"/>
    <w:rsid w:val="650E082F"/>
    <w:rsid w:val="67654F94"/>
    <w:rsid w:val="67CD6F5F"/>
    <w:rsid w:val="68DD679C"/>
    <w:rsid w:val="68FC5484"/>
    <w:rsid w:val="6AF3785D"/>
    <w:rsid w:val="6B4F2A52"/>
    <w:rsid w:val="6B715CB5"/>
    <w:rsid w:val="6BE97F42"/>
    <w:rsid w:val="6DDB5FB0"/>
    <w:rsid w:val="6DEA61F3"/>
    <w:rsid w:val="6F6E31AE"/>
    <w:rsid w:val="6F943F8D"/>
    <w:rsid w:val="6FC03A60"/>
    <w:rsid w:val="6FEC0000"/>
    <w:rsid w:val="70EE1B56"/>
    <w:rsid w:val="710169B7"/>
    <w:rsid w:val="714054AC"/>
    <w:rsid w:val="724445E8"/>
    <w:rsid w:val="72600EBF"/>
    <w:rsid w:val="72D10AFD"/>
    <w:rsid w:val="73BE0525"/>
    <w:rsid w:val="741F0407"/>
    <w:rsid w:val="74215A17"/>
    <w:rsid w:val="74541F02"/>
    <w:rsid w:val="74E12546"/>
    <w:rsid w:val="756248C1"/>
    <w:rsid w:val="76783DB3"/>
    <w:rsid w:val="76C0232C"/>
    <w:rsid w:val="77195F95"/>
    <w:rsid w:val="77976AA4"/>
    <w:rsid w:val="77F47B34"/>
    <w:rsid w:val="78372827"/>
    <w:rsid w:val="78804535"/>
    <w:rsid w:val="792F14C6"/>
    <w:rsid w:val="79586707"/>
    <w:rsid w:val="79894671"/>
    <w:rsid w:val="79A35446"/>
    <w:rsid w:val="7A6D21C7"/>
    <w:rsid w:val="7C1A5B2B"/>
    <w:rsid w:val="7C9712F4"/>
    <w:rsid w:val="AFEF5500"/>
    <w:rsid w:val="C7FF07A8"/>
    <w:rsid w:val="D36001D2"/>
    <w:rsid w:val="FEBFA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55" w:lineRule="atLeast"/>
      <w:ind w:firstLine="623"/>
      <w:jc w:val="both"/>
      <w:textAlignment w:val="baseline"/>
    </w:pPr>
    <w:rPr>
      <w:rFonts w:ascii="Calibri" w:hAnsi="Calibri" w:eastAsia="仿宋_GB2312" w:cs="Calibri"/>
      <w:color w:val="000000"/>
      <w:kern w:val="0"/>
      <w:sz w:val="31"/>
      <w:szCs w:val="3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 正文"/>
    <w:qFormat/>
    <w:uiPriority w:val="0"/>
    <w:pPr>
      <w:spacing w:line="555" w:lineRule="atLeast"/>
      <w:ind w:firstLine="623"/>
      <w:jc w:val="both"/>
      <w:textAlignment w:val="baseline"/>
    </w:pPr>
    <w:rPr>
      <w:rFonts w:ascii="Calibri" w:hAnsi="Calibri" w:eastAsia="仿宋_GB2312" w:cs="Times New Roman"/>
      <w:color w:val="000000"/>
      <w:sz w:val="31"/>
      <w:szCs w:val="22"/>
      <w:lang w:val="en-US" w:eastAsia="zh-CN" w:bidi="ar-SA"/>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9141</Words>
  <Characters>9148</Characters>
  <Lines>55</Lines>
  <Paragraphs>15</Paragraphs>
  <TotalTime>199</TotalTime>
  <ScaleCrop>false</ScaleCrop>
  <LinksUpToDate>false</LinksUpToDate>
  <CharactersWithSpaces>9405</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2023-06-21T16:09:00Z</dcterms:created>
  <dc:creator>1</dc:creator>
  <cp:lastModifiedBy>uos</cp:lastModifiedBy>
  <cp:lastPrinted>2023-09-26T15:37:00Z</cp:lastPrinted>
  <dcterms:modified xsi:type="dcterms:W3CDTF">2023-10-08T10:08:59Z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C118483919434F089A4A701164B96E20_13</vt:lpwstr>
  </property>
</Properties>
</file>