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3" w:firstLineChars="200"/>
        <w:jc w:val="both"/>
        <w:textAlignment w:val="auto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湛江市人力资源和社会保障局2022年度一般公共预算财政拨款“三公”经费支出决算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情况说明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仿宋_GB2312" w:hAnsi="宋体" w:eastAsia="仿宋_GB2312" w:cs="宋体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“三公”经费财政拨款支出决算总体情况说明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8" w:firstLineChars="200"/>
        <w:jc w:val="both"/>
        <w:textAlignment w:val="auto"/>
      </w:pPr>
      <w:r>
        <w:rPr>
          <w:rFonts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湛江市人力资源和社会保障局2022年度“三公”经费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财政拨款支出决算为26.91万元，完成全年预算31.15万元的86.4%，比上年决算数增加8.58万元，增长46.8%。其中：因公出国（境）费支出决算为0万元，完成预算0万元的--%（基数为0，不可比），比上年决算数增加0万元，增长--（基数为0，不可比）；公务用车购置及运行维护费支出决算为24.4万元，完成预算26.77万元的91.2%，比上年决算数增加10.65万元，增长77.4%；其中：公务用车购置支出决算为0万元，完成预算0万元的--%（基数为0，不可比），比上年决算数增加0万元，增长--（基数为0，不可比）；公务用车运行维护费支出决算为24.4万元，完成预算26.77万元的91.2%，比上年决算数增加10.65万元，增长77.4%；公务接待费支出决算为2.5万元，完成预算4.38万元的57.1%，比上年决算数减少2.07万元，下降45.2%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8" w:firstLineChars="200"/>
        <w:jc w:val="both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2022年度“三公”经费支出决算小于预算数的主要情况：认真贯彻落实中央八项规定精神和厉行节约的要求，从严控制“三公”经费开支，全年实际支出比预算有所节约。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8" w:firstLineChars="200"/>
        <w:jc w:val="both"/>
        <w:textAlignment w:val="auto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2022年度“三公”经费支出决算大于上年决算数的主要情况：一是公务车辆老旧，日常维修维护费用增加；二是使用次数增加，油费开支增加，导致本年度公务用车运行维护费增加。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二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“三公”经费财政拨款支出决算具体情况说明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宋体" w:eastAsia="仿宋_GB2312" w:cs="宋体"/>
          <w:sz w:val="32"/>
          <w:szCs w:val="32"/>
        </w:rPr>
      </w:pPr>
      <w:bookmarkStart w:id="0" w:name="PO_part3A3B2C2D2Use1"/>
      <w:r>
        <w:rPr>
          <w:rFonts w:hint="eastAsia" w:ascii="仿宋_GB2312" w:hAnsi="宋体" w:eastAsia="仿宋_GB2312" w:cs="宋体"/>
          <w:sz w:val="32"/>
          <w:szCs w:val="32"/>
        </w:rPr>
        <w:t>2022年度“三公”经费财政拨款支出决算中，因公出国（境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）</w:t>
      </w:r>
      <w:r>
        <w:rPr>
          <w:rFonts w:hint="eastAsia" w:ascii="仿宋_GB2312" w:hAnsi="宋体" w:eastAsia="仿宋_GB2312" w:cs="宋体"/>
          <w:sz w:val="32"/>
          <w:szCs w:val="32"/>
        </w:rPr>
        <w:t>费0万元，占0%；公务用车购置及运行维护费支出24.4万元，占90.7%；公务接待费支出2.5万元，占9.3%。具体情况如下：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 xml:space="preserve">1.因公出国（境）费支出0万元。全年使用财政拨款安排出国（境）团组0个、累计0人次。 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宋体" w:eastAsia="仿宋_GB2312" w:cs="宋体"/>
          <w:sz w:val="32"/>
          <w:szCs w:val="32"/>
        </w:rPr>
      </w:pPr>
      <w:bookmarkStart w:id="1" w:name="PO_part3A3B2C3GnjdInclude1"/>
      <w:r>
        <w:rPr>
          <w:rFonts w:hint="eastAsia" w:ascii="仿宋_GB2312" w:hAnsi="宋体" w:eastAsia="仿宋_GB2312" w:cs="宋体"/>
          <w:sz w:val="32"/>
          <w:szCs w:val="32"/>
        </w:rPr>
        <w:t>2.公务用车购置及运行维护费支出24.4万元，其中：公务用车购置支出为0万元，公务用车购置数0辆。公务用车运行维护费支出24.4万元，公务用车保有量为13辆，主要用于公务外出、调研下乡使用。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3.公务接待费支出2.5万元，主要用于接待上级部门调研指导及其他市级单位交流学习，共接待国外、境外来访团组0个，来访外宾0人次；发生国内接待15次，接待人数共224人。主要包括接待上级部门到本单位调研及督办指导工作，及其他地市交流学习接待工作。</w:t>
      </w:r>
      <w:bookmarkStart w:id="3" w:name="_GoBack"/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  <w:bookmarkEnd w:id="3"/>
      <w:bookmarkEnd w:id="1"/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宋体" w:eastAsia="仿宋_GB2312" w:cs="宋体"/>
          <w:sz w:val="32"/>
          <w:szCs w:val="32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/>
        </w:rPr>
      </w:pPr>
    </w:p>
    <w:tbl>
      <w:tblPr>
        <w:tblStyle w:val="4"/>
        <w:tblW w:w="92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3"/>
        <w:gridCol w:w="773"/>
        <w:gridCol w:w="774"/>
        <w:gridCol w:w="774"/>
        <w:gridCol w:w="774"/>
        <w:gridCol w:w="774"/>
        <w:gridCol w:w="773"/>
        <w:gridCol w:w="773"/>
        <w:gridCol w:w="773"/>
        <w:gridCol w:w="3"/>
        <w:gridCol w:w="770"/>
        <w:gridCol w:w="773"/>
        <w:gridCol w:w="7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928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</w:rPr>
              <w:t>财政拨款“三公”经费支出决算表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</w:trPr>
        <w:tc>
          <w:tcPr>
            <w:tcW w:w="6964" w:type="dxa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部门：</w:t>
            </w:r>
            <w:bookmarkStart w:id="2" w:name="PO_part2Table7DivName1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湛江市人力资源和社会保障局 </w:t>
            </w:r>
            <w:bookmarkEnd w:id="2"/>
          </w:p>
        </w:tc>
        <w:tc>
          <w:tcPr>
            <w:tcW w:w="2316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right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" w:hRule="atLeast"/>
        </w:trPr>
        <w:tc>
          <w:tcPr>
            <w:tcW w:w="4642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预算数</w:t>
            </w:r>
          </w:p>
        </w:tc>
        <w:tc>
          <w:tcPr>
            <w:tcW w:w="4638" w:type="dxa"/>
            <w:gridSpan w:val="7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决算数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" w:hRule="atLeast"/>
        </w:trPr>
        <w:tc>
          <w:tcPr>
            <w:tcW w:w="773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773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因公出国（境）费</w:t>
            </w:r>
          </w:p>
        </w:tc>
        <w:tc>
          <w:tcPr>
            <w:tcW w:w="2322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公务用车购置及运行维护费</w:t>
            </w:r>
          </w:p>
        </w:tc>
        <w:tc>
          <w:tcPr>
            <w:tcW w:w="77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公务接待费</w:t>
            </w:r>
          </w:p>
        </w:tc>
        <w:tc>
          <w:tcPr>
            <w:tcW w:w="773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773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因公出国（境）费</w:t>
            </w:r>
          </w:p>
        </w:tc>
        <w:tc>
          <w:tcPr>
            <w:tcW w:w="2319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公务用车购置及运行维护费</w:t>
            </w:r>
          </w:p>
        </w:tc>
        <w:tc>
          <w:tcPr>
            <w:tcW w:w="773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公务接待费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5" w:hRule="atLeast"/>
        </w:trPr>
        <w:tc>
          <w:tcPr>
            <w:tcW w:w="77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7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  <w:tc>
          <w:tcPr>
            <w:tcW w:w="7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公务用车购置费</w:t>
            </w:r>
          </w:p>
        </w:tc>
        <w:tc>
          <w:tcPr>
            <w:tcW w:w="7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公务用车运行维护费</w:t>
            </w:r>
          </w:p>
        </w:tc>
        <w:tc>
          <w:tcPr>
            <w:tcW w:w="774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7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7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  <w:tc>
          <w:tcPr>
            <w:tcW w:w="77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公务用车购置费</w:t>
            </w:r>
          </w:p>
        </w:tc>
        <w:tc>
          <w:tcPr>
            <w:tcW w:w="7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公务用车运行维护费</w:t>
            </w:r>
          </w:p>
        </w:tc>
        <w:tc>
          <w:tcPr>
            <w:tcW w:w="77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" w:hRule="atLeast"/>
        </w:trPr>
        <w:tc>
          <w:tcPr>
            <w:tcW w:w="7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7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77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7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2" w:hRule="atLeast"/>
        </w:trPr>
        <w:tc>
          <w:tcPr>
            <w:tcW w:w="7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31.15</w:t>
            </w:r>
          </w:p>
        </w:tc>
        <w:tc>
          <w:tcPr>
            <w:tcW w:w="7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7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26.77</w:t>
            </w:r>
          </w:p>
        </w:tc>
        <w:tc>
          <w:tcPr>
            <w:tcW w:w="7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7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26.77</w:t>
            </w:r>
          </w:p>
        </w:tc>
        <w:tc>
          <w:tcPr>
            <w:tcW w:w="7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4.38</w:t>
            </w:r>
          </w:p>
        </w:tc>
        <w:tc>
          <w:tcPr>
            <w:tcW w:w="7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26.91</w:t>
            </w:r>
          </w:p>
        </w:tc>
        <w:tc>
          <w:tcPr>
            <w:tcW w:w="7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7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24.40</w:t>
            </w:r>
          </w:p>
        </w:tc>
        <w:tc>
          <w:tcPr>
            <w:tcW w:w="77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7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24.40</w:t>
            </w:r>
          </w:p>
        </w:tc>
        <w:tc>
          <w:tcPr>
            <w:tcW w:w="7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2.50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注：本表反映部门本年度财政拨款“三公”经费支出预决算情况。其中，预算数为“三公”经费全年预算数，反映按规定程序调整后的预算数；决算数是包括当年财政拨款和以前年度结转资金安排的实际支出。</w:t>
      </w:r>
    </w:p>
    <w:sectPr>
      <w:pgSz w:w="11906" w:h="16838"/>
      <w:pgMar w:top="2098" w:right="1588" w:bottom="209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3YTVlZjJiOWIyNTQ2MWJlMGM5NDZkOGJiNTZlMDIifQ=="/>
  </w:docVars>
  <w:rsids>
    <w:rsidRoot w:val="6B8B03E1"/>
    <w:rsid w:val="673C6763"/>
    <w:rsid w:val="6B8B03E1"/>
    <w:rsid w:val="73182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9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</w:style>
  <w:style w:type="paragraph" w:styleId="3">
    <w:name w:val="toc 5"/>
    <w:basedOn w:val="1"/>
    <w:next w:val="1"/>
    <w:qFormat/>
    <w:uiPriority w:val="99"/>
    <w:pPr>
      <w:ind w:left="168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953</Words>
  <Characters>1097</Characters>
  <Lines>0</Lines>
  <Paragraphs>0</Paragraphs>
  <TotalTime>14</TotalTime>
  <ScaleCrop>false</ScaleCrop>
  <LinksUpToDate>false</LinksUpToDate>
  <CharactersWithSpaces>1149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2021-09-15T09:48:00Z</dcterms:created>
  <dc:creator>罗海艳</dc:creator>
  <cp:lastModifiedBy>水果宾治✨</cp:lastModifiedBy>
  <dcterms:modified xsi:type="dcterms:W3CDTF">2023-09-14T09:05:36Z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D748CE44CC7F4AE8979204A2B4611B53_13</vt:lpwstr>
  </property>
</Properties>
</file>