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湛江市市场监督管理局南三分局</w:t>
      </w:r>
      <w:r>
        <w:rPr>
          <w:rFonts w:hint="eastAsia" w:ascii="仿宋_GB2312" w:hAnsi="宋体" w:eastAsia="仿宋_GB2312" w:cs="宋体"/>
          <w:b/>
          <w:sz w:val="44"/>
          <w:szCs w:val="44"/>
        </w:rPr>
        <w:t>2022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</w:t>
      </w:r>
    </w:p>
    <w:p>
      <w:pPr>
        <w:spacing w:line="288" w:lineRule="auto"/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>
      <w:pPr>
        <w:spacing w:line="288" w:lineRule="auto"/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湛江市市场监督管理局南三分局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21.44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93.3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18.42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609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21.44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21.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97.5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18.42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609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17.58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17.58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17.58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3.86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87.7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0.84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27.8%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小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省级药品经费年初安排执法车辆购置款。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21.44万元，占100%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21.44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17.58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3.86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eastAsia="仿宋_GB2312"/>
          <w:sz w:val="32"/>
          <w:szCs w:val="32"/>
        </w:rPr>
        <w:t>机要通信、执法办案用车等公务用车费用。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三、名词解释</w:t>
      </w:r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</w:t>
      </w:r>
      <w:r>
        <w:rPr>
          <w:rFonts w:hint="eastAsia" w:ascii="仿宋_GB2312" w:hAnsi="宋体" w:eastAsia="仿宋_GB2312" w:cs="宋体"/>
          <w:sz w:val="32"/>
          <w:szCs w:val="32"/>
        </w:rPr>
        <w:t>：指部门（单位）使用财政拨款安排的因公出国（境）费用、公务用车购置及运行维护费和公务接待费。其中：因公出国（境）费用具体包括国际旅费、国外城市间交通费、住宿费、伙食费、培训费、公杂费等支出；公务用车购置费具体包括公务用车购置支出（含车辆购置税、牌照费），公务用车运行维护费具体包括按规定保留的公务用车燃料费、维修费、过路过桥费、保险费、安全奖励费用等支出；公务接待费具体包括按规定开支的各类公务接待（含外宾接待）支出。</w:t>
      </w: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湛江市市场监督管理局南三分局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21.44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21.44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3.86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ind w:firstLine="42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1"/>
      <w:r>
        <w:rPr>
          <w:rFonts w:hint="eastAsia" w:ascii="宋体" w:hAnsi="宋体" w:cs="宋体"/>
          <w:sz w:val="28"/>
          <w:szCs w:val="28"/>
        </w:rPr>
        <w:t xml:space="preserve"> </w:t>
      </w:r>
      <w:bookmarkStart w:id="62" w:name="_GoBack"/>
      <w:bookmarkEnd w:id="62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462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2023-09-14T02:54:35Z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76B29786387541F2852AAF063B82D3CD_12</vt:lpwstr>
  </property>
</Properties>
</file>