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600" w:lineRule="exact"/>
        <w:rPr>
          <w:rFonts w:hint="eastAsia" w:ascii="仿宋_GB2312" w:hAnsi="仿宋_GB2312" w:eastAsia="仿宋_GB2312" w:cs="仿宋_GB2312"/>
          <w:bCs/>
          <w:sz w:val="32"/>
          <w:szCs w:val="32"/>
          <w:lang w:val="en-US" w:eastAsia="zh-CN"/>
        </w:rPr>
      </w:pPr>
      <w:bookmarkStart w:id="0" w:name="_Toc14561"/>
      <w:bookmarkStart w:id="1" w:name="_Toc1260"/>
      <w:bookmarkStart w:id="2" w:name="_Toc24905"/>
    </w:p>
    <w:p>
      <w:pPr>
        <w:snapToGrid w:val="0"/>
        <w:spacing w:line="600" w:lineRule="exact"/>
        <w:rPr>
          <w:rFonts w:hint="eastAsia" w:ascii="黑体" w:eastAsia="黑体"/>
          <w:bCs/>
          <w:sz w:val="32"/>
          <w:szCs w:val="32"/>
        </w:rPr>
      </w:pPr>
    </w:p>
    <w:p>
      <w:pPr>
        <w:rPr>
          <w:rFonts w:eastAsia="仿宋_GB2312"/>
          <w:sz w:val="36"/>
          <w:szCs w:val="36"/>
        </w:rPr>
      </w:pPr>
    </w:p>
    <w:p>
      <w:pPr>
        <w:rPr>
          <w:rFonts w:eastAsia="仿宋_GB2312"/>
          <w:sz w:val="36"/>
          <w:szCs w:val="36"/>
        </w:rPr>
      </w:pPr>
    </w:p>
    <w:p>
      <w:pPr>
        <w:jc w:val="center"/>
        <w:rPr>
          <w:rFonts w:eastAsia="黑体"/>
          <w:sz w:val="72"/>
          <w:szCs w:val="72"/>
        </w:rPr>
      </w:pPr>
      <w:bookmarkStart w:id="3" w:name="_Toc79393164"/>
      <w:bookmarkStart w:id="4" w:name="_Toc79393299"/>
      <w:r>
        <w:rPr>
          <w:rFonts w:hint="eastAsia" w:eastAsia="黑体"/>
          <w:sz w:val="72"/>
          <w:szCs w:val="72"/>
        </w:rPr>
        <w:t>建设项目环境影响报告表</w:t>
      </w:r>
      <w:bookmarkEnd w:id="3"/>
      <w:bookmarkEnd w:id="4"/>
    </w:p>
    <w:p>
      <w:pPr>
        <w:adjustRightInd w:val="0"/>
        <w:snapToGrid w:val="0"/>
        <w:spacing w:before="192" w:beforeLines="80"/>
        <w:jc w:val="center"/>
        <w:rPr>
          <w:rFonts w:eastAsia="楷体_GB2312"/>
          <w:bCs/>
          <w:sz w:val="48"/>
          <w:szCs w:val="48"/>
        </w:rPr>
      </w:pPr>
      <w:r>
        <w:rPr>
          <w:rFonts w:hint="eastAsia" w:eastAsia="楷体_GB2312"/>
          <w:bCs/>
          <w:sz w:val="48"/>
          <w:szCs w:val="48"/>
        </w:rPr>
        <w:t>（污染影响类）</w:t>
      </w:r>
    </w:p>
    <w:p>
      <w:pPr>
        <w:jc w:val="center"/>
        <w:rPr>
          <w:rFonts w:eastAsia="华文仿宋"/>
          <w:color w:val="000000"/>
          <w:kern w:val="44"/>
          <w:sz w:val="44"/>
          <w:szCs w:val="44"/>
        </w:rPr>
      </w:pPr>
      <w:r>
        <w:rPr>
          <w:rFonts w:hint="eastAsia"/>
          <w:sz w:val="28"/>
          <w:szCs w:val="28"/>
          <w:lang w:val="en-US" w:eastAsia="zh-CN"/>
        </w:rPr>
        <w:t xml:space="preserve">   </w:t>
      </w:r>
    </w:p>
    <w:p>
      <w:pPr>
        <w:jc w:val="center"/>
        <w:rPr>
          <w:rFonts w:eastAsia="仿宋"/>
          <w:sz w:val="52"/>
          <w:szCs w:val="52"/>
        </w:rPr>
      </w:pPr>
    </w:p>
    <w:p>
      <w:pPr>
        <w:ind w:firstLine="1040"/>
        <w:rPr>
          <w:rFonts w:eastAsia="仿宋"/>
          <w:sz w:val="44"/>
          <w:szCs w:val="44"/>
        </w:rPr>
      </w:pPr>
    </w:p>
    <w:p>
      <w:pPr>
        <w:ind w:firstLine="1040"/>
        <w:rPr>
          <w:rFonts w:eastAsia="仿宋"/>
          <w:sz w:val="44"/>
          <w:szCs w:val="44"/>
        </w:rPr>
      </w:pPr>
    </w:p>
    <w:p>
      <w:pPr>
        <w:ind w:firstLine="1040"/>
        <w:rPr>
          <w:rFonts w:eastAsia="仿宋"/>
          <w:sz w:val="44"/>
          <w:szCs w:val="44"/>
        </w:rPr>
      </w:pPr>
    </w:p>
    <w:p>
      <w:pPr>
        <w:ind w:firstLine="1040"/>
        <w:jc w:val="both"/>
        <w:rPr>
          <w:rFonts w:eastAsia="仿宋"/>
          <w:sz w:val="44"/>
          <w:szCs w:val="44"/>
        </w:rPr>
      </w:pPr>
    </w:p>
    <w:p>
      <w:pPr>
        <w:adjustRightInd w:val="0"/>
        <w:snapToGrid w:val="0"/>
        <w:spacing w:line="288" w:lineRule="auto"/>
        <w:ind w:firstLine="1040"/>
        <w:jc w:val="both"/>
        <w:rPr>
          <w:rFonts w:eastAsia="仿宋_GB2312"/>
          <w:sz w:val="36"/>
          <w:szCs w:val="36"/>
          <w:u w:val="single"/>
        </w:rPr>
      </w:pPr>
      <w:r>
        <w:rPr>
          <w:rFonts w:hint="eastAsia" w:eastAsia="仿宋_GB2312"/>
          <w:sz w:val="36"/>
          <w:szCs w:val="36"/>
        </w:rPr>
        <w:t>项目名称：湛江市颐福医院建设项目</w:t>
      </w:r>
    </w:p>
    <w:p>
      <w:pPr>
        <w:adjustRightInd w:val="0"/>
        <w:snapToGrid w:val="0"/>
        <w:spacing w:line="288" w:lineRule="auto"/>
        <w:ind w:firstLine="1040"/>
        <w:jc w:val="both"/>
        <w:rPr>
          <w:rFonts w:eastAsia="仿宋_GB2312"/>
          <w:sz w:val="36"/>
          <w:szCs w:val="36"/>
          <w:u w:val="single"/>
        </w:rPr>
      </w:pPr>
      <w:r>
        <w:rPr>
          <w:rFonts w:hint="eastAsia" w:eastAsia="仿宋_GB2312"/>
          <w:sz w:val="36"/>
          <w:szCs w:val="36"/>
        </w:rPr>
        <w:t>建设单位（盖章）：湛江市颐福医院有限公司</w:t>
      </w:r>
    </w:p>
    <w:p>
      <w:pPr>
        <w:adjustRightInd w:val="0"/>
        <w:snapToGrid w:val="0"/>
        <w:spacing w:line="288" w:lineRule="auto"/>
        <w:ind w:firstLine="1040"/>
        <w:jc w:val="both"/>
        <w:rPr>
          <w:rFonts w:eastAsia="仿宋_GB2312"/>
          <w:sz w:val="36"/>
          <w:szCs w:val="36"/>
          <w:u w:val="single"/>
        </w:rPr>
      </w:pPr>
      <w:r>
        <w:rPr>
          <w:rFonts w:hint="eastAsia" w:eastAsia="仿宋_GB2312"/>
          <w:sz w:val="36"/>
          <w:szCs w:val="36"/>
        </w:rPr>
        <w:t>编制日期：二O二</w:t>
      </w:r>
      <w:r>
        <w:rPr>
          <w:rFonts w:hint="eastAsia" w:eastAsia="仿宋_GB2312"/>
          <w:sz w:val="36"/>
          <w:szCs w:val="36"/>
          <w:lang w:val="en-US" w:eastAsia="zh-CN"/>
        </w:rPr>
        <w:t>三</w:t>
      </w:r>
      <w:r>
        <w:rPr>
          <w:rFonts w:hint="eastAsia" w:eastAsia="仿宋_GB2312"/>
          <w:sz w:val="36"/>
          <w:szCs w:val="36"/>
        </w:rPr>
        <w:t>年</w:t>
      </w:r>
      <w:r>
        <w:rPr>
          <w:rFonts w:hint="eastAsia" w:eastAsia="仿宋_GB2312"/>
          <w:sz w:val="36"/>
          <w:szCs w:val="36"/>
          <w:lang w:val="en-US" w:eastAsia="zh-CN"/>
        </w:rPr>
        <w:t>四</w:t>
      </w:r>
      <w:r>
        <w:rPr>
          <w:rFonts w:hint="eastAsia" w:eastAsia="仿宋_GB2312"/>
          <w:sz w:val="36"/>
          <w:szCs w:val="36"/>
        </w:rPr>
        <w:t>月</w:t>
      </w:r>
    </w:p>
    <w:p>
      <w:pPr>
        <w:adjustRightInd w:val="0"/>
        <w:snapToGrid w:val="0"/>
        <w:spacing w:line="288" w:lineRule="auto"/>
        <w:ind w:firstLine="1040"/>
        <w:jc w:val="center"/>
        <w:rPr>
          <w:rFonts w:eastAsia="仿宋_GB2312"/>
          <w:sz w:val="36"/>
          <w:szCs w:val="36"/>
        </w:rPr>
      </w:pPr>
      <w:bookmarkStart w:id="5" w:name="_Hlk57884087"/>
    </w:p>
    <w:p>
      <w:pPr>
        <w:adjustRightInd w:val="0"/>
        <w:snapToGrid w:val="0"/>
        <w:spacing w:line="288" w:lineRule="auto"/>
        <w:ind w:firstLine="1040"/>
        <w:rPr>
          <w:rFonts w:eastAsia="仿宋_GB2312"/>
          <w:sz w:val="36"/>
          <w:szCs w:val="36"/>
        </w:rPr>
      </w:pPr>
    </w:p>
    <w:p>
      <w:pPr>
        <w:adjustRightInd w:val="0"/>
        <w:snapToGrid w:val="0"/>
        <w:spacing w:line="288" w:lineRule="auto"/>
        <w:ind w:firstLine="1040"/>
        <w:rPr>
          <w:rFonts w:eastAsia="仿宋_GB2312"/>
          <w:sz w:val="36"/>
          <w:szCs w:val="36"/>
        </w:rPr>
      </w:pPr>
    </w:p>
    <w:p>
      <w:pPr>
        <w:adjustRightInd w:val="0"/>
        <w:snapToGrid w:val="0"/>
        <w:spacing w:line="288" w:lineRule="auto"/>
        <w:ind w:firstLine="1040"/>
        <w:rPr>
          <w:rFonts w:eastAsia="仿宋_GB2312"/>
          <w:sz w:val="36"/>
          <w:szCs w:val="36"/>
        </w:rPr>
      </w:pPr>
    </w:p>
    <w:bookmarkEnd w:id="5"/>
    <w:p>
      <w:pPr>
        <w:adjustRightInd w:val="0"/>
        <w:snapToGrid w:val="0"/>
        <w:spacing w:line="288" w:lineRule="auto"/>
        <w:jc w:val="center"/>
        <w:rPr>
          <w:rFonts w:eastAsia="楷体_GB2312"/>
          <w:sz w:val="36"/>
          <w:szCs w:val="36"/>
        </w:rPr>
      </w:pPr>
      <w:r>
        <w:rPr>
          <w:rFonts w:hint="eastAsia" w:eastAsia="楷体_GB2312"/>
          <w:sz w:val="36"/>
          <w:szCs w:val="36"/>
        </w:rPr>
        <w:t>中华人民共和国生态环境部制</w:t>
      </w:r>
    </w:p>
    <w:p>
      <w:pPr>
        <w:autoSpaceDE w:val="0"/>
        <w:autoSpaceDN w:val="0"/>
        <w:adjustRightInd w:val="0"/>
        <w:snapToGrid w:val="0"/>
        <w:jc w:val="center"/>
      </w:pPr>
      <w:r>
        <w:rPr>
          <w:rFonts w:hint="eastAsia" w:ascii="黑体" w:eastAsia="黑体"/>
          <w:snapToGrid w:val="0"/>
          <w:sz w:val="32"/>
          <w:szCs w:val="32"/>
        </w:rPr>
        <w:br w:type="page"/>
      </w:r>
    </w:p>
    <w:p>
      <w:pPr>
        <w:pStyle w:val="25"/>
        <w:tabs>
          <w:tab w:val="right" w:leader="dot" w:pos="8306"/>
        </w:tabs>
        <w:spacing w:line="360" w:lineRule="auto"/>
        <w:jc w:val="center"/>
        <w:rPr>
          <w:rFonts w:ascii="Times New Roman" w:hAnsi="Times New Roman" w:eastAsia="宋体" w:cs="Times New Roman"/>
          <w:snapToGrid w:val="0"/>
          <w:color w:val="000000"/>
          <w:kern w:val="0"/>
          <w:sz w:val="30"/>
          <w:szCs w:val="30"/>
        </w:rPr>
      </w:pPr>
      <w:r>
        <w:rPr>
          <w:rFonts w:ascii="Times New Roman" w:hAnsi="Times New Roman" w:eastAsia="宋体" w:cs="Times New Roman"/>
          <w:snapToGrid w:val="0"/>
          <w:color w:val="000000"/>
          <w:kern w:val="0"/>
          <w:sz w:val="24"/>
        </w:rPr>
        <w:t>目录</w:t>
      </w:r>
      <w:bookmarkStart w:id="60" w:name="_GoBack"/>
      <w:bookmarkEnd w:id="60"/>
    </w:p>
    <w:p>
      <w:pPr>
        <w:pStyle w:val="25"/>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rPr>
        <w:fldChar w:fldCharType="begin"/>
      </w:r>
      <w:r>
        <w:rPr>
          <w:rFonts w:hint="default" w:ascii="Times New Roman" w:hAnsi="Times New Roman" w:eastAsia="宋体" w:cs="Times New Roman"/>
          <w:snapToGrid w:val="0"/>
          <w:color w:val="000000"/>
          <w:kern w:val="0"/>
          <w:sz w:val="24"/>
          <w:szCs w:val="24"/>
        </w:rPr>
        <w:instrText xml:space="preserve">TOC \o "1-1" \h \u </w:instrText>
      </w:r>
      <w:r>
        <w:rPr>
          <w:rFonts w:hint="default" w:ascii="Times New Roman" w:hAnsi="Times New Roman" w:eastAsia="宋体" w:cs="Times New Roman"/>
          <w:snapToGrid w:val="0"/>
          <w:color w:val="000000"/>
          <w:kern w:val="0"/>
          <w:sz w:val="24"/>
          <w:szCs w:val="24"/>
        </w:rPr>
        <w:fldChar w:fldCharType="separate"/>
      </w:r>
      <w:r>
        <w:rPr>
          <w:rFonts w:hint="default" w:ascii="Times New Roman" w:hAnsi="Times New Roman" w:eastAsia="宋体" w:cs="Times New Roman"/>
          <w:snapToGrid w:val="0"/>
          <w:color w:val="000000"/>
          <w:kern w:val="0"/>
          <w:sz w:val="24"/>
          <w:szCs w:val="24"/>
        </w:rPr>
        <w:fldChar w:fldCharType="begin"/>
      </w:r>
      <w:r>
        <w:rPr>
          <w:rFonts w:hint="default" w:ascii="Times New Roman" w:hAnsi="Times New Roman" w:eastAsia="宋体" w:cs="Times New Roman"/>
          <w:snapToGrid w:val="0"/>
          <w:kern w:val="0"/>
          <w:sz w:val="24"/>
          <w:szCs w:val="24"/>
        </w:rPr>
        <w:instrText xml:space="preserve"> HYPERLINK \l _Toc13535 </w:instrText>
      </w:r>
      <w:r>
        <w:rPr>
          <w:rFonts w:hint="default" w:ascii="Times New Roman" w:hAnsi="Times New Roman" w:eastAsia="宋体" w:cs="Times New Roman"/>
          <w:snapToGrid w:val="0"/>
          <w:kern w:val="0"/>
          <w:sz w:val="24"/>
          <w:szCs w:val="24"/>
        </w:rPr>
        <w:fldChar w:fldCharType="separate"/>
      </w:r>
      <w:r>
        <w:rPr>
          <w:rFonts w:hint="default" w:ascii="Times New Roman" w:hAnsi="Times New Roman" w:eastAsia="宋体" w:cs="Times New Roman"/>
          <w:snapToGrid w:val="0"/>
          <w:sz w:val="24"/>
          <w:szCs w:val="24"/>
        </w:rPr>
        <w:t>一、建设项目基本情况</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_Toc13535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napToGrid w:val="0"/>
          <w:color w:val="000000"/>
          <w:kern w:val="0"/>
          <w:sz w:val="24"/>
          <w:szCs w:val="24"/>
        </w:rPr>
        <w:fldChar w:fldCharType="end"/>
      </w:r>
    </w:p>
    <w:p>
      <w:pPr>
        <w:pStyle w:val="25"/>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sz w:val="24"/>
          <w:szCs w:val="24"/>
        </w:rPr>
        <w:fldChar w:fldCharType="begin"/>
      </w:r>
      <w:r>
        <w:rPr>
          <w:rFonts w:hint="default" w:ascii="Times New Roman" w:hAnsi="Times New Roman" w:eastAsia="宋体" w:cs="Times New Roman"/>
          <w:snapToGrid w:val="0"/>
          <w:sz w:val="24"/>
          <w:szCs w:val="24"/>
        </w:rPr>
        <w:instrText xml:space="preserve"> HYPERLINK \l _Toc12729 </w:instrText>
      </w:r>
      <w:r>
        <w:rPr>
          <w:rFonts w:hint="default" w:ascii="Times New Roman" w:hAnsi="Times New Roman" w:eastAsia="宋体" w:cs="Times New Roman"/>
          <w:snapToGrid w:val="0"/>
          <w:sz w:val="24"/>
          <w:szCs w:val="24"/>
        </w:rPr>
        <w:fldChar w:fldCharType="separate"/>
      </w:r>
      <w:r>
        <w:rPr>
          <w:rFonts w:hint="default" w:ascii="Times New Roman" w:hAnsi="Times New Roman" w:eastAsia="宋体" w:cs="Times New Roman"/>
          <w:snapToGrid w:val="0"/>
          <w:sz w:val="24"/>
          <w:szCs w:val="24"/>
        </w:rPr>
        <w:t>二、建设项目工程分析</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_Toc12729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9</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napToGrid w:val="0"/>
          <w:color w:val="000000"/>
          <w:sz w:val="24"/>
          <w:szCs w:val="24"/>
        </w:rPr>
        <w:fldChar w:fldCharType="end"/>
      </w:r>
    </w:p>
    <w:p>
      <w:pPr>
        <w:pStyle w:val="25"/>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sz w:val="24"/>
          <w:szCs w:val="24"/>
        </w:rPr>
        <w:fldChar w:fldCharType="begin"/>
      </w:r>
      <w:r>
        <w:rPr>
          <w:rFonts w:hint="default" w:ascii="Times New Roman" w:hAnsi="Times New Roman" w:eastAsia="宋体" w:cs="Times New Roman"/>
          <w:snapToGrid w:val="0"/>
          <w:sz w:val="24"/>
          <w:szCs w:val="24"/>
        </w:rPr>
        <w:instrText xml:space="preserve"> HYPERLINK \l _Toc30809 </w:instrText>
      </w:r>
      <w:r>
        <w:rPr>
          <w:rFonts w:hint="default" w:ascii="Times New Roman" w:hAnsi="Times New Roman" w:eastAsia="宋体" w:cs="Times New Roman"/>
          <w:snapToGrid w:val="0"/>
          <w:sz w:val="24"/>
          <w:szCs w:val="24"/>
        </w:rPr>
        <w:fldChar w:fldCharType="separate"/>
      </w:r>
      <w:r>
        <w:rPr>
          <w:rFonts w:hint="default" w:ascii="Times New Roman" w:hAnsi="Times New Roman" w:eastAsia="宋体" w:cs="Times New Roman"/>
          <w:snapToGrid w:val="0"/>
          <w:sz w:val="24"/>
          <w:szCs w:val="24"/>
        </w:rPr>
        <w:t>三、区域环境质量现状、环境保护目标及评价标准</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_Toc30809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19</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napToGrid w:val="0"/>
          <w:color w:val="000000"/>
          <w:sz w:val="24"/>
          <w:szCs w:val="24"/>
        </w:rPr>
        <w:fldChar w:fldCharType="end"/>
      </w:r>
    </w:p>
    <w:p>
      <w:pPr>
        <w:pStyle w:val="25"/>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sz w:val="24"/>
          <w:szCs w:val="24"/>
        </w:rPr>
        <w:fldChar w:fldCharType="begin"/>
      </w:r>
      <w:r>
        <w:rPr>
          <w:rFonts w:hint="default" w:ascii="Times New Roman" w:hAnsi="Times New Roman" w:eastAsia="宋体" w:cs="Times New Roman"/>
          <w:snapToGrid w:val="0"/>
          <w:sz w:val="24"/>
          <w:szCs w:val="24"/>
        </w:rPr>
        <w:instrText xml:space="preserve"> HYPERLINK \l _Toc22818 </w:instrText>
      </w:r>
      <w:r>
        <w:rPr>
          <w:rFonts w:hint="default" w:ascii="Times New Roman" w:hAnsi="Times New Roman" w:eastAsia="宋体" w:cs="Times New Roman"/>
          <w:snapToGrid w:val="0"/>
          <w:sz w:val="24"/>
          <w:szCs w:val="24"/>
        </w:rPr>
        <w:fldChar w:fldCharType="separate"/>
      </w:r>
      <w:r>
        <w:rPr>
          <w:rFonts w:hint="default" w:ascii="Times New Roman" w:hAnsi="Times New Roman" w:eastAsia="宋体" w:cs="Times New Roman"/>
          <w:snapToGrid w:val="0"/>
          <w:sz w:val="24"/>
          <w:szCs w:val="24"/>
        </w:rPr>
        <w:t>四、主要环境影响和保护措施</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_Toc22818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27</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napToGrid w:val="0"/>
          <w:color w:val="000000"/>
          <w:sz w:val="24"/>
          <w:szCs w:val="24"/>
        </w:rPr>
        <w:fldChar w:fldCharType="end"/>
      </w:r>
    </w:p>
    <w:p>
      <w:pPr>
        <w:pStyle w:val="25"/>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sz w:val="24"/>
          <w:szCs w:val="24"/>
        </w:rPr>
        <w:fldChar w:fldCharType="begin"/>
      </w:r>
      <w:r>
        <w:rPr>
          <w:rFonts w:hint="default" w:ascii="Times New Roman" w:hAnsi="Times New Roman" w:eastAsia="宋体" w:cs="Times New Roman"/>
          <w:snapToGrid w:val="0"/>
          <w:sz w:val="24"/>
          <w:szCs w:val="24"/>
        </w:rPr>
        <w:instrText xml:space="preserve"> HYPERLINK \l _Toc5181 </w:instrText>
      </w:r>
      <w:r>
        <w:rPr>
          <w:rFonts w:hint="default" w:ascii="Times New Roman" w:hAnsi="Times New Roman" w:eastAsia="宋体" w:cs="Times New Roman"/>
          <w:snapToGrid w:val="0"/>
          <w:sz w:val="24"/>
          <w:szCs w:val="24"/>
        </w:rPr>
        <w:fldChar w:fldCharType="separate"/>
      </w:r>
      <w:r>
        <w:rPr>
          <w:rFonts w:hint="default" w:ascii="Times New Roman" w:hAnsi="Times New Roman" w:eastAsia="宋体" w:cs="Times New Roman"/>
          <w:snapToGrid w:val="0"/>
          <w:sz w:val="24"/>
          <w:szCs w:val="24"/>
        </w:rPr>
        <w:t>五、环境保护措施监督检查清单</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_Toc5181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60</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napToGrid w:val="0"/>
          <w:color w:val="000000"/>
          <w:sz w:val="24"/>
          <w:szCs w:val="24"/>
        </w:rPr>
        <w:fldChar w:fldCharType="end"/>
      </w:r>
    </w:p>
    <w:p>
      <w:pPr>
        <w:pStyle w:val="25"/>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sz w:val="24"/>
          <w:szCs w:val="24"/>
        </w:rPr>
        <w:fldChar w:fldCharType="begin"/>
      </w:r>
      <w:r>
        <w:rPr>
          <w:rFonts w:hint="default" w:ascii="Times New Roman" w:hAnsi="Times New Roman" w:eastAsia="宋体" w:cs="Times New Roman"/>
          <w:snapToGrid w:val="0"/>
          <w:sz w:val="24"/>
          <w:szCs w:val="24"/>
        </w:rPr>
        <w:instrText xml:space="preserve"> HYPERLINK \l _Toc6198 </w:instrText>
      </w:r>
      <w:r>
        <w:rPr>
          <w:rFonts w:hint="default" w:ascii="Times New Roman" w:hAnsi="Times New Roman" w:eastAsia="宋体" w:cs="Times New Roman"/>
          <w:snapToGrid w:val="0"/>
          <w:sz w:val="24"/>
          <w:szCs w:val="24"/>
        </w:rPr>
        <w:fldChar w:fldCharType="separate"/>
      </w:r>
      <w:r>
        <w:rPr>
          <w:rFonts w:hint="default" w:ascii="Times New Roman" w:hAnsi="Times New Roman" w:eastAsia="宋体" w:cs="Times New Roman"/>
          <w:snapToGrid w:val="0"/>
          <w:sz w:val="24"/>
          <w:szCs w:val="24"/>
        </w:rPr>
        <w:t>六、结论</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_Toc6198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62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napToGrid w:val="0"/>
          <w:color w:val="000000"/>
          <w:sz w:val="24"/>
          <w:szCs w:val="24"/>
        </w:rPr>
        <w:fldChar w:fldCharType="end"/>
      </w:r>
    </w:p>
    <w:p>
      <w:pPr>
        <w:pStyle w:val="25"/>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default" w:ascii="Times New Roman" w:hAnsi="Times New Roman" w:eastAsia="宋体" w:cs="Times New Roman"/>
          <w:snapToGrid w:val="0"/>
          <w:color w:val="000000"/>
          <w:sz w:val="24"/>
          <w:szCs w:val="24"/>
        </w:rPr>
        <w:fldChar w:fldCharType="begin"/>
      </w:r>
      <w:r>
        <w:rPr>
          <w:rFonts w:hint="default" w:ascii="Times New Roman" w:hAnsi="Times New Roman" w:eastAsia="宋体" w:cs="Times New Roman"/>
          <w:snapToGrid w:val="0"/>
          <w:sz w:val="24"/>
          <w:szCs w:val="24"/>
        </w:rPr>
        <w:instrText xml:space="preserve"> HYPERLINK \l _Toc17246 </w:instrText>
      </w:r>
      <w:r>
        <w:rPr>
          <w:rFonts w:hint="default" w:ascii="Times New Roman" w:hAnsi="Times New Roman" w:eastAsia="宋体" w:cs="Times New Roman"/>
          <w:snapToGrid w:val="0"/>
          <w:sz w:val="24"/>
          <w:szCs w:val="24"/>
        </w:rPr>
        <w:fldChar w:fldCharType="separate"/>
      </w:r>
      <w:r>
        <w:rPr>
          <w:rFonts w:hint="default" w:ascii="Times New Roman" w:hAnsi="Times New Roman" w:eastAsia="宋体" w:cs="Times New Roman"/>
          <w:snapToGrid w:val="0"/>
          <w:sz w:val="24"/>
          <w:szCs w:val="24"/>
        </w:rPr>
        <w:t>附表1</w:t>
      </w:r>
      <w:r>
        <w:rPr>
          <w:rFonts w:hint="default" w:ascii="Times New Roman" w:hAnsi="Times New Roman" w:eastAsia="宋体" w:cs="Times New Roman"/>
          <w:bCs/>
          <w:sz w:val="24"/>
          <w:szCs w:val="24"/>
        </w:rPr>
        <w:t>建设项目污染物排放量汇总表</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_Toc17246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63</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napToGrid w:val="0"/>
          <w:color w:val="000000"/>
          <w:sz w:val="24"/>
          <w:szCs w:val="24"/>
        </w:rPr>
        <w:fldChar w:fldCharType="end"/>
      </w:r>
    </w:p>
    <w:p>
      <w:pPr>
        <w:pStyle w:val="26"/>
        <w:keepNext w:val="0"/>
        <w:keepLines w:val="0"/>
        <w:pageBreakBefore w:val="0"/>
        <w:kinsoku/>
        <w:wordWrap/>
        <w:overflowPunct/>
        <w:topLinePunct w:val="0"/>
        <w:autoSpaceDE/>
        <w:autoSpaceDN/>
        <w:bidi w:val="0"/>
        <w:adjustRightInd/>
        <w:snapToGrid/>
        <w:spacing w:before="0" w:beforeAutospacing="0" w:after="0" w:afterAutospacing="0" w:line="360" w:lineRule="auto"/>
        <w:jc w:val="center"/>
        <w:textAlignment w:val="auto"/>
        <w:outlineLvl w:val="0"/>
        <w:rPr>
          <w:rFonts w:ascii="Times New Roman" w:hAnsi="Times New Roman" w:eastAsia="宋体" w:cs="Times New Roman"/>
          <w:snapToGrid w:val="0"/>
          <w:color w:val="000000"/>
          <w:sz w:val="30"/>
          <w:szCs w:val="30"/>
        </w:rPr>
        <w:sectPr>
          <w:footerReference r:id="rId3" w:type="default"/>
          <w:pgSz w:w="11906" w:h="16838"/>
          <w:pgMar w:top="1440" w:right="1800" w:bottom="1440" w:left="1800" w:header="851" w:footer="992" w:gutter="0"/>
          <w:pgNumType w:start="1"/>
          <w:cols w:space="425" w:num="1"/>
          <w:docGrid w:type="lines" w:linePitch="312" w:charSpace="0"/>
        </w:sectPr>
      </w:pPr>
      <w:r>
        <w:rPr>
          <w:rFonts w:hint="default" w:ascii="Times New Roman" w:hAnsi="Times New Roman" w:eastAsia="宋体" w:cs="Times New Roman"/>
          <w:snapToGrid w:val="0"/>
          <w:color w:val="000000"/>
          <w:szCs w:val="24"/>
        </w:rPr>
        <w:fldChar w:fldCharType="end"/>
      </w:r>
    </w:p>
    <w:p>
      <w:pPr>
        <w:pStyle w:val="26"/>
        <w:jc w:val="center"/>
        <w:outlineLvl w:val="0"/>
        <w:rPr>
          <w:rFonts w:ascii="Times New Roman" w:hAnsi="Times New Roman" w:eastAsia="宋体" w:cs="Times New Roman"/>
          <w:snapToGrid w:val="0"/>
          <w:color w:val="000000"/>
          <w:sz w:val="30"/>
          <w:szCs w:val="30"/>
        </w:rPr>
      </w:pPr>
      <w:bookmarkStart w:id="6" w:name="_Toc23297"/>
      <w:bookmarkStart w:id="7" w:name="_Toc13535"/>
      <w:r>
        <w:rPr>
          <w:rFonts w:ascii="Times New Roman" w:hAnsi="Times New Roman" w:eastAsia="宋体" w:cs="Times New Roman"/>
          <w:snapToGrid w:val="0"/>
          <w:color w:val="000000"/>
          <w:sz w:val="30"/>
          <w:szCs w:val="30"/>
        </w:rPr>
        <w:t>一、建设项目基本情况</w:t>
      </w:r>
      <w:bookmarkEnd w:id="0"/>
      <w:bookmarkEnd w:id="1"/>
      <w:bookmarkEnd w:id="2"/>
      <w:bookmarkEnd w:id="6"/>
      <w:bookmarkEnd w:id="7"/>
    </w:p>
    <w:tbl>
      <w:tblPr>
        <w:tblStyle w:val="29"/>
        <w:tblW w:w="499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431"/>
        <w:gridCol w:w="1360"/>
        <w:gridCol w:w="1846"/>
        <w:gridCol w:w="269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59"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建设项目名称</w:t>
            </w:r>
          </w:p>
        </w:tc>
        <w:tc>
          <w:tcPr>
            <w:tcW w:w="3540" w:type="pct"/>
            <w:gridSpan w:val="3"/>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kern w:val="0"/>
                <w:sz w:val="24"/>
                <w:lang w:bidi="ar"/>
              </w:rPr>
              <w:t>湛江市颐福医院建设项目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59"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项目代码</w:t>
            </w:r>
          </w:p>
        </w:tc>
        <w:tc>
          <w:tcPr>
            <w:tcW w:w="3540" w:type="pct"/>
            <w:gridSpan w:val="3"/>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2212-440802-04-01-253419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59"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建设单位联系人</w:t>
            </w:r>
          </w:p>
        </w:tc>
        <w:tc>
          <w:tcPr>
            <w:tcW w:w="816" w:type="pct"/>
            <w:vAlign w:val="center"/>
          </w:tcPr>
          <w:p>
            <w:pPr>
              <w:adjustRightInd w:val="0"/>
              <w:snapToGrid w:val="0"/>
              <w:jc w:val="center"/>
              <w:rPr>
                <w:rFonts w:hint="eastAsia" w:ascii="Times New Roman" w:hAnsi="Times New Roman" w:eastAsia="宋体" w:cs="Times New Roman"/>
                <w:color w:val="000000"/>
                <w:sz w:val="24"/>
                <w:lang w:eastAsia="zh-CN"/>
              </w:rPr>
            </w:pPr>
            <w:r>
              <w:rPr>
                <w:rFonts w:ascii="Times New Roman" w:hAnsi="Times New Roman" w:eastAsia="宋体" w:cs="Times New Roman"/>
                <w:color w:val="000000"/>
                <w:sz w:val="24"/>
              </w:rPr>
              <w:t>梁</w:t>
            </w:r>
            <w:r>
              <w:rPr>
                <w:rFonts w:hint="eastAsia" w:ascii="Times New Roman" w:hAnsi="Times New Roman" w:eastAsia="宋体" w:cs="Times New Roman"/>
                <w:color w:val="000000"/>
                <w:sz w:val="24"/>
                <w:lang w:val="en-US" w:eastAsia="zh-CN"/>
              </w:rPr>
              <w:t>*</w:t>
            </w:r>
          </w:p>
        </w:tc>
        <w:tc>
          <w:tcPr>
            <w:tcW w:w="1108" w:type="pct"/>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联系方式</w:t>
            </w:r>
          </w:p>
        </w:tc>
        <w:tc>
          <w:tcPr>
            <w:tcW w:w="1615" w:type="pct"/>
            <w:vAlign w:val="center"/>
          </w:tcPr>
          <w:p>
            <w:pPr>
              <w:adjustRightInd w:val="0"/>
              <w:snapToGrid w:val="0"/>
              <w:jc w:val="center"/>
              <w:rPr>
                <w:rFonts w:hint="eastAsia" w:ascii="Times New Roman" w:hAnsi="Times New Roman" w:eastAsia="宋体" w:cs="Times New Roman"/>
                <w:color w:val="000000"/>
                <w:sz w:val="24"/>
                <w:lang w:eastAsia="zh-CN"/>
              </w:rPr>
            </w:pPr>
            <w:r>
              <w:rPr>
                <w:rFonts w:hint="eastAsia" w:ascii="Times New Roman" w:hAnsi="Times New Roman" w:eastAsia="宋体" w:cs="Times New Roman"/>
                <w:color w:val="000000"/>
                <w:sz w:val="24"/>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59"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建设地点</w:t>
            </w:r>
          </w:p>
        </w:tc>
        <w:tc>
          <w:tcPr>
            <w:tcW w:w="3540" w:type="pct"/>
            <w:gridSpan w:val="3"/>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湛江市赤坎区农林一路14号1-2楼CD区、4楼D区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59"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地理坐标</w:t>
            </w:r>
          </w:p>
        </w:tc>
        <w:tc>
          <w:tcPr>
            <w:tcW w:w="3540" w:type="pct"/>
            <w:gridSpan w:val="3"/>
            <w:vAlign w:val="center"/>
          </w:tcPr>
          <w:p>
            <w:pPr>
              <w:jc w:val="center"/>
              <w:rPr>
                <w:rFonts w:ascii="Times New Roman" w:hAnsi="Times New Roman" w:eastAsia="宋体" w:cs="Times New Roman"/>
                <w:color w:val="000000"/>
                <w:sz w:val="24"/>
              </w:rPr>
            </w:pPr>
            <w:r>
              <w:rPr>
                <w:rFonts w:ascii="Times New Roman" w:hAnsi="Times New Roman" w:eastAsia="宋体" w:cs="Times New Roman"/>
                <w:color w:val="000000"/>
                <w:sz w:val="24"/>
              </w:rPr>
              <w:t>（</w:t>
            </w:r>
            <w:r>
              <w:rPr>
                <w:rFonts w:ascii="Times New Roman" w:hAnsi="Times New Roman" w:eastAsia="宋体" w:cs="Times New Roman"/>
                <w:color w:val="000000"/>
                <w:sz w:val="24"/>
                <w:u w:val="single"/>
              </w:rPr>
              <w:t>110</w:t>
            </w:r>
            <w:r>
              <w:rPr>
                <w:rFonts w:ascii="Times New Roman" w:hAnsi="Times New Roman" w:eastAsia="宋体" w:cs="Times New Roman"/>
                <w:color w:val="000000"/>
                <w:sz w:val="24"/>
              </w:rPr>
              <w:t>度</w:t>
            </w:r>
            <w:r>
              <w:rPr>
                <w:rFonts w:ascii="Times New Roman" w:hAnsi="Times New Roman" w:eastAsia="宋体" w:cs="Times New Roman"/>
                <w:color w:val="000000"/>
                <w:sz w:val="24"/>
                <w:u w:val="single"/>
              </w:rPr>
              <w:t>21</w:t>
            </w:r>
            <w:r>
              <w:rPr>
                <w:rFonts w:ascii="Times New Roman" w:hAnsi="Times New Roman" w:eastAsia="宋体" w:cs="Times New Roman"/>
                <w:color w:val="000000"/>
                <w:sz w:val="24"/>
              </w:rPr>
              <w:t>分</w:t>
            </w:r>
            <w:r>
              <w:rPr>
                <w:rFonts w:ascii="Times New Roman" w:hAnsi="Times New Roman" w:eastAsia="宋体" w:cs="Times New Roman"/>
                <w:color w:val="000000"/>
                <w:sz w:val="24"/>
                <w:u w:val="single"/>
              </w:rPr>
              <w:t>7.65</w:t>
            </w:r>
            <w:r>
              <w:rPr>
                <w:rFonts w:ascii="Times New Roman" w:hAnsi="Times New Roman" w:eastAsia="宋体" w:cs="Times New Roman"/>
                <w:color w:val="000000"/>
                <w:sz w:val="24"/>
              </w:rPr>
              <w:t>秒，</w:t>
            </w:r>
            <w:r>
              <w:rPr>
                <w:rFonts w:ascii="Times New Roman" w:hAnsi="Times New Roman" w:eastAsia="宋体" w:cs="Times New Roman"/>
                <w:color w:val="000000"/>
                <w:sz w:val="24"/>
                <w:u w:val="single"/>
              </w:rPr>
              <w:t>21</w:t>
            </w:r>
            <w:r>
              <w:rPr>
                <w:rFonts w:ascii="Times New Roman" w:hAnsi="Times New Roman" w:eastAsia="宋体" w:cs="Times New Roman"/>
                <w:color w:val="000000"/>
                <w:sz w:val="24"/>
              </w:rPr>
              <w:t>度</w:t>
            </w:r>
            <w:r>
              <w:rPr>
                <w:rFonts w:ascii="Times New Roman" w:hAnsi="Times New Roman" w:eastAsia="宋体" w:cs="Times New Roman"/>
                <w:color w:val="000000"/>
                <w:sz w:val="24"/>
                <w:u w:val="single"/>
              </w:rPr>
              <w:t>16</w:t>
            </w:r>
            <w:r>
              <w:rPr>
                <w:rFonts w:ascii="Times New Roman" w:hAnsi="Times New Roman" w:eastAsia="宋体" w:cs="Times New Roman"/>
                <w:color w:val="000000"/>
                <w:sz w:val="24"/>
              </w:rPr>
              <w:t>分</w:t>
            </w:r>
            <w:r>
              <w:rPr>
                <w:rFonts w:ascii="Times New Roman" w:hAnsi="Times New Roman" w:eastAsia="宋体" w:cs="Times New Roman"/>
                <w:color w:val="000000"/>
                <w:sz w:val="24"/>
                <w:u w:val="single"/>
              </w:rPr>
              <w:t>47.59</w:t>
            </w:r>
            <w:r>
              <w:rPr>
                <w:rFonts w:ascii="Times New Roman" w:hAnsi="Times New Roman" w:eastAsia="宋体" w:cs="Times New Roman"/>
                <w:color w:val="000000"/>
                <w:sz w:val="24"/>
              </w:rPr>
              <w:t>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459"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国民经济</w:t>
            </w:r>
          </w:p>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行业类别</w:t>
            </w:r>
          </w:p>
        </w:tc>
        <w:tc>
          <w:tcPr>
            <w:tcW w:w="816" w:type="pct"/>
            <w:vAlign w:val="center"/>
          </w:tcPr>
          <w:p>
            <w:pPr>
              <w:adjustRightInd w:val="0"/>
              <w:snapToGrid w:val="0"/>
              <w:rPr>
                <w:rFonts w:ascii="Times New Roman" w:hAnsi="Times New Roman" w:eastAsia="宋体" w:cs="Times New Roman"/>
                <w:color w:val="000000"/>
                <w:sz w:val="24"/>
              </w:rPr>
            </w:pPr>
            <w:r>
              <w:rPr>
                <w:rFonts w:ascii="Times New Roman" w:hAnsi="Times New Roman" w:eastAsia="宋体" w:cs="Times New Roman"/>
                <w:bCs/>
                <w:color w:val="000000"/>
                <w:sz w:val="24"/>
              </w:rPr>
              <w:t>Q</w:t>
            </w:r>
            <w:r>
              <w:rPr>
                <w:rFonts w:ascii="Times New Roman" w:hAnsi="Times New Roman" w:eastAsia="宋体" w:cs="Times New Roman"/>
                <w:color w:val="000000"/>
                <w:sz w:val="24"/>
              </w:rPr>
              <w:t>8411综合医院</w:t>
            </w:r>
          </w:p>
        </w:tc>
        <w:tc>
          <w:tcPr>
            <w:tcW w:w="1108" w:type="pct"/>
            <w:vAlign w:val="center"/>
          </w:tcPr>
          <w:p>
            <w:pPr>
              <w:adjustRightInd w:val="0"/>
              <w:snapToGrid w:val="0"/>
              <w:jc w:val="center"/>
              <w:rPr>
                <w:rFonts w:ascii="Times New Roman" w:hAnsi="Times New Roman" w:eastAsia="宋体" w:cs="Times New Roman"/>
                <w:color w:val="000000"/>
                <w:sz w:val="24"/>
              </w:rPr>
            </w:pPr>
            <w:bookmarkStart w:id="8" w:name="_Hlk49843745"/>
            <w:r>
              <w:rPr>
                <w:rFonts w:ascii="Times New Roman" w:hAnsi="Times New Roman" w:eastAsia="宋体" w:cs="Times New Roman"/>
                <w:color w:val="000000"/>
                <w:sz w:val="24"/>
              </w:rPr>
              <w:t>建设项目</w:t>
            </w:r>
          </w:p>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行业类别</w:t>
            </w:r>
            <w:bookmarkEnd w:id="8"/>
          </w:p>
        </w:tc>
        <w:tc>
          <w:tcPr>
            <w:tcW w:w="1615" w:type="pct"/>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四十九、卫生84-108.医院841中的“其他（住院床位20张以下的除外）”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1459"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建设性质</w:t>
            </w:r>
          </w:p>
        </w:tc>
        <w:tc>
          <w:tcPr>
            <w:tcW w:w="816" w:type="pct"/>
            <w:vAlign w:val="center"/>
          </w:tcPr>
          <w:p>
            <w:pPr>
              <w:adjustRightInd w:val="0"/>
              <w:snapToGrid w:val="0"/>
              <w:jc w:val="left"/>
              <w:rPr>
                <w:rFonts w:ascii="Times New Roman" w:hAnsi="Times New Roman" w:eastAsia="宋体" w:cs="Times New Roman"/>
                <w:color w:val="000000"/>
                <w:sz w:val="24"/>
              </w:rPr>
            </w:pPr>
            <w:r>
              <w:rPr>
                <w:rFonts w:ascii="Times New Roman" w:hAnsi="Times New Roman" w:eastAsia="宋体" w:cs="Times New Roman"/>
                <w:color w:val="000000"/>
                <w:sz w:val="24"/>
              </w:rPr>
              <w:sym w:font="Wingdings 2" w:char="0052"/>
            </w:r>
            <w:r>
              <w:rPr>
                <w:rFonts w:ascii="Times New Roman" w:hAnsi="Times New Roman" w:eastAsia="宋体" w:cs="Times New Roman"/>
                <w:color w:val="000000"/>
                <w:sz w:val="24"/>
              </w:rPr>
              <w:t>新建（迁建）</w:t>
            </w:r>
          </w:p>
          <w:p>
            <w:pPr>
              <w:adjustRightInd w:val="0"/>
              <w:snapToGrid w:val="0"/>
              <w:jc w:val="left"/>
              <w:rPr>
                <w:rFonts w:ascii="Times New Roman" w:hAnsi="Times New Roman" w:eastAsia="宋体" w:cs="Times New Roman"/>
                <w:color w:val="000000"/>
                <w:sz w:val="24"/>
              </w:rPr>
            </w:pPr>
            <w:r>
              <w:rPr>
                <w:rFonts w:ascii="Times New Roman" w:hAnsi="Times New Roman" w:eastAsia="宋体" w:cs="Times New Roman"/>
                <w:color w:val="000000"/>
                <w:sz w:val="24"/>
              </w:rPr>
              <w:sym w:font="Wingdings 2" w:char="00A3"/>
            </w:r>
            <w:r>
              <w:rPr>
                <w:rFonts w:ascii="Times New Roman" w:hAnsi="Times New Roman" w:eastAsia="宋体" w:cs="Times New Roman"/>
                <w:color w:val="000000"/>
                <w:sz w:val="24"/>
              </w:rPr>
              <w:t>改建</w:t>
            </w:r>
          </w:p>
          <w:p>
            <w:pPr>
              <w:adjustRightInd w:val="0"/>
              <w:snapToGrid w:val="0"/>
              <w:jc w:val="left"/>
              <w:rPr>
                <w:rFonts w:ascii="Times New Roman" w:hAnsi="Times New Roman" w:eastAsia="宋体" w:cs="Times New Roman"/>
                <w:color w:val="000000"/>
                <w:sz w:val="24"/>
              </w:rPr>
            </w:pPr>
            <w:r>
              <w:rPr>
                <w:rFonts w:ascii="Times New Roman" w:hAnsi="Times New Roman" w:eastAsia="宋体" w:cs="Times New Roman"/>
                <w:color w:val="000000"/>
                <w:sz w:val="24"/>
              </w:rPr>
              <w:sym w:font="Wingdings 2" w:char="00A3"/>
            </w:r>
            <w:r>
              <w:rPr>
                <w:rFonts w:ascii="Times New Roman" w:hAnsi="Times New Roman" w:eastAsia="宋体" w:cs="Times New Roman"/>
                <w:color w:val="000000"/>
                <w:sz w:val="24"/>
              </w:rPr>
              <w:t>扩建</w:t>
            </w:r>
          </w:p>
          <w:p>
            <w:pPr>
              <w:adjustRightInd w:val="0"/>
              <w:snapToGrid w:val="0"/>
              <w:jc w:val="left"/>
              <w:rPr>
                <w:rFonts w:ascii="Times New Roman" w:hAnsi="Times New Roman" w:eastAsia="宋体" w:cs="Times New Roman"/>
                <w:color w:val="000000"/>
                <w:sz w:val="24"/>
              </w:rPr>
            </w:pPr>
            <w:r>
              <w:rPr>
                <w:rFonts w:ascii="Times New Roman" w:hAnsi="Times New Roman" w:eastAsia="宋体" w:cs="Times New Roman"/>
                <w:color w:val="000000"/>
                <w:sz w:val="24"/>
              </w:rPr>
              <w:sym w:font="Wingdings 2" w:char="00A3"/>
            </w:r>
            <w:r>
              <w:rPr>
                <w:rFonts w:ascii="Times New Roman" w:hAnsi="Times New Roman" w:eastAsia="宋体" w:cs="Times New Roman"/>
                <w:color w:val="000000"/>
                <w:sz w:val="24"/>
              </w:rPr>
              <w:t>技术改造</w:t>
            </w:r>
          </w:p>
        </w:tc>
        <w:tc>
          <w:tcPr>
            <w:tcW w:w="1108" w:type="pct"/>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建设项目</w:t>
            </w:r>
          </w:p>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申报情形</w:t>
            </w:r>
          </w:p>
        </w:tc>
        <w:tc>
          <w:tcPr>
            <w:tcW w:w="1615" w:type="pct"/>
            <w:vAlign w:val="center"/>
          </w:tcPr>
          <w:p>
            <w:pPr>
              <w:adjustRightInd w:val="0"/>
              <w:snapToGrid w:val="0"/>
              <w:jc w:val="left"/>
              <w:rPr>
                <w:rFonts w:ascii="Times New Roman" w:hAnsi="Times New Roman" w:eastAsia="宋体" w:cs="Times New Roman"/>
                <w:color w:val="000000"/>
                <w:sz w:val="24"/>
              </w:rPr>
            </w:pPr>
            <w:r>
              <w:rPr>
                <w:rFonts w:ascii="Times New Roman" w:hAnsi="Times New Roman" w:eastAsia="宋体" w:cs="Times New Roman"/>
                <w:color w:val="000000"/>
                <w:sz w:val="24"/>
              </w:rPr>
              <w:sym w:font="Wingdings 2" w:char="0052"/>
            </w:r>
            <w:r>
              <w:rPr>
                <w:rFonts w:ascii="Times New Roman" w:hAnsi="Times New Roman" w:eastAsia="宋体" w:cs="Times New Roman"/>
                <w:color w:val="000000"/>
                <w:sz w:val="24"/>
              </w:rPr>
              <w:t>首次申报项目</w:t>
            </w:r>
          </w:p>
          <w:p>
            <w:pPr>
              <w:adjustRightInd w:val="0"/>
              <w:snapToGrid w:val="0"/>
              <w:jc w:val="left"/>
              <w:rPr>
                <w:rFonts w:ascii="Times New Roman" w:hAnsi="Times New Roman" w:eastAsia="宋体" w:cs="Times New Roman"/>
                <w:color w:val="000000"/>
                <w:sz w:val="24"/>
              </w:rPr>
            </w:pPr>
            <w:r>
              <w:rPr>
                <w:rFonts w:ascii="Times New Roman" w:hAnsi="Times New Roman" w:eastAsia="宋体" w:cs="Times New Roman"/>
                <w:color w:val="000000"/>
                <w:sz w:val="24"/>
              </w:rPr>
              <w:sym w:font="Wingdings 2" w:char="00A3"/>
            </w:r>
            <w:r>
              <w:rPr>
                <w:rFonts w:ascii="Times New Roman" w:hAnsi="Times New Roman" w:eastAsia="宋体" w:cs="Times New Roman"/>
                <w:color w:val="000000"/>
                <w:sz w:val="24"/>
              </w:rPr>
              <w:t>不予批准后再次申报项目</w:t>
            </w:r>
          </w:p>
          <w:p>
            <w:pPr>
              <w:adjustRightInd w:val="0"/>
              <w:snapToGrid w:val="0"/>
              <w:jc w:val="left"/>
              <w:rPr>
                <w:rFonts w:ascii="Times New Roman" w:hAnsi="Times New Roman" w:eastAsia="宋体" w:cs="Times New Roman"/>
                <w:color w:val="000000"/>
                <w:sz w:val="24"/>
              </w:rPr>
            </w:pPr>
            <w:r>
              <w:rPr>
                <w:rFonts w:ascii="Times New Roman" w:hAnsi="Times New Roman" w:eastAsia="宋体" w:cs="Times New Roman"/>
                <w:color w:val="000000"/>
                <w:sz w:val="24"/>
              </w:rPr>
              <w:sym w:font="Wingdings 2" w:char="00A3"/>
            </w:r>
            <w:r>
              <w:rPr>
                <w:rFonts w:ascii="Times New Roman" w:hAnsi="Times New Roman" w:eastAsia="宋体" w:cs="Times New Roman"/>
                <w:color w:val="000000"/>
                <w:sz w:val="24"/>
              </w:rPr>
              <w:t>超五年重新审核项目</w:t>
            </w:r>
          </w:p>
          <w:p>
            <w:pPr>
              <w:adjustRightInd w:val="0"/>
              <w:snapToGrid w:val="0"/>
              <w:jc w:val="left"/>
              <w:rPr>
                <w:rFonts w:ascii="Times New Roman" w:hAnsi="Times New Roman" w:eastAsia="宋体" w:cs="Times New Roman"/>
                <w:color w:val="000000"/>
                <w:sz w:val="24"/>
              </w:rPr>
            </w:pPr>
            <w:r>
              <w:rPr>
                <w:rFonts w:ascii="Times New Roman" w:hAnsi="Times New Roman" w:eastAsia="宋体" w:cs="Times New Roman"/>
                <w:color w:val="000000"/>
                <w:sz w:val="24"/>
              </w:rPr>
              <w:sym w:font="Wingdings 2" w:char="00A3"/>
            </w:r>
            <w:r>
              <w:rPr>
                <w:rFonts w:ascii="Times New Roman" w:hAnsi="Times New Roman" w:eastAsia="宋体" w:cs="Times New Roman"/>
                <w:color w:val="000000"/>
                <w:sz w:val="24"/>
              </w:rPr>
              <w:t>重大变动重新报批项目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1459" w:type="pct"/>
            <w:tcMar>
              <w:top w:w="16" w:type="dxa"/>
              <w:left w:w="16" w:type="dxa"/>
              <w:right w:w="16" w:type="dxa"/>
            </w:tcMar>
            <w:vAlign w:val="center"/>
          </w:tcPr>
          <w:p>
            <w:pPr>
              <w:adjustRightInd w:val="0"/>
              <w:snapToGrid w:val="0"/>
              <w:jc w:val="center"/>
              <w:rPr>
                <w:rFonts w:ascii="Times New Roman" w:hAnsi="Times New Roman" w:eastAsia="宋体" w:cs="Times New Roman"/>
                <w:color w:val="auto"/>
                <w:sz w:val="24"/>
              </w:rPr>
            </w:pPr>
            <w:r>
              <w:rPr>
                <w:rFonts w:ascii="Times New Roman" w:hAnsi="Times New Roman" w:eastAsia="宋体" w:cs="Times New Roman"/>
                <w:color w:val="auto"/>
                <w:sz w:val="24"/>
              </w:rPr>
              <w:t>项目审批（核准/</w:t>
            </w:r>
          </w:p>
          <w:p>
            <w:pPr>
              <w:adjustRightInd w:val="0"/>
              <w:snapToGrid w:val="0"/>
              <w:jc w:val="center"/>
              <w:rPr>
                <w:rFonts w:ascii="Times New Roman" w:hAnsi="Times New Roman" w:eastAsia="宋体" w:cs="Times New Roman"/>
                <w:color w:val="auto"/>
                <w:sz w:val="24"/>
              </w:rPr>
            </w:pPr>
            <w:r>
              <w:rPr>
                <w:rFonts w:ascii="Times New Roman" w:hAnsi="Times New Roman" w:eastAsia="宋体" w:cs="Times New Roman"/>
                <w:color w:val="auto"/>
                <w:sz w:val="24"/>
              </w:rPr>
              <w:t>备案）部门（选填）</w:t>
            </w:r>
          </w:p>
        </w:tc>
        <w:tc>
          <w:tcPr>
            <w:tcW w:w="816" w:type="pct"/>
            <w:vAlign w:val="center"/>
          </w:tcPr>
          <w:p>
            <w:pPr>
              <w:adjustRightInd w:val="0"/>
              <w:snapToGrid w:val="0"/>
              <w:jc w:val="center"/>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无</w:t>
            </w:r>
          </w:p>
        </w:tc>
        <w:tc>
          <w:tcPr>
            <w:tcW w:w="1108" w:type="pct"/>
            <w:vAlign w:val="center"/>
          </w:tcPr>
          <w:p>
            <w:pPr>
              <w:adjustRightInd w:val="0"/>
              <w:snapToGrid w:val="0"/>
              <w:jc w:val="center"/>
              <w:rPr>
                <w:rFonts w:ascii="Times New Roman" w:hAnsi="Times New Roman" w:eastAsia="宋体" w:cs="Times New Roman"/>
                <w:color w:val="auto"/>
                <w:sz w:val="24"/>
              </w:rPr>
            </w:pPr>
            <w:r>
              <w:rPr>
                <w:rFonts w:ascii="Times New Roman" w:hAnsi="Times New Roman" w:eastAsia="宋体" w:cs="Times New Roman"/>
                <w:color w:val="auto"/>
                <w:sz w:val="24"/>
              </w:rPr>
              <w:t>项目审批（核准/</w:t>
            </w:r>
          </w:p>
          <w:p>
            <w:pPr>
              <w:adjustRightInd w:val="0"/>
              <w:snapToGrid w:val="0"/>
              <w:jc w:val="center"/>
              <w:rPr>
                <w:rFonts w:ascii="Times New Roman" w:hAnsi="Times New Roman" w:eastAsia="宋体" w:cs="Times New Roman"/>
                <w:color w:val="auto"/>
                <w:sz w:val="24"/>
              </w:rPr>
            </w:pPr>
            <w:r>
              <w:rPr>
                <w:rFonts w:ascii="Times New Roman" w:hAnsi="Times New Roman" w:eastAsia="宋体" w:cs="Times New Roman"/>
                <w:color w:val="auto"/>
                <w:sz w:val="24"/>
              </w:rPr>
              <w:t>备案）文号（选填）</w:t>
            </w:r>
          </w:p>
        </w:tc>
        <w:tc>
          <w:tcPr>
            <w:tcW w:w="1615" w:type="pct"/>
            <w:vAlign w:val="center"/>
          </w:tcPr>
          <w:p>
            <w:pPr>
              <w:adjustRightInd w:val="0"/>
              <w:snapToGrid w:val="0"/>
              <w:jc w:val="center"/>
              <w:rPr>
                <w:rFonts w:hint="eastAsia" w:ascii="Times New Roman" w:hAnsi="Times New Roman" w:eastAsia="宋体" w:cs="Times New Roman"/>
                <w:color w:val="000000"/>
                <w:sz w:val="24"/>
                <w:lang w:val="en-US" w:eastAsia="zh-CN"/>
              </w:rPr>
            </w:pPr>
            <w:r>
              <w:rPr>
                <w:rFonts w:hint="eastAsia" w:ascii="Times New Roman" w:hAnsi="Times New Roman" w:eastAsia="宋体" w:cs="Times New Roman"/>
                <w:color w:val="000000"/>
                <w:sz w:val="24"/>
                <w:lang w:val="en-US" w:eastAsia="zh-CN"/>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59"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总投资（万元）</w:t>
            </w:r>
          </w:p>
        </w:tc>
        <w:tc>
          <w:tcPr>
            <w:tcW w:w="816" w:type="pct"/>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200</w:t>
            </w:r>
          </w:p>
        </w:tc>
        <w:tc>
          <w:tcPr>
            <w:tcW w:w="1108"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环保投资（万元）</w:t>
            </w:r>
          </w:p>
        </w:tc>
        <w:tc>
          <w:tcPr>
            <w:tcW w:w="1615" w:type="pct"/>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70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59"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环保投资占比（%）</w:t>
            </w:r>
          </w:p>
        </w:tc>
        <w:tc>
          <w:tcPr>
            <w:tcW w:w="816" w:type="pct"/>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35</w:t>
            </w:r>
          </w:p>
        </w:tc>
        <w:tc>
          <w:tcPr>
            <w:tcW w:w="1108"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施工工期</w:t>
            </w:r>
          </w:p>
        </w:tc>
        <w:tc>
          <w:tcPr>
            <w:tcW w:w="1615" w:type="pct"/>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2个月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459"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是否开工建设</w:t>
            </w:r>
          </w:p>
        </w:tc>
        <w:tc>
          <w:tcPr>
            <w:tcW w:w="816" w:type="pct"/>
            <w:vAlign w:val="center"/>
          </w:tcPr>
          <w:p>
            <w:pPr>
              <w:adjustRightInd w:val="0"/>
              <w:snapToGrid w:val="0"/>
              <w:jc w:val="left"/>
              <w:rPr>
                <w:rFonts w:ascii="Times New Roman" w:hAnsi="Times New Roman" w:eastAsia="宋体" w:cs="Times New Roman"/>
                <w:color w:val="000000"/>
                <w:sz w:val="24"/>
              </w:rPr>
            </w:pPr>
            <w:r>
              <w:rPr>
                <w:rFonts w:ascii="Times New Roman" w:hAnsi="Times New Roman" w:eastAsia="宋体" w:cs="Times New Roman"/>
                <w:color w:val="000000"/>
                <w:sz w:val="24"/>
              </w:rPr>
              <w:sym w:font="Wingdings 2" w:char="0052"/>
            </w:r>
            <w:r>
              <w:rPr>
                <w:rFonts w:ascii="Times New Roman" w:hAnsi="Times New Roman" w:eastAsia="宋体" w:cs="Times New Roman"/>
                <w:color w:val="000000"/>
                <w:sz w:val="24"/>
              </w:rPr>
              <w:t>否</w:t>
            </w:r>
          </w:p>
          <w:p>
            <w:pPr>
              <w:adjustRightInd w:val="0"/>
              <w:snapToGrid w:val="0"/>
              <w:jc w:val="left"/>
              <w:rPr>
                <w:rFonts w:ascii="Times New Roman" w:hAnsi="Times New Roman" w:eastAsia="宋体" w:cs="Times New Roman"/>
                <w:color w:val="000000"/>
                <w:sz w:val="24"/>
              </w:rPr>
            </w:pPr>
            <w:r>
              <w:rPr>
                <w:rFonts w:ascii="Times New Roman" w:hAnsi="Times New Roman" w:eastAsia="宋体" w:cs="Times New Roman"/>
                <w:color w:val="000000"/>
                <w:sz w:val="24"/>
              </w:rPr>
              <w:sym w:font="Wingdings 2" w:char="00A3"/>
            </w:r>
            <w:r>
              <w:rPr>
                <w:rFonts w:ascii="Times New Roman" w:hAnsi="Times New Roman" w:eastAsia="宋体" w:cs="Times New Roman"/>
                <w:color w:val="000000"/>
                <w:sz w:val="24"/>
              </w:rPr>
              <w:t>是：</w:t>
            </w:r>
          </w:p>
        </w:tc>
        <w:tc>
          <w:tcPr>
            <w:tcW w:w="1108" w:type="pct"/>
            <w:tcMar>
              <w:top w:w="16" w:type="dxa"/>
              <w:left w:w="16" w:type="dxa"/>
              <w:right w:w="16" w:type="dxa"/>
            </w:tcMar>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用地（用海）</w:t>
            </w:r>
          </w:p>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面积（m</w:t>
            </w:r>
            <w:r>
              <w:rPr>
                <w:rFonts w:ascii="Times New Roman" w:hAnsi="Times New Roman" w:eastAsia="宋体" w:cs="Times New Roman"/>
                <w:color w:val="000000"/>
                <w:sz w:val="24"/>
                <w:vertAlign w:val="superscript"/>
              </w:rPr>
              <w:t>2</w:t>
            </w:r>
            <w:r>
              <w:rPr>
                <w:rFonts w:ascii="Times New Roman" w:hAnsi="Times New Roman" w:eastAsia="宋体" w:cs="Times New Roman"/>
                <w:color w:val="000000"/>
                <w:sz w:val="24"/>
              </w:rPr>
              <w:t>）</w:t>
            </w:r>
          </w:p>
        </w:tc>
        <w:tc>
          <w:tcPr>
            <w:tcW w:w="1615" w:type="pct"/>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2571.3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1459" w:type="pct"/>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专项评价设置情况</w:t>
            </w:r>
          </w:p>
        </w:tc>
        <w:tc>
          <w:tcPr>
            <w:tcW w:w="3540" w:type="pct"/>
            <w:gridSpan w:val="3"/>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1459" w:type="pct"/>
            <w:vAlign w:val="center"/>
          </w:tcPr>
          <w:p>
            <w:pPr>
              <w:autoSpaceDE w:val="0"/>
              <w:autoSpaceDN w:val="0"/>
              <w:adjustRightInd w:val="0"/>
              <w:snapToGrid w:val="0"/>
              <w:jc w:val="center"/>
              <w:rPr>
                <w:rFonts w:ascii="Times New Roman" w:hAnsi="Times New Roman" w:eastAsia="宋体" w:cs="Times New Roman"/>
                <w:color w:val="000000"/>
                <w:kern w:val="0"/>
                <w:sz w:val="24"/>
              </w:rPr>
            </w:pPr>
            <w:r>
              <w:rPr>
                <w:rFonts w:ascii="Times New Roman" w:hAnsi="Times New Roman" w:eastAsia="宋体" w:cs="Times New Roman"/>
                <w:color w:val="000000"/>
                <w:sz w:val="24"/>
              </w:rPr>
              <w:t>规划情况</w:t>
            </w:r>
          </w:p>
        </w:tc>
        <w:tc>
          <w:tcPr>
            <w:tcW w:w="3540" w:type="pct"/>
            <w:gridSpan w:val="3"/>
            <w:vAlign w:val="center"/>
          </w:tcPr>
          <w:p>
            <w:pPr>
              <w:autoSpaceDE w:val="0"/>
              <w:autoSpaceDN w:val="0"/>
              <w:adjustRightInd w:val="0"/>
              <w:snapToGrid w:val="0"/>
              <w:spacing w:before="156" w:beforeLines="50"/>
              <w:jc w:val="center"/>
              <w:rPr>
                <w:rFonts w:ascii="Times New Roman" w:hAnsi="Times New Roman" w:eastAsia="宋体" w:cs="Times New Roman"/>
                <w:color w:val="000000"/>
                <w:kern w:val="0"/>
                <w:sz w:val="24"/>
              </w:rPr>
            </w:pPr>
            <w:r>
              <w:rPr>
                <w:rFonts w:ascii="Times New Roman" w:hAnsi="Times New Roman" w:eastAsia="宋体" w:cs="Times New Roman"/>
                <w:color w:val="000000"/>
                <w:kern w:val="0"/>
                <w:sz w:val="24"/>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59" w:type="pct"/>
            <w:vAlign w:val="center"/>
          </w:tcPr>
          <w:p>
            <w:pPr>
              <w:adjustRightInd w:val="0"/>
              <w:snapToGrid w:val="0"/>
              <w:jc w:val="center"/>
              <w:rPr>
                <w:rFonts w:ascii="Times New Roman" w:hAnsi="Times New Roman" w:eastAsia="宋体" w:cs="Times New Roman"/>
                <w:color w:val="000000"/>
                <w:sz w:val="24"/>
              </w:rPr>
            </w:pPr>
            <w:r>
              <w:rPr>
                <w:rFonts w:ascii="Times New Roman" w:hAnsi="Times New Roman" w:eastAsia="宋体" w:cs="Times New Roman"/>
                <w:color w:val="000000"/>
                <w:sz w:val="24"/>
              </w:rPr>
              <w:t>规划环境影响</w:t>
            </w:r>
          </w:p>
          <w:p>
            <w:pPr>
              <w:adjustRightInd w:val="0"/>
              <w:snapToGrid w:val="0"/>
              <w:jc w:val="center"/>
              <w:rPr>
                <w:rFonts w:ascii="Times New Roman" w:hAnsi="Times New Roman" w:eastAsia="宋体" w:cs="Times New Roman"/>
                <w:color w:val="000000"/>
                <w:kern w:val="0"/>
                <w:sz w:val="24"/>
              </w:rPr>
            </w:pPr>
            <w:r>
              <w:rPr>
                <w:rFonts w:ascii="Times New Roman" w:hAnsi="Times New Roman" w:eastAsia="宋体" w:cs="Times New Roman"/>
                <w:color w:val="000000"/>
                <w:sz w:val="24"/>
              </w:rPr>
              <w:t>评价情况</w:t>
            </w:r>
          </w:p>
        </w:tc>
        <w:tc>
          <w:tcPr>
            <w:tcW w:w="3540" w:type="pct"/>
            <w:gridSpan w:val="3"/>
            <w:vAlign w:val="center"/>
          </w:tcPr>
          <w:p>
            <w:pPr>
              <w:autoSpaceDE w:val="0"/>
              <w:autoSpaceDN w:val="0"/>
              <w:adjustRightInd w:val="0"/>
              <w:snapToGrid w:val="0"/>
              <w:spacing w:before="156" w:beforeLines="50"/>
              <w:jc w:val="center"/>
              <w:rPr>
                <w:rFonts w:ascii="Times New Roman" w:hAnsi="Times New Roman" w:eastAsia="宋体" w:cs="Times New Roman"/>
                <w:color w:val="000000"/>
                <w:kern w:val="0"/>
                <w:sz w:val="24"/>
              </w:rPr>
            </w:pPr>
            <w:r>
              <w:rPr>
                <w:rFonts w:ascii="Times New Roman" w:hAnsi="Times New Roman" w:eastAsia="宋体" w:cs="Times New Roman"/>
                <w:color w:val="000000"/>
                <w:kern w:val="0"/>
                <w:sz w:val="24"/>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459" w:type="pct"/>
            <w:vAlign w:val="center"/>
          </w:tcPr>
          <w:p>
            <w:pPr>
              <w:adjustRightInd w:val="0"/>
              <w:snapToGrid w:val="0"/>
              <w:jc w:val="center"/>
              <w:rPr>
                <w:rFonts w:ascii="Times New Roman" w:hAnsi="Times New Roman" w:eastAsia="宋体" w:cs="Times New Roman"/>
                <w:color w:val="000000"/>
                <w:kern w:val="0"/>
                <w:sz w:val="24"/>
              </w:rPr>
            </w:pPr>
            <w:r>
              <w:rPr>
                <w:rFonts w:ascii="Times New Roman" w:hAnsi="Times New Roman" w:eastAsia="宋体" w:cs="Times New Roman"/>
                <w:color w:val="000000"/>
                <w:sz w:val="24"/>
              </w:rPr>
              <w:t>规划及规划环境影响评价符合性分析</w:t>
            </w:r>
          </w:p>
        </w:tc>
        <w:tc>
          <w:tcPr>
            <w:tcW w:w="3540" w:type="pct"/>
            <w:gridSpan w:val="3"/>
            <w:vAlign w:val="center"/>
          </w:tcPr>
          <w:p>
            <w:pPr>
              <w:autoSpaceDE w:val="0"/>
              <w:autoSpaceDN w:val="0"/>
              <w:adjustRightInd w:val="0"/>
              <w:snapToGrid w:val="0"/>
              <w:spacing w:before="156" w:beforeLines="50"/>
              <w:jc w:val="center"/>
              <w:rPr>
                <w:rFonts w:ascii="Times New Roman" w:hAnsi="Times New Roman" w:eastAsia="宋体" w:cs="Times New Roman"/>
                <w:color w:val="000000"/>
                <w:kern w:val="0"/>
                <w:sz w:val="24"/>
              </w:rPr>
            </w:pPr>
            <w:r>
              <w:rPr>
                <w:rFonts w:ascii="Times New Roman" w:hAnsi="Times New Roman" w:eastAsia="宋体" w:cs="Times New Roman"/>
                <w:color w:val="000000"/>
                <w:sz w:val="24"/>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973" w:hRule="atLeast"/>
          <w:jc w:val="center"/>
        </w:trPr>
        <w:tc>
          <w:tcPr>
            <w:tcW w:w="1459" w:type="pct"/>
            <w:vAlign w:val="center"/>
          </w:tcPr>
          <w:p>
            <w:pPr>
              <w:autoSpaceDE w:val="0"/>
              <w:autoSpaceDN w:val="0"/>
              <w:adjustRightInd w:val="0"/>
              <w:snapToGrid w:val="0"/>
              <w:jc w:val="center"/>
              <w:rPr>
                <w:rFonts w:ascii="Times New Roman" w:hAnsi="Times New Roman" w:eastAsia="宋体" w:cs="Times New Roman"/>
                <w:color w:val="000000"/>
                <w:kern w:val="0"/>
                <w:sz w:val="24"/>
              </w:rPr>
            </w:pPr>
            <w:r>
              <w:rPr>
                <w:rFonts w:ascii="Times New Roman" w:hAnsi="Times New Roman" w:eastAsia="宋体" w:cs="Times New Roman"/>
                <w:color w:val="000000"/>
                <w:kern w:val="0"/>
                <w:sz w:val="24"/>
              </w:rPr>
              <w:t>其他符合性分析</w:t>
            </w:r>
          </w:p>
        </w:tc>
        <w:tc>
          <w:tcPr>
            <w:tcW w:w="3540" w:type="pct"/>
            <w:gridSpan w:val="3"/>
            <w:vAlign w:val="center"/>
          </w:tcPr>
          <w:p>
            <w:pPr>
              <w:spacing w:line="360" w:lineRule="auto"/>
              <w:jc w:val="left"/>
              <w:rPr>
                <w:rFonts w:ascii="Times New Roman" w:hAnsi="Times New Roman" w:eastAsia="宋体" w:cs="Times New Roman"/>
                <w:b/>
                <w:bCs/>
                <w:color w:val="000000"/>
                <w:sz w:val="24"/>
              </w:rPr>
            </w:pPr>
            <w:r>
              <w:rPr>
                <w:rFonts w:ascii="Times New Roman" w:hAnsi="Times New Roman" w:eastAsia="宋体" w:cs="Times New Roman"/>
                <w:b/>
                <w:bCs/>
                <w:color w:val="000000"/>
                <w:sz w:val="24"/>
              </w:rPr>
              <w:t>1、与广东省“三线一单”符合性分析</w:t>
            </w:r>
          </w:p>
          <w:p>
            <w:pPr>
              <w:pStyle w:val="2"/>
              <w:spacing w:line="360" w:lineRule="auto"/>
              <w:ind w:firstLine="480" w:firstLineChars="200"/>
              <w:rPr>
                <w:rFonts w:ascii="Times New Roman" w:eastAsia="宋体" w:cs="Times New Roman"/>
              </w:rPr>
            </w:pPr>
            <w:r>
              <w:rPr>
                <w:rFonts w:ascii="Times New Roman" w:eastAsia="宋体" w:cs="Times New Roman"/>
              </w:rPr>
              <w:t>“三线一单”，是指生态保护红线、环境质量底线、资源利用上线和生态环境准入清单，是推进生态环境保护精细化管理、强化国土空间环境管控、推进绿色发展高质量发展的一项重要工作。</w:t>
            </w:r>
          </w:p>
          <w:p>
            <w:pPr>
              <w:pStyle w:val="2"/>
              <w:numPr>
                <w:ilvl w:val="0"/>
                <w:numId w:val="2"/>
              </w:numPr>
              <w:spacing w:line="360" w:lineRule="auto"/>
              <w:rPr>
                <w:rFonts w:ascii="Times New Roman" w:eastAsia="宋体" w:cs="Times New Roman"/>
                <w:b/>
                <w:bCs/>
              </w:rPr>
            </w:pPr>
            <w:r>
              <w:rPr>
                <w:rFonts w:ascii="Times New Roman" w:eastAsia="宋体" w:cs="Times New Roman"/>
                <w:b/>
                <w:bCs/>
              </w:rPr>
              <w:t>生态保护红线</w:t>
            </w:r>
          </w:p>
          <w:p>
            <w:pPr>
              <w:pStyle w:val="2"/>
              <w:spacing w:line="360" w:lineRule="auto"/>
              <w:ind w:firstLine="480" w:firstLineChars="200"/>
              <w:rPr>
                <w:rFonts w:ascii="Times New Roman" w:eastAsia="宋体" w:cs="Times New Roman"/>
              </w:rPr>
            </w:pPr>
            <w:r>
              <w:rPr>
                <w:rFonts w:ascii="Times New Roman" w:eastAsia="宋体" w:cs="Times New Roman"/>
              </w:rPr>
              <w:t>建设项目位于湛江市赤坎区农林一路14号1-2楼CD区、4楼D区，选址不在当地饮用水源、风景区、自然保护区等生态保护区内，项目符合生态保护红线要求。</w:t>
            </w:r>
          </w:p>
          <w:p>
            <w:pPr>
              <w:pStyle w:val="2"/>
              <w:numPr>
                <w:ilvl w:val="0"/>
                <w:numId w:val="2"/>
              </w:numPr>
              <w:spacing w:line="360" w:lineRule="auto"/>
              <w:rPr>
                <w:rFonts w:ascii="Times New Roman" w:eastAsia="宋体" w:cs="Times New Roman"/>
                <w:b/>
                <w:bCs/>
              </w:rPr>
            </w:pPr>
            <w:r>
              <w:rPr>
                <w:rFonts w:ascii="Times New Roman" w:eastAsia="宋体" w:cs="Times New Roman"/>
                <w:b/>
                <w:bCs/>
              </w:rPr>
              <w:t>环境质量底线</w:t>
            </w:r>
          </w:p>
          <w:p>
            <w:pPr>
              <w:pStyle w:val="2"/>
              <w:spacing w:line="360" w:lineRule="auto"/>
              <w:ind w:firstLine="480" w:firstLineChars="200"/>
              <w:rPr>
                <w:rFonts w:ascii="Times New Roman" w:eastAsia="宋体" w:cs="Times New Roman"/>
              </w:rPr>
            </w:pPr>
            <w:r>
              <w:rPr>
                <w:rFonts w:ascii="Times New Roman" w:eastAsia="宋体" w:cs="Times New Roman"/>
              </w:rPr>
              <w:t>根据环境现状监测结果以及生态环境主管部门发布的环境质量数据，建设项目所在区域声环境、空气质量以及地表水环境符合相应质量标准要求。项目所在区域环境质量较好。</w:t>
            </w:r>
          </w:p>
          <w:p>
            <w:pPr>
              <w:pStyle w:val="2"/>
              <w:numPr>
                <w:ilvl w:val="0"/>
                <w:numId w:val="2"/>
              </w:numPr>
              <w:spacing w:line="360" w:lineRule="auto"/>
              <w:rPr>
                <w:rFonts w:ascii="Times New Roman" w:eastAsia="宋体" w:cs="Times New Roman"/>
                <w:b/>
                <w:bCs/>
              </w:rPr>
            </w:pPr>
            <w:r>
              <w:rPr>
                <w:rFonts w:ascii="Times New Roman" w:eastAsia="宋体" w:cs="Times New Roman"/>
                <w:b/>
                <w:bCs/>
              </w:rPr>
              <w:t>资源利用上线</w:t>
            </w:r>
          </w:p>
          <w:p>
            <w:pPr>
              <w:pStyle w:val="2"/>
              <w:spacing w:line="360" w:lineRule="auto"/>
              <w:ind w:firstLine="480" w:firstLineChars="200"/>
              <w:rPr>
                <w:rFonts w:ascii="Times New Roman" w:eastAsia="宋体" w:cs="Times New Roman"/>
              </w:rPr>
            </w:pPr>
            <w:r>
              <w:rPr>
                <w:rFonts w:ascii="Times New Roman" w:eastAsia="宋体" w:cs="Times New Roman"/>
              </w:rPr>
              <w:t>建设项目会消耗一定量的水资源以及电力资源。项目供水水源为市政自来水管网，供电电源为当地供电电网。项目水电资源较为丰富，资源消耗量相对于区域资源利用总量较小，符合资源利用上线要求。</w:t>
            </w:r>
          </w:p>
          <w:p>
            <w:pPr>
              <w:pStyle w:val="2"/>
              <w:numPr>
                <w:ilvl w:val="0"/>
                <w:numId w:val="2"/>
              </w:numPr>
              <w:spacing w:line="360" w:lineRule="auto"/>
              <w:rPr>
                <w:rFonts w:ascii="Times New Roman" w:eastAsia="宋体" w:cs="Times New Roman"/>
                <w:b/>
                <w:bCs/>
              </w:rPr>
            </w:pPr>
            <w:r>
              <w:rPr>
                <w:rFonts w:ascii="Times New Roman" w:eastAsia="宋体" w:cs="Times New Roman"/>
                <w:b/>
                <w:bCs/>
              </w:rPr>
              <w:t>生态环境准入清单</w:t>
            </w:r>
          </w:p>
          <w:p>
            <w:pPr>
              <w:pStyle w:val="2"/>
              <w:spacing w:line="360" w:lineRule="auto"/>
              <w:ind w:firstLine="480" w:firstLineChars="200"/>
              <w:rPr>
                <w:rFonts w:ascii="Times New Roman" w:eastAsia="宋体" w:cs="Times New Roman"/>
              </w:rPr>
            </w:pPr>
            <w:r>
              <w:rPr>
                <w:rFonts w:ascii="Times New Roman" w:eastAsia="宋体" w:cs="Times New Roman"/>
              </w:rPr>
              <w:t>根据《广东省“三线一单”生态环境分区管控方案》（粤府〔2020〕71号），从区域布局管控、能源资源利用、污染物排放管控和环境风险防控等方面明确准入要求，建立“1+3+N”三级生态环境准入清单体系。“1”为全省总体管控要求，“3”为“一核一带一区”区域管控要求，“N”为1912个陆域环境管控单元和471个海域环境管控单元的管控要求。本项目不属于区域布局管控、能源资源利用、污染物排放管控和环境风险防控等方面明确禁止准入项目。因此，本项目符合生态环境准入清单的要求。</w:t>
            </w:r>
          </w:p>
          <w:p>
            <w:pPr>
              <w:spacing w:line="360" w:lineRule="auto"/>
              <w:jc w:val="left"/>
              <w:rPr>
                <w:rFonts w:ascii="Times New Roman" w:hAnsi="Times New Roman" w:eastAsia="宋体" w:cs="Times New Roman"/>
                <w:b/>
                <w:bCs/>
                <w:color w:val="000000"/>
                <w:sz w:val="24"/>
              </w:rPr>
            </w:pPr>
            <w:r>
              <w:rPr>
                <w:rFonts w:ascii="Times New Roman" w:hAnsi="Times New Roman" w:eastAsia="宋体" w:cs="Times New Roman"/>
                <w:b/>
                <w:bCs/>
                <w:color w:val="000000"/>
                <w:sz w:val="24"/>
              </w:rPr>
              <w:t>2、与产业政策符合性分析</w:t>
            </w:r>
          </w:p>
          <w:p>
            <w:pPr>
              <w:pStyle w:val="2"/>
              <w:spacing w:line="360" w:lineRule="auto"/>
              <w:ind w:firstLine="480" w:firstLineChars="200"/>
              <w:rPr>
                <w:rFonts w:ascii="Times New Roman" w:eastAsia="宋体" w:cs="Times New Roman"/>
              </w:rPr>
            </w:pPr>
            <w:r>
              <w:rPr>
                <w:rFonts w:ascii="Times New Roman" w:eastAsia="宋体" w:cs="Times New Roman"/>
              </w:rPr>
              <w:t>建设项目属于《产业结构调整指导目录（2019年本）》（中华人民共和国国家发展和改革委员会令第29号）中鼓励类第三十七条卫生健康第5项--医疗卫生服务设施建设，符合国家产业政策。根据查阅根据《市场准入负面清单（2022年版）》（发改体改规〔2022〕397号）相关信息，建设项目不在负面清单内，符合产业政策要求。</w:t>
            </w:r>
          </w:p>
          <w:p>
            <w:pPr>
              <w:spacing w:line="360" w:lineRule="auto"/>
              <w:jc w:val="left"/>
              <w:rPr>
                <w:rFonts w:ascii="Times New Roman" w:hAnsi="Times New Roman" w:eastAsia="宋体" w:cs="Times New Roman"/>
                <w:b/>
                <w:bCs/>
                <w:color w:val="000000"/>
                <w:sz w:val="24"/>
              </w:rPr>
            </w:pPr>
            <w:r>
              <w:rPr>
                <w:rFonts w:ascii="Times New Roman" w:hAnsi="Times New Roman" w:eastAsia="宋体" w:cs="Times New Roman"/>
                <w:b/>
                <w:bCs/>
                <w:color w:val="000000"/>
                <w:sz w:val="24"/>
              </w:rPr>
              <w:t>3、选址符合性分析</w:t>
            </w:r>
          </w:p>
          <w:p>
            <w:pPr>
              <w:pStyle w:val="2"/>
              <w:spacing w:line="360" w:lineRule="auto"/>
              <w:ind w:firstLine="480" w:firstLineChars="200"/>
              <w:rPr>
                <w:rFonts w:ascii="Times New Roman" w:eastAsia="宋体" w:cs="Times New Roman"/>
              </w:rPr>
            </w:pPr>
            <w:r>
              <w:rPr>
                <w:rFonts w:ascii="Times New Roman" w:eastAsia="宋体" w:cs="Times New Roman"/>
              </w:rPr>
              <w:t>项目选址在湛江市赤坎区农林一路，租用湛江市赤坎区养老服务中心公寓大楼C、D区1-2层和D区4层。本项目选址位置为社会福利设施用地，项目作为完善湛江市养老服务中心医疗康复以及其他相关的设施设备的独立机构，符合用地性质要求。</w:t>
            </w:r>
          </w:p>
          <w:p>
            <w:pPr>
              <w:spacing w:line="360" w:lineRule="auto"/>
              <w:jc w:val="left"/>
              <w:rPr>
                <w:rFonts w:ascii="Times New Roman" w:hAnsi="Times New Roman" w:eastAsia="宋体" w:cs="Times New Roman"/>
                <w:b/>
                <w:bCs/>
                <w:color w:val="000000"/>
                <w:sz w:val="24"/>
              </w:rPr>
            </w:pPr>
            <w:r>
              <w:rPr>
                <w:rFonts w:ascii="Times New Roman" w:hAnsi="Times New Roman" w:eastAsia="宋体" w:cs="Times New Roman"/>
                <w:b/>
                <w:bCs/>
                <w:color w:val="000000"/>
                <w:sz w:val="24"/>
              </w:rPr>
              <w:t>4、与《广东省生态环境保护“十四五”规划》相符性分析：</w:t>
            </w:r>
          </w:p>
          <w:p>
            <w:pPr>
              <w:pStyle w:val="2"/>
              <w:spacing w:line="360" w:lineRule="auto"/>
              <w:ind w:firstLine="480" w:firstLineChars="200"/>
              <w:rPr>
                <w:rFonts w:ascii="Times New Roman" w:eastAsia="宋体" w:cs="Times New Roman"/>
              </w:rPr>
            </w:pPr>
            <w:r>
              <w:rPr>
                <w:rFonts w:ascii="Times New Roman" w:eastAsia="宋体" w:cs="Times New Roman"/>
              </w:rPr>
              <w:t>《广东省生态环境保护“十四五”规划》中要求：健全加快构建医药制造、医疗服务、健康休闲旅游、健康运动、健康农业（食品）等大健康全产业链，打造健康养生目的地。持续推动“绿水青山就是金山银山”实践创新基地建设。</w:t>
            </w:r>
          </w:p>
          <w:p>
            <w:pPr>
              <w:pStyle w:val="2"/>
              <w:spacing w:line="360" w:lineRule="auto"/>
              <w:ind w:firstLine="480" w:firstLineChars="200"/>
              <w:rPr>
                <w:rFonts w:ascii="Times New Roman" w:eastAsia="宋体" w:cs="Times New Roman"/>
              </w:rPr>
            </w:pPr>
            <w:r>
              <w:rPr>
                <w:rFonts w:ascii="Times New Roman" w:eastAsia="宋体" w:cs="Times New Roman"/>
              </w:rPr>
              <w:t>建设项目属于医疗卫生服务机构的建设，完善湛江市养老服务中心医疗保障基础设施，建造功能用房，采购先进的医疗设备，为湛江市养老服务中心的老人们提供更为优越的医疗卫生服务，符合打造健康养生目的地基本要求。符合《广东省生态环境保护“十四五”规划》的要求。</w:t>
            </w:r>
          </w:p>
          <w:p>
            <w:pPr>
              <w:spacing w:line="360" w:lineRule="auto"/>
              <w:jc w:val="left"/>
              <w:rPr>
                <w:rFonts w:ascii="Times New Roman" w:hAnsi="Times New Roman" w:eastAsia="宋体" w:cs="Times New Roman"/>
                <w:b/>
                <w:bCs/>
                <w:color w:val="000000"/>
                <w:sz w:val="24"/>
              </w:rPr>
            </w:pPr>
            <w:r>
              <w:rPr>
                <w:rFonts w:ascii="Times New Roman" w:hAnsi="Times New Roman" w:eastAsia="宋体" w:cs="Times New Roman"/>
                <w:b/>
                <w:bCs/>
                <w:color w:val="000000"/>
                <w:sz w:val="24"/>
              </w:rPr>
              <w:t>5、与《湛江市生态环境“十四五”规划》相符性分析</w:t>
            </w:r>
          </w:p>
          <w:p>
            <w:pPr>
              <w:pStyle w:val="2"/>
              <w:spacing w:line="360" w:lineRule="auto"/>
              <w:ind w:firstLine="480" w:firstLineChars="200"/>
              <w:rPr>
                <w:rFonts w:ascii="Times New Roman" w:eastAsia="宋体" w:cs="Times New Roman"/>
              </w:rPr>
            </w:pPr>
            <w:r>
              <w:rPr>
                <w:rFonts w:ascii="Times New Roman" w:eastAsia="宋体" w:cs="Times New Roman"/>
              </w:rPr>
              <w:t>建设项目属于医疗卫生服务机构的建设，性质为公共基础设施，位于湛江市赤坎区农林一路14号1-2楼CD区、4楼D区，常住人口为老年人，数量在未来一段时间内将出现激增的趋势。湛江市颐福医院采购一批大型的、先进的医疗设备，完善湛江市养老服务中心医疗保障基础设施，提升湛江市养老服务中心整体医疗服务能力，符合《湛江市生态环境“十四五”规划》的要求。</w:t>
            </w:r>
          </w:p>
          <w:p>
            <w:pPr>
              <w:spacing w:line="360" w:lineRule="auto"/>
              <w:jc w:val="left"/>
              <w:rPr>
                <w:rFonts w:ascii="Times New Roman" w:hAnsi="Times New Roman" w:eastAsia="宋体" w:cs="Times New Roman"/>
                <w:b/>
                <w:bCs/>
                <w:color w:val="000000"/>
                <w:sz w:val="24"/>
              </w:rPr>
            </w:pPr>
            <w:r>
              <w:rPr>
                <w:rFonts w:ascii="Times New Roman" w:hAnsi="Times New Roman" w:eastAsia="宋体" w:cs="Times New Roman"/>
                <w:b/>
                <w:bCs/>
                <w:color w:val="000000"/>
                <w:sz w:val="24"/>
              </w:rPr>
              <w:t>6、与《湛江市人民政府关于印发湛江市“三线一单”生态环境分区管控方案的通知》（湛府〔2021〕30号）相符性分析。</w:t>
            </w:r>
          </w:p>
          <w:p>
            <w:pPr>
              <w:pStyle w:val="2"/>
              <w:spacing w:line="360" w:lineRule="auto"/>
              <w:ind w:firstLine="480" w:firstLineChars="200"/>
              <w:rPr>
                <w:rFonts w:ascii="Times New Roman" w:eastAsia="宋体" w:cs="Times New Roman"/>
              </w:rPr>
            </w:pPr>
            <w:r>
              <w:rPr>
                <w:rFonts w:ascii="Times New Roman" w:eastAsia="宋体" w:cs="Times New Roman"/>
              </w:rPr>
              <w:t>根据《湛江市人民政府关于印发湛江市“三线一单”生态环境分区管控方案的通知》（湛府〔2021〕30号），建设项目属于赤坎区重点管控单元，环境管控单元编码为ZH44080220002，重点管控单元以推动产业转型升级、强化污染减排、提升资源利用效率为重点，加快解决资源环境负荷大、局部区域生态环境质量差、生态环境风险高等问题。建设项目为综合医院项目，正常运行时各污染物均得到相应的处理，处理达标后排放，不会对区域环境质量底线造成冲击。本项目在广东省“三线一单”生态分区管控方案见附图5。</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413"/>
              <w:gridCol w:w="2199"/>
              <w:gridCol w:w="107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l2br w:val="nil"/>
                    <w:tr2bl w:val="nil"/>
                  </w:tcBorders>
                  <w:shd w:val="clear" w:color="auto" w:fill="auto"/>
                </w:tcPr>
                <w:p>
                  <w:pPr>
                    <w:pStyle w:val="2"/>
                    <w:jc w:val="center"/>
                    <w:rPr>
                      <w:rFonts w:ascii="Times New Roman" w:eastAsia="宋体" w:cs="Times New Roman"/>
                      <w:color w:val="000000" w:themeColor="text1"/>
                      <w:sz w:val="21"/>
                      <w:szCs w:val="21"/>
                      <w14:textFill>
                        <w14:solidFill>
                          <w14:schemeClr w14:val="tx1"/>
                        </w14:solidFill>
                      </w14:textFill>
                    </w:rPr>
                  </w:pPr>
                  <w:r>
                    <w:rPr>
                      <w:rFonts w:ascii="Times New Roman" w:eastAsia="宋体" w:cs="Times New Roman"/>
                      <w:sz w:val="21"/>
                      <w:szCs w:val="21"/>
                    </w:rPr>
                    <w:t>《湛江市人民政府关于印发湛江市“三线一单”生态环境分区管控方案的通知》（湛府〔2021〕30号）湛江市赤坎区重点管控单元相符性分析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23" w:type="pct"/>
                  <w:tcBorders>
                    <w:tl2br w:val="nil"/>
                    <w:tr2bl w:val="nil"/>
                  </w:tcBorders>
                  <w:shd w:val="clear" w:color="auto" w:fill="auto"/>
                  <w:vAlign w:val="center"/>
                </w:tcPr>
                <w:p>
                  <w:pPr>
                    <w:pStyle w:val="5"/>
                    <w:spacing w:line="240" w:lineRule="auto"/>
                    <w:ind w:firstLine="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管控要求</w:t>
                  </w:r>
                </w:p>
              </w:tc>
              <w:tc>
                <w:tcPr>
                  <w:tcW w:w="1935" w:type="pct"/>
                  <w:tcBorders>
                    <w:tl2br w:val="nil"/>
                    <w:tr2bl w:val="nil"/>
                  </w:tcBorders>
                  <w:shd w:val="clear" w:color="auto" w:fill="auto"/>
                  <w:vAlign w:val="center"/>
                </w:tcPr>
                <w:p>
                  <w:pPr>
                    <w:pStyle w:val="2"/>
                    <w:jc w:val="center"/>
                    <w:rPr>
                      <w:rFonts w:ascii="Times New Roman" w:eastAsia="宋体" w:cs="Times New Roman"/>
                      <w:color w:val="000000" w:themeColor="text1"/>
                      <w:sz w:val="21"/>
                      <w:szCs w:val="21"/>
                      <w14:textFill>
                        <w14:solidFill>
                          <w14:schemeClr w14:val="tx1"/>
                        </w14:solidFill>
                      </w14:textFill>
                    </w:rPr>
                  </w:pPr>
                  <w:r>
                    <w:rPr>
                      <w:rFonts w:ascii="Times New Roman" w:eastAsia="宋体" w:cs="Times New Roman"/>
                      <w:color w:val="000000" w:themeColor="text1"/>
                      <w:sz w:val="21"/>
                      <w:szCs w:val="21"/>
                      <w14:textFill>
                        <w14:solidFill>
                          <w14:schemeClr w14:val="tx1"/>
                        </w14:solidFill>
                      </w14:textFill>
                    </w:rPr>
                    <w:t>项目相符性分析</w:t>
                  </w:r>
                </w:p>
              </w:tc>
              <w:tc>
                <w:tcPr>
                  <w:tcW w:w="940" w:type="pct"/>
                  <w:tcBorders>
                    <w:tl2br w:val="nil"/>
                    <w:tr2bl w:val="nil"/>
                  </w:tcBorders>
                  <w:shd w:val="clear" w:color="auto" w:fill="auto"/>
                  <w:vAlign w:val="center"/>
                </w:tcPr>
                <w:p>
                  <w:pPr>
                    <w:pStyle w:val="2"/>
                    <w:jc w:val="center"/>
                    <w:rPr>
                      <w:rFonts w:ascii="Times New Roman" w:eastAsia="宋体" w:cs="Times New Roman"/>
                      <w:color w:val="000000" w:themeColor="text1"/>
                      <w:sz w:val="21"/>
                      <w:szCs w:val="21"/>
                      <w14:textFill>
                        <w14:solidFill>
                          <w14:schemeClr w14:val="tx1"/>
                        </w14:solidFill>
                      </w14:textFill>
                    </w:rPr>
                  </w:pPr>
                  <w:r>
                    <w:rPr>
                      <w:rFonts w:ascii="Times New Roman" w:eastAsia="宋体" w:cs="Times New Roman"/>
                      <w:color w:val="000000" w:themeColor="text1"/>
                      <w:sz w:val="21"/>
                      <w:szCs w:val="21"/>
                      <w14:textFill>
                        <w14:solidFill>
                          <w14:schemeClr w14:val="tx1"/>
                        </w14:solidFill>
                      </w14:textFill>
                    </w:rPr>
                    <w:t>是否符合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23" w:type="pct"/>
                  <w:tcBorders>
                    <w:tl2br w:val="nil"/>
                    <w:tr2bl w:val="nil"/>
                  </w:tcBorders>
                  <w:shd w:val="clear" w:color="auto" w:fill="auto"/>
                </w:tcPr>
                <w:p>
                  <w:pPr>
                    <w:pStyle w:val="26"/>
                    <w:spacing w:before="0" w:beforeAutospacing="0" w:after="0" w:afterAutospacing="0" w:line="30" w:lineRule="atLeast"/>
                    <w:rPr>
                      <w:rFonts w:ascii="Times New Roman" w:hAnsi="Times New Roman" w:eastAsia="宋体" w:cs="Times New Roman"/>
                      <w:color w:val="000000"/>
                      <w:sz w:val="21"/>
                      <w:szCs w:val="21"/>
                    </w:rPr>
                  </w:pPr>
                  <w:r>
                    <w:rPr>
                      <w:rFonts w:ascii="Times New Roman" w:hAnsi="Times New Roman" w:eastAsia="宋体" w:cs="Times New Roman"/>
                      <w:color w:val="333333"/>
                      <w:sz w:val="21"/>
                      <w:szCs w:val="21"/>
                      <w:shd w:val="clear" w:color="auto" w:fill="FFFFFF"/>
                    </w:rPr>
                    <w:t>1</w:t>
                  </w:r>
                  <w:r>
                    <w:rPr>
                      <w:rFonts w:ascii="Times New Roman" w:hAnsi="Times New Roman" w:eastAsia="宋体" w:cs="Times New Roman"/>
                      <w:color w:val="000000"/>
                      <w:sz w:val="21"/>
                      <w:szCs w:val="21"/>
                    </w:rPr>
                    <w:t>-1.【产业/鼓励引导类】重点发展高端印刷、烟草加工、软件信息与服务、生物医药、高端装备制造和检验检测认证服务等产业；引导工业项目集聚发展。</w:t>
                  </w:r>
                </w:p>
                <w:p>
                  <w:pPr>
                    <w:pStyle w:val="26"/>
                    <w:spacing w:before="0" w:beforeAutospacing="0" w:after="0" w:afterAutospacing="0" w:line="30" w:lineRule="atLeast"/>
                    <w:rPr>
                      <w:rFonts w:ascii="Times New Roman" w:hAnsi="Times New Roman" w:eastAsia="宋体" w:cs="Times New Roman"/>
                      <w:color w:val="333333"/>
                      <w:sz w:val="21"/>
                      <w:szCs w:val="21"/>
                    </w:rPr>
                  </w:pPr>
                  <w:r>
                    <w:rPr>
                      <w:rFonts w:ascii="Times New Roman" w:hAnsi="Times New Roman" w:eastAsia="宋体" w:cs="Times New Roman"/>
                      <w:color w:val="333333"/>
                      <w:sz w:val="21"/>
                      <w:szCs w:val="21"/>
                      <w:shd w:val="clear" w:color="auto" w:fill="FFFFFF"/>
                    </w:rPr>
                    <w:t>1-2.【生态/禁止类】生态保护红线内，自然保护地核心保护区原则上禁止人为活动，其他区域严格禁止开发性、生产性建设活动，在符合现行法律法规前提下，除国家重大战略项目外，仅允许对生态功能不造成破坏的有限人为活动。</w:t>
                  </w:r>
                </w:p>
                <w:p>
                  <w:pPr>
                    <w:pStyle w:val="26"/>
                    <w:spacing w:before="0" w:beforeAutospacing="0" w:after="0" w:afterAutospacing="0" w:line="30" w:lineRule="atLeast"/>
                    <w:rPr>
                      <w:rFonts w:ascii="Times New Roman" w:hAnsi="Times New Roman" w:eastAsia="宋体" w:cs="Times New Roman"/>
                      <w:color w:val="333333"/>
                      <w:sz w:val="21"/>
                      <w:szCs w:val="21"/>
                    </w:rPr>
                  </w:pPr>
                  <w:r>
                    <w:rPr>
                      <w:rFonts w:ascii="Times New Roman" w:hAnsi="Times New Roman" w:eastAsia="宋体" w:cs="Times New Roman"/>
                      <w:color w:val="333333"/>
                      <w:sz w:val="21"/>
                      <w:szCs w:val="21"/>
                      <w:shd w:val="clear" w:color="auto" w:fill="FFFFFF"/>
                    </w:rPr>
                    <w:t>1-3.【生态/禁止类】湛江赤坎瑞云湖、湛江赤坎滨湖等地方级湿地自然公园应当依据《湿地保护管理规定》《广东省湿地公园管理暂行办法》等法律法规规定和相关规划实施强制性保护，不得从事不符合主体功能区定位的各类开发活动。</w:t>
                  </w:r>
                </w:p>
                <w:p>
                  <w:pPr>
                    <w:pStyle w:val="26"/>
                    <w:spacing w:before="0" w:beforeAutospacing="0" w:after="0" w:afterAutospacing="0" w:line="30" w:lineRule="atLeast"/>
                    <w:rPr>
                      <w:rFonts w:ascii="Times New Roman" w:hAnsi="Times New Roman" w:eastAsia="宋体" w:cs="Times New Roman"/>
                      <w:color w:val="333333"/>
                      <w:sz w:val="21"/>
                      <w:szCs w:val="21"/>
                    </w:rPr>
                  </w:pPr>
                  <w:r>
                    <w:rPr>
                      <w:rFonts w:ascii="Times New Roman" w:hAnsi="Times New Roman" w:eastAsia="宋体" w:cs="Times New Roman"/>
                      <w:color w:val="333333"/>
                      <w:sz w:val="21"/>
                      <w:szCs w:val="21"/>
                      <w:shd w:val="clear" w:color="auto" w:fill="FFFFFF"/>
                    </w:rPr>
                    <w:t>1-4.【大气/限制类】</w:t>
                  </w:r>
                  <w:bookmarkStart w:id="9" w:name="OLE_LINK237"/>
                  <w:r>
                    <w:rPr>
                      <w:rFonts w:ascii="Times New Roman" w:hAnsi="Times New Roman" w:eastAsia="宋体" w:cs="Times New Roman"/>
                      <w:color w:val="333333"/>
                      <w:sz w:val="21"/>
                      <w:szCs w:val="21"/>
                      <w:shd w:val="clear" w:color="auto" w:fill="FFFFFF"/>
                    </w:rPr>
                    <w:t>大气环境受体敏感重点管控区内，严格限制新建储油库、产生和排放有毒有害大气污染物的建设项目以及使用溶剂型油墨、涂料、清洗剂、胶黏剂等高挥发性有机物原辅材料项目，鼓励现有该类项目逐步搬迁退出</w:t>
                  </w:r>
                  <w:bookmarkEnd w:id="9"/>
                  <w:r>
                    <w:rPr>
                      <w:rFonts w:ascii="Times New Roman" w:hAnsi="Times New Roman" w:eastAsia="宋体" w:cs="Times New Roman"/>
                      <w:color w:val="333333"/>
                      <w:sz w:val="21"/>
                      <w:szCs w:val="21"/>
                      <w:shd w:val="clear" w:color="auto" w:fill="FFFFFF"/>
                    </w:rPr>
                    <w:t>。</w:t>
                  </w:r>
                </w:p>
                <w:p>
                  <w:pPr>
                    <w:pStyle w:val="26"/>
                    <w:spacing w:before="0" w:beforeAutospacing="0" w:after="0" w:afterAutospacing="0" w:line="30" w:lineRule="atLeast"/>
                    <w:rPr>
                      <w:rFonts w:ascii="Times New Roman" w:hAnsi="Times New Roman" w:eastAsia="宋体" w:cs="Times New Roman"/>
                      <w:color w:val="333333"/>
                      <w:sz w:val="21"/>
                      <w:szCs w:val="21"/>
                    </w:rPr>
                  </w:pPr>
                  <w:r>
                    <w:rPr>
                      <w:rFonts w:ascii="Times New Roman" w:hAnsi="Times New Roman" w:eastAsia="宋体" w:cs="Times New Roman"/>
                      <w:color w:val="333333"/>
                      <w:sz w:val="21"/>
                      <w:szCs w:val="21"/>
                      <w:shd w:val="clear" w:color="auto" w:fill="FFFFFF"/>
                    </w:rPr>
                    <w:t>1-5.【水/禁止类】严禁居民小区、公共建筑和企事业单位内部雨污混接或错接到市政排水管网，严禁污水直排。</w:t>
                  </w:r>
                </w:p>
                <w:p>
                  <w:pPr>
                    <w:pStyle w:val="26"/>
                    <w:spacing w:before="0" w:beforeAutospacing="0" w:after="0" w:afterAutospacing="0" w:line="30" w:lineRule="atLeast"/>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333333"/>
                      <w:sz w:val="21"/>
                      <w:szCs w:val="21"/>
                      <w:shd w:val="clear" w:color="auto" w:fill="FFFFFF"/>
                    </w:rPr>
                    <w:t>1-6.【土壤/禁止类】未达到土壤污染风险评估报告确定的风险管控、修复目标的建设用地地块，禁止开工建设任何与风险管控、修复无关的项目。</w:t>
                  </w:r>
                </w:p>
              </w:tc>
              <w:tc>
                <w:tcPr>
                  <w:tcW w:w="1935" w:type="pct"/>
                  <w:tcBorders>
                    <w:tl2br w:val="nil"/>
                    <w:tr2bl w:val="nil"/>
                  </w:tcBorders>
                  <w:shd w:val="clear" w:color="auto" w:fill="auto"/>
                  <w:vAlign w:val="center"/>
                </w:tcPr>
                <w:p>
                  <w:pPr>
                    <w:pStyle w:val="2"/>
                    <w:jc w:val="left"/>
                    <w:rPr>
                      <w:rFonts w:ascii="Times New Roman" w:eastAsia="宋体" w:cs="Times New Roman"/>
                      <w:color w:val="000000" w:themeColor="text1"/>
                      <w:sz w:val="21"/>
                      <w:szCs w:val="21"/>
                      <w14:textFill>
                        <w14:solidFill>
                          <w14:schemeClr w14:val="tx1"/>
                        </w14:solidFill>
                      </w14:textFill>
                    </w:rPr>
                  </w:pPr>
                  <w:r>
                    <w:rPr>
                      <w:rFonts w:ascii="Times New Roman" w:eastAsia="宋体" w:cs="Times New Roman"/>
                      <w:color w:val="000000" w:themeColor="text1"/>
                      <w:sz w:val="21"/>
                      <w:szCs w:val="21"/>
                      <w14:textFill>
                        <w14:solidFill>
                          <w14:schemeClr w14:val="tx1"/>
                        </w14:solidFill>
                      </w14:textFill>
                    </w:rPr>
                    <w:t>项目为综合医院项目，不属于国家产业政策明令淘汰和限制的产品、技术、工艺、设备及行为，不属于湛江市赤坎区重点管控单元区域布局管控要求中的限制类。符合区域布局管控要求。</w:t>
                  </w:r>
                </w:p>
              </w:tc>
              <w:tc>
                <w:tcPr>
                  <w:tcW w:w="940" w:type="pct"/>
                  <w:tcBorders>
                    <w:tl2br w:val="nil"/>
                    <w:tr2bl w:val="nil"/>
                  </w:tcBorders>
                  <w:shd w:val="clear" w:color="auto" w:fill="auto"/>
                  <w:vAlign w:val="center"/>
                </w:tcPr>
                <w:p>
                  <w:pPr>
                    <w:pStyle w:val="2"/>
                    <w:jc w:val="center"/>
                    <w:rPr>
                      <w:rFonts w:ascii="Times New Roman" w:eastAsia="宋体" w:cs="Times New Roman"/>
                      <w:color w:val="000000" w:themeColor="text1"/>
                      <w:sz w:val="21"/>
                      <w:szCs w:val="21"/>
                      <w14:textFill>
                        <w14:solidFill>
                          <w14:schemeClr w14:val="tx1"/>
                        </w14:solidFill>
                      </w14:textFill>
                    </w:rPr>
                  </w:pPr>
                  <w:r>
                    <w:rPr>
                      <w:rFonts w:ascii="Times New Roman" w:eastAsia="宋体" w:cs="Times New Roman"/>
                      <w:color w:val="000000" w:themeColor="text1"/>
                      <w:sz w:val="2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123" w:type="pct"/>
                  <w:tcBorders>
                    <w:tl2br w:val="nil"/>
                    <w:tr2bl w:val="nil"/>
                  </w:tcBorders>
                  <w:shd w:val="clear" w:color="auto" w:fill="auto"/>
                </w:tcPr>
                <w:p>
                  <w:pPr>
                    <w:pStyle w:val="5"/>
                    <w:spacing w:line="240" w:lineRule="auto"/>
                    <w:ind w:firstLine="0"/>
                    <w:jc w:val="left"/>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2、能源资源利用：</w:t>
                  </w:r>
                </w:p>
                <w:p>
                  <w:pPr>
                    <w:pStyle w:val="26"/>
                    <w:spacing w:before="0" w:beforeAutospacing="0" w:after="0" w:afterAutospacing="0" w:line="30" w:lineRule="atLeast"/>
                    <w:rPr>
                      <w:rFonts w:ascii="Times New Roman" w:hAnsi="Times New Roman" w:eastAsia="宋体" w:cs="Times New Roman"/>
                      <w:color w:val="333333"/>
                      <w:sz w:val="21"/>
                      <w:szCs w:val="21"/>
                    </w:rPr>
                  </w:pPr>
                  <w:bookmarkStart w:id="10" w:name="OLE_LINK252"/>
                  <w:r>
                    <w:rPr>
                      <w:rFonts w:ascii="Times New Roman" w:hAnsi="Times New Roman" w:eastAsia="宋体" w:cs="Times New Roman"/>
                      <w:color w:val="333333"/>
                      <w:sz w:val="21"/>
                      <w:szCs w:val="21"/>
                      <w:shd w:val="clear" w:color="auto" w:fill="FFFFFF"/>
                    </w:rPr>
                    <w:t>2-1.</w:t>
                  </w:r>
                  <w:bookmarkEnd w:id="10"/>
                  <w:bookmarkStart w:id="11" w:name="OLE_LINK155"/>
                  <w:r>
                    <w:rPr>
                      <w:rFonts w:ascii="Times New Roman" w:hAnsi="Times New Roman" w:eastAsia="宋体" w:cs="Times New Roman"/>
                      <w:color w:val="333333"/>
                      <w:sz w:val="21"/>
                      <w:szCs w:val="21"/>
                      <w:shd w:val="clear" w:color="auto" w:fill="FFFFFF"/>
                    </w:rPr>
                    <w:t>【能源/禁止类】</w:t>
                  </w:r>
                  <w:bookmarkEnd w:id="11"/>
                  <w:bookmarkStart w:id="12" w:name="OLE_LINK187"/>
                  <w:r>
                    <w:rPr>
                      <w:rFonts w:ascii="Times New Roman" w:hAnsi="Times New Roman" w:eastAsia="宋体" w:cs="Times New Roman"/>
                      <w:color w:val="333333"/>
                      <w:sz w:val="21"/>
                      <w:szCs w:val="21"/>
                      <w:shd w:val="clear" w:color="auto" w:fill="FFFFFF"/>
                    </w:rPr>
                    <w:t>禁止销售、燃用高污染燃料，禁止新建、扩建燃用高污染燃料的设施；已建成的，应逐步或依法限期改用天然气、电或者其它清洁能源。</w:t>
                  </w:r>
                  <w:bookmarkEnd w:id="12"/>
                </w:p>
                <w:p>
                  <w:pPr>
                    <w:pStyle w:val="26"/>
                    <w:spacing w:before="0" w:beforeAutospacing="0" w:after="0" w:afterAutospacing="0" w:line="30" w:lineRule="atLeast"/>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333333"/>
                      <w:sz w:val="21"/>
                      <w:szCs w:val="21"/>
                      <w:shd w:val="clear" w:color="auto" w:fill="FFFFFF"/>
                    </w:rPr>
                    <w:t>2-2.【水资源/综合类】逐步压减地下水采水量，维持采补平衡。</w:t>
                  </w:r>
                </w:p>
              </w:tc>
              <w:tc>
                <w:tcPr>
                  <w:tcW w:w="1935" w:type="pct"/>
                  <w:tcBorders>
                    <w:tl2br w:val="nil"/>
                    <w:tr2bl w:val="nil"/>
                  </w:tcBorders>
                  <w:shd w:val="clear" w:color="auto" w:fill="auto"/>
                  <w:vAlign w:val="center"/>
                </w:tcPr>
                <w:p>
                  <w:pPr>
                    <w:pStyle w:val="2"/>
                    <w:jc w:val="left"/>
                    <w:rPr>
                      <w:rFonts w:ascii="Times New Roman" w:eastAsia="宋体" w:cs="Times New Roman"/>
                      <w:color w:val="000000" w:themeColor="text1"/>
                      <w:sz w:val="21"/>
                      <w:szCs w:val="21"/>
                      <w14:textFill>
                        <w14:solidFill>
                          <w14:schemeClr w14:val="tx1"/>
                        </w14:solidFill>
                      </w14:textFill>
                    </w:rPr>
                  </w:pPr>
                  <w:r>
                    <w:rPr>
                      <w:rFonts w:ascii="Times New Roman" w:eastAsia="宋体" w:cs="Times New Roman"/>
                      <w:color w:val="000000" w:themeColor="text1"/>
                      <w:sz w:val="21"/>
                      <w:szCs w:val="21"/>
                      <w14:textFill>
                        <w14:solidFill>
                          <w14:schemeClr w14:val="tx1"/>
                        </w14:solidFill>
                      </w14:textFill>
                    </w:rPr>
                    <w:t>建设项目为综合医院项目，使用电能和液化石油气等清洁能源，不使用煤等高污染燃料，不属于高耗能项目；使用的原辅材料均为清洁安全原料，不含国家及地方明令禁止使用的原料；采用节能节水设备，具有高效节能、节水、降耗潜力。</w:t>
                  </w:r>
                </w:p>
              </w:tc>
              <w:tc>
                <w:tcPr>
                  <w:tcW w:w="940" w:type="pct"/>
                  <w:tcBorders>
                    <w:tl2br w:val="nil"/>
                    <w:tr2bl w:val="nil"/>
                  </w:tcBorders>
                  <w:shd w:val="clear" w:color="auto" w:fill="auto"/>
                  <w:vAlign w:val="center"/>
                </w:tcPr>
                <w:p>
                  <w:pPr>
                    <w:pStyle w:val="2"/>
                    <w:jc w:val="center"/>
                    <w:rPr>
                      <w:rFonts w:ascii="Times New Roman" w:eastAsia="宋体" w:cs="Times New Roman"/>
                      <w:color w:val="000000" w:themeColor="text1"/>
                      <w:sz w:val="21"/>
                      <w:szCs w:val="21"/>
                      <w14:textFill>
                        <w14:solidFill>
                          <w14:schemeClr w14:val="tx1"/>
                        </w14:solidFill>
                      </w14:textFill>
                    </w:rPr>
                  </w:pPr>
                  <w:r>
                    <w:rPr>
                      <w:rFonts w:ascii="Times New Roman" w:eastAsia="宋体" w:cs="Times New Roman"/>
                      <w:color w:val="000000" w:themeColor="text1"/>
                      <w:sz w:val="2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123" w:type="pct"/>
                  <w:tcBorders>
                    <w:tl2br w:val="nil"/>
                    <w:tr2bl w:val="nil"/>
                  </w:tcBorders>
                  <w:shd w:val="clear" w:color="auto" w:fill="auto"/>
                </w:tcPr>
                <w:p>
                  <w:pPr>
                    <w:pStyle w:val="5"/>
                    <w:spacing w:line="240" w:lineRule="auto"/>
                    <w:ind w:firstLine="0"/>
                    <w:jc w:val="left"/>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3、污染物排放管控：</w:t>
                  </w:r>
                </w:p>
                <w:p>
                  <w:pPr>
                    <w:pStyle w:val="26"/>
                    <w:spacing w:before="0" w:beforeAutospacing="0" w:after="0" w:afterAutospacing="0" w:line="30" w:lineRule="atLeast"/>
                    <w:rPr>
                      <w:rFonts w:ascii="Times New Roman" w:hAnsi="Times New Roman" w:eastAsia="宋体" w:cs="Times New Roman"/>
                      <w:color w:val="333333"/>
                      <w:sz w:val="21"/>
                      <w:szCs w:val="21"/>
                    </w:rPr>
                  </w:pPr>
                  <w:r>
                    <w:rPr>
                      <w:rFonts w:ascii="Times New Roman" w:hAnsi="Times New Roman" w:eastAsia="宋体" w:cs="Times New Roman"/>
                      <w:color w:val="333333"/>
                      <w:sz w:val="21"/>
                      <w:szCs w:val="21"/>
                      <w:shd w:val="clear" w:color="auto" w:fill="FFFFFF"/>
                    </w:rPr>
                    <w:t>3-1.【大气/限制类】燃煤机组排放的大气污染物须稳定达到国家和省的超低排放要求。</w:t>
                  </w:r>
                </w:p>
                <w:p>
                  <w:pPr>
                    <w:pStyle w:val="26"/>
                    <w:spacing w:before="0" w:beforeAutospacing="0" w:after="0" w:afterAutospacing="0" w:line="30" w:lineRule="atLeast"/>
                    <w:rPr>
                      <w:rFonts w:ascii="Times New Roman" w:hAnsi="Times New Roman" w:eastAsia="宋体" w:cs="Times New Roman"/>
                      <w:color w:val="333333"/>
                      <w:sz w:val="21"/>
                      <w:szCs w:val="21"/>
                    </w:rPr>
                  </w:pPr>
                  <w:r>
                    <w:rPr>
                      <w:rFonts w:ascii="Times New Roman" w:hAnsi="Times New Roman" w:eastAsia="宋体" w:cs="Times New Roman"/>
                      <w:color w:val="333333"/>
                      <w:sz w:val="21"/>
                      <w:szCs w:val="21"/>
                      <w:shd w:val="clear" w:color="auto" w:fill="FFFFFF"/>
                    </w:rPr>
                    <w:t>3-2.【大气/综合类】</w:t>
                  </w:r>
                  <w:bookmarkStart w:id="13" w:name="OLE_LINK195"/>
                  <w:r>
                    <w:rPr>
                      <w:rFonts w:ascii="Times New Roman" w:hAnsi="Times New Roman" w:eastAsia="宋体" w:cs="Times New Roman"/>
                      <w:color w:val="333333"/>
                      <w:sz w:val="21"/>
                      <w:szCs w:val="21"/>
                      <w:shd w:val="clear" w:color="auto" w:fill="FFFFFF"/>
                    </w:rPr>
                    <w:t>加强对包装印刷行业企业，原油、成品油、有机化学品等挥发性有机液体储罐</w:t>
                  </w:r>
                  <w:bookmarkEnd w:id="13"/>
                  <w:bookmarkStart w:id="14" w:name="OLE_LINK223"/>
                  <w:r>
                    <w:rPr>
                      <w:rFonts w:ascii="Times New Roman" w:hAnsi="Times New Roman" w:eastAsia="宋体" w:cs="Times New Roman"/>
                      <w:color w:val="333333"/>
                      <w:sz w:val="21"/>
                      <w:szCs w:val="21"/>
                      <w:shd w:val="clear" w:color="auto" w:fill="FFFFFF"/>
                    </w:rPr>
                    <w:t>和港口码头油气回收设施的</w:t>
                  </w:r>
                  <w:bookmarkEnd w:id="14"/>
                  <w:r>
                    <w:rPr>
                      <w:rFonts w:ascii="Times New Roman" w:hAnsi="Times New Roman" w:eastAsia="宋体" w:cs="Times New Roman"/>
                      <w:color w:val="333333"/>
                      <w:sz w:val="21"/>
                      <w:szCs w:val="21"/>
                      <w:shd w:val="clear" w:color="auto" w:fill="FFFFFF"/>
                    </w:rPr>
                    <w:t>排查和清单化管控，推动源头替代、过程控制和末端治理。</w:t>
                  </w:r>
                </w:p>
                <w:p>
                  <w:pPr>
                    <w:pStyle w:val="26"/>
                    <w:spacing w:before="0" w:beforeAutospacing="0" w:after="0" w:afterAutospacing="0" w:line="30" w:lineRule="atLeast"/>
                    <w:rPr>
                      <w:rFonts w:ascii="Times New Roman" w:hAnsi="Times New Roman" w:eastAsia="宋体" w:cs="Times New Roman"/>
                      <w:color w:val="333333"/>
                      <w:sz w:val="21"/>
                      <w:szCs w:val="21"/>
                    </w:rPr>
                  </w:pPr>
                  <w:r>
                    <w:rPr>
                      <w:rFonts w:ascii="Times New Roman" w:hAnsi="Times New Roman" w:eastAsia="宋体" w:cs="Times New Roman"/>
                      <w:color w:val="333333"/>
                      <w:sz w:val="21"/>
                      <w:szCs w:val="21"/>
                      <w:shd w:val="clear" w:color="auto" w:fill="FFFFFF"/>
                    </w:rPr>
                    <w:t>3-3.【水/综合类】实施城镇生活污水处理提质增效，加快补齐生活污水收集和处理设施短板，基本消除城中村、老旧城区和城乡接合部生活污水收集处理设施空白区，按期完成市下达城市生活污水集中收集率、污水处理厂进水生化需氧量（BOD）浓度的增加值目标。</w:t>
                  </w:r>
                </w:p>
                <w:p>
                  <w:pPr>
                    <w:pStyle w:val="26"/>
                    <w:spacing w:before="0" w:beforeAutospacing="0" w:after="0" w:afterAutospacing="0" w:line="30" w:lineRule="atLeast"/>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333333"/>
                      <w:sz w:val="21"/>
                      <w:szCs w:val="21"/>
                      <w:shd w:val="clear" w:color="auto" w:fill="FFFFFF"/>
                    </w:rPr>
                    <w:t>3-4.【水/限制类】城镇污水处理设施出水执行《城镇污水处理厂污染物排放标准》（GB 18918）一级A标准及广东省地方标准《水污染物排放限值》（DB44/26）的较严值。</w:t>
                  </w:r>
                </w:p>
              </w:tc>
              <w:tc>
                <w:tcPr>
                  <w:tcW w:w="1935" w:type="pct"/>
                  <w:tcBorders>
                    <w:tl2br w:val="nil"/>
                    <w:tr2bl w:val="nil"/>
                  </w:tcBorders>
                  <w:shd w:val="clear" w:color="auto" w:fill="auto"/>
                  <w:vAlign w:val="center"/>
                </w:tcPr>
                <w:p>
                  <w:pPr>
                    <w:pStyle w:val="2"/>
                    <w:jc w:val="left"/>
                    <w:rPr>
                      <w:rFonts w:ascii="Times New Roman" w:eastAsia="宋体" w:cs="Times New Roman"/>
                      <w:color w:val="000000" w:themeColor="text1"/>
                      <w:sz w:val="21"/>
                      <w:szCs w:val="21"/>
                      <w14:textFill>
                        <w14:solidFill>
                          <w14:schemeClr w14:val="tx1"/>
                        </w14:solidFill>
                      </w14:textFill>
                    </w:rPr>
                  </w:pPr>
                  <w:r>
                    <w:rPr>
                      <w:rFonts w:ascii="Times New Roman" w:eastAsia="宋体" w:cs="Times New Roman"/>
                      <w:color w:val="000000" w:themeColor="text1"/>
                      <w:sz w:val="21"/>
                      <w:szCs w:val="21"/>
                      <w14:textFill>
                        <w14:solidFill>
                          <w14:schemeClr w14:val="tx1"/>
                        </w14:solidFill>
                      </w14:textFill>
                    </w:rPr>
                    <w:t>建设项目不属于高耗水量、高污染物排放行业。废气主要为污水处理站产生的恶臭，不涉及VOC</w:t>
                  </w:r>
                  <w:r>
                    <w:rPr>
                      <w:rFonts w:ascii="Times New Roman" w:eastAsia="宋体" w:cs="Times New Roman"/>
                      <w:color w:val="000000" w:themeColor="text1"/>
                      <w:sz w:val="21"/>
                      <w:szCs w:val="21"/>
                      <w:vertAlign w:val="subscript"/>
                      <w14:textFill>
                        <w14:solidFill>
                          <w14:schemeClr w14:val="tx1"/>
                        </w14:solidFill>
                      </w14:textFill>
                    </w:rPr>
                    <w:t>S</w:t>
                  </w:r>
                  <w:r>
                    <w:rPr>
                      <w:rFonts w:ascii="Times New Roman" w:eastAsia="宋体" w:cs="Times New Roman"/>
                      <w:color w:val="000000" w:themeColor="text1"/>
                      <w:sz w:val="21"/>
                      <w:szCs w:val="21"/>
                      <w14:textFill>
                        <w14:solidFill>
                          <w14:schemeClr w14:val="tx1"/>
                        </w14:solidFill>
                      </w14:textFill>
                    </w:rPr>
                    <w:t>排放，不需申请污染物总量排放指标；</w:t>
                  </w:r>
                </w:p>
                <w:p>
                  <w:pPr>
                    <w:pStyle w:val="2"/>
                    <w:jc w:val="left"/>
                    <w:rPr>
                      <w:rFonts w:ascii="Times New Roman" w:eastAsia="宋体" w:cs="Times New Roman"/>
                      <w:color w:val="auto"/>
                      <w:sz w:val="21"/>
                      <w:szCs w:val="21"/>
                    </w:rPr>
                  </w:pPr>
                  <w:r>
                    <w:rPr>
                      <w:rFonts w:ascii="Times New Roman" w:eastAsia="宋体" w:cs="Times New Roman"/>
                      <w:color w:val="000000" w:themeColor="text1"/>
                      <w:sz w:val="21"/>
                      <w:szCs w:val="21"/>
                      <w14:textFill>
                        <w14:solidFill>
                          <w14:schemeClr w14:val="tx1"/>
                        </w14:solidFill>
                      </w14:textFill>
                    </w:rPr>
                    <w:t>建设项目医疗废水、生活废水经化粪池处理后一起进入医院自建污水处理站预处理后，经拥军路市政污水管网引</w:t>
                  </w:r>
                  <w:r>
                    <w:rPr>
                      <w:rFonts w:ascii="Times New Roman" w:eastAsia="宋体" w:cs="Times New Roman"/>
                      <w:color w:val="auto"/>
                      <w:sz w:val="21"/>
                      <w:szCs w:val="21"/>
                    </w:rPr>
                    <w:t>入湛江市赤坎水质净化厂</w:t>
                  </w:r>
                  <w:r>
                    <w:rPr>
                      <w:rFonts w:ascii="Times New Roman" w:eastAsia="宋体" w:cs="Times New Roman"/>
                      <w:color w:val="000000" w:themeColor="text1"/>
                      <w:sz w:val="21"/>
                      <w:szCs w:val="21"/>
                      <w14:textFill>
                        <w14:solidFill>
                          <w14:schemeClr w14:val="tx1"/>
                        </w14:solidFill>
                      </w14:textFill>
                    </w:rPr>
                    <w:t>处理达标后排放。水污染物排放总量控制指标纳入</w:t>
                  </w:r>
                  <w:r>
                    <w:rPr>
                      <w:rFonts w:ascii="Times New Roman" w:eastAsia="宋体" w:cs="Times New Roman"/>
                      <w:color w:val="auto"/>
                      <w:sz w:val="21"/>
                      <w:szCs w:val="21"/>
                    </w:rPr>
                    <w:t>湛江市赤坎水质净化厂。</w:t>
                  </w:r>
                </w:p>
                <w:p>
                  <w:pPr>
                    <w:pStyle w:val="2"/>
                    <w:jc w:val="left"/>
                    <w:rPr>
                      <w:rFonts w:ascii="Times New Roman" w:eastAsia="宋体" w:cs="Times New Roman"/>
                      <w:color w:val="000000" w:themeColor="text1"/>
                      <w:sz w:val="21"/>
                      <w:szCs w:val="21"/>
                      <w14:textFill>
                        <w14:solidFill>
                          <w14:schemeClr w14:val="tx1"/>
                        </w14:solidFill>
                      </w14:textFill>
                    </w:rPr>
                  </w:pPr>
                  <w:r>
                    <w:rPr>
                      <w:rFonts w:hint="eastAsia" w:ascii="Times New Roman" w:eastAsia="宋体" w:cs="Times New Roman"/>
                      <w:color w:val="auto"/>
                      <w:sz w:val="21"/>
                      <w:szCs w:val="21"/>
                    </w:rPr>
                    <w:t>项目职工就餐依托湛江市养老服务中心的员工食堂，产生的</w:t>
                  </w:r>
                  <w:r>
                    <w:rPr>
                      <w:rFonts w:hint="eastAsia" w:ascii="Times New Roman" w:eastAsia="宋体" w:cs="Times New Roman"/>
                      <w:color w:val="auto"/>
                      <w:sz w:val="21"/>
                      <w:szCs w:val="21"/>
                      <w:lang w:val="en-US" w:eastAsia="zh-CN"/>
                    </w:rPr>
                    <w:t>食堂废水</w:t>
                  </w:r>
                  <w:r>
                    <w:rPr>
                      <w:rFonts w:hint="eastAsia" w:ascii="Times New Roman" w:eastAsia="宋体" w:cs="Times New Roman"/>
                      <w:color w:val="auto"/>
                      <w:sz w:val="21"/>
                      <w:szCs w:val="21"/>
                    </w:rPr>
                    <w:t>依托湛江市养老服务中心的三级化粪池、隔油池进行处理后，达到广东省《水污染物排放限值》（DB44/26-2001）第二时段三级标准，直接排入市政管网。</w:t>
                  </w:r>
                </w:p>
              </w:tc>
              <w:tc>
                <w:tcPr>
                  <w:tcW w:w="940" w:type="pct"/>
                  <w:tcBorders>
                    <w:tl2br w:val="nil"/>
                    <w:tr2bl w:val="nil"/>
                  </w:tcBorders>
                  <w:shd w:val="clear" w:color="auto" w:fill="auto"/>
                  <w:vAlign w:val="center"/>
                </w:tcPr>
                <w:p>
                  <w:pPr>
                    <w:pStyle w:val="2"/>
                    <w:jc w:val="center"/>
                    <w:rPr>
                      <w:rFonts w:ascii="Times New Roman" w:eastAsia="宋体" w:cs="Times New Roman"/>
                      <w:color w:val="000000" w:themeColor="text1"/>
                      <w:sz w:val="21"/>
                      <w:szCs w:val="21"/>
                      <w14:textFill>
                        <w14:solidFill>
                          <w14:schemeClr w14:val="tx1"/>
                        </w14:solidFill>
                      </w14:textFill>
                    </w:rPr>
                  </w:pPr>
                  <w:r>
                    <w:rPr>
                      <w:rFonts w:ascii="Times New Roman" w:eastAsia="宋体" w:cs="Times New Roman"/>
                      <w:color w:val="000000" w:themeColor="text1"/>
                      <w:sz w:val="2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8" w:hRule="atLeast"/>
                <w:jc w:val="center"/>
              </w:trPr>
              <w:tc>
                <w:tcPr>
                  <w:tcW w:w="2123" w:type="pct"/>
                  <w:tcBorders>
                    <w:tl2br w:val="nil"/>
                    <w:tr2bl w:val="nil"/>
                  </w:tcBorders>
                  <w:shd w:val="clear" w:color="auto" w:fill="auto"/>
                </w:tcPr>
                <w:p>
                  <w:pPr>
                    <w:pStyle w:val="5"/>
                    <w:spacing w:line="240" w:lineRule="auto"/>
                    <w:ind w:firstLine="0"/>
                    <w:jc w:val="left"/>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4、环境风险管控：</w:t>
                  </w:r>
                </w:p>
                <w:p>
                  <w:pPr>
                    <w:pStyle w:val="26"/>
                    <w:spacing w:before="0" w:beforeAutospacing="0" w:after="0" w:afterAutospacing="0" w:line="30" w:lineRule="atLeast"/>
                    <w:rPr>
                      <w:rFonts w:ascii="Times New Roman" w:hAnsi="Times New Roman" w:eastAsia="宋体" w:cs="Times New Roman"/>
                      <w:color w:val="333333"/>
                      <w:sz w:val="21"/>
                      <w:szCs w:val="21"/>
                    </w:rPr>
                  </w:pPr>
                  <w:r>
                    <w:rPr>
                      <w:rFonts w:ascii="Times New Roman" w:hAnsi="Times New Roman" w:eastAsia="宋体" w:cs="Times New Roman"/>
                      <w:color w:val="333333"/>
                      <w:sz w:val="21"/>
                      <w:szCs w:val="21"/>
                      <w:shd w:val="clear" w:color="auto" w:fill="FFFFFF"/>
                    </w:rPr>
                    <w:t>4-1.【水/综合类】生产、储存危险化学品的企业事业单位，应当采取措施，防止处理安全生产事故过程中产生的可能严重污染水体的消防废水、废液直接排入水体。</w:t>
                  </w:r>
                </w:p>
                <w:p>
                  <w:pPr>
                    <w:pStyle w:val="26"/>
                    <w:spacing w:before="0" w:beforeAutospacing="0" w:after="0" w:afterAutospacing="0" w:line="30" w:lineRule="atLeast"/>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333333"/>
                      <w:sz w:val="21"/>
                      <w:szCs w:val="21"/>
                      <w:shd w:val="clear" w:color="auto" w:fill="FFFFFF"/>
                    </w:rPr>
                    <w:t>4-2.【土壤/综合类】重点监管单位建设涉及有毒有害物质的生产装置、储罐和管道，或者建设污水处理池、应急池等存在土壤污染风险的设施，应当依法依规设计、建设、安装有关防腐蚀、防泄漏设施和泄漏监测装置，防止有毒有害物质污染土壤和地下水。</w:t>
                  </w:r>
                </w:p>
              </w:tc>
              <w:tc>
                <w:tcPr>
                  <w:tcW w:w="1935" w:type="pct"/>
                  <w:tcBorders>
                    <w:tl2br w:val="nil"/>
                    <w:tr2bl w:val="nil"/>
                  </w:tcBorders>
                  <w:shd w:val="clear" w:color="auto" w:fill="auto"/>
                  <w:vAlign w:val="center"/>
                </w:tcPr>
                <w:p>
                  <w:pPr>
                    <w:pStyle w:val="2"/>
                    <w:jc w:val="left"/>
                    <w:rPr>
                      <w:rFonts w:ascii="Times New Roman" w:eastAsia="宋体" w:cs="Times New Roman"/>
                      <w:color w:val="000000" w:themeColor="text1"/>
                      <w:sz w:val="21"/>
                      <w:szCs w:val="21"/>
                      <w14:textFill>
                        <w14:solidFill>
                          <w14:schemeClr w14:val="tx1"/>
                        </w14:solidFill>
                      </w14:textFill>
                    </w:rPr>
                  </w:pPr>
                  <w:r>
                    <w:rPr>
                      <w:rFonts w:ascii="Times New Roman" w:eastAsia="宋体" w:cs="Times New Roman"/>
                      <w:color w:val="000000" w:themeColor="text1"/>
                      <w:sz w:val="21"/>
                      <w:szCs w:val="21"/>
                      <w14:textFill>
                        <w14:solidFill>
                          <w14:schemeClr w14:val="tx1"/>
                        </w14:solidFill>
                      </w14:textFill>
                    </w:rPr>
                    <w:t>根据广东省环境保护厅于2018年9月12日发布《突发环境事件应急预案备案行业名录（指导性意见）》的通知</w:t>
                  </w:r>
                  <w:bookmarkStart w:id="15" w:name="_Hlk121217925"/>
                  <w:r>
                    <w:rPr>
                      <w:rFonts w:ascii="Times New Roman" w:eastAsia="宋体" w:cs="Times New Roman"/>
                      <w:color w:val="000000" w:themeColor="text1"/>
                      <w:sz w:val="21"/>
                      <w:szCs w:val="21"/>
                      <w14:textFill>
                        <w14:solidFill>
                          <w14:schemeClr w14:val="tx1"/>
                        </w14:solidFill>
                      </w14:textFill>
                    </w:rPr>
                    <w:t>（粤环〔2018〕44号）</w:t>
                  </w:r>
                  <w:bookmarkEnd w:id="15"/>
                  <w:r>
                    <w:rPr>
                      <w:rFonts w:ascii="Times New Roman" w:eastAsia="宋体" w:cs="Times New Roman"/>
                      <w:color w:val="000000" w:themeColor="text1"/>
                      <w:sz w:val="21"/>
                      <w:szCs w:val="21"/>
                      <w14:textFill>
                        <w14:solidFill>
                          <w14:schemeClr w14:val="tx1"/>
                        </w14:solidFill>
                      </w14:textFill>
                    </w:rPr>
                    <w:t>，附件二十二条：二级以上医院（发生突发环境事件可能对环境敏感区造成较大影响的）需编制环境风险应急预案，建设项目为一级综合医院，应编制环境风险应急预案。</w:t>
                  </w:r>
                </w:p>
              </w:tc>
              <w:tc>
                <w:tcPr>
                  <w:tcW w:w="940" w:type="pct"/>
                  <w:tcBorders>
                    <w:tl2br w:val="nil"/>
                    <w:tr2bl w:val="nil"/>
                  </w:tcBorders>
                  <w:shd w:val="clear" w:color="auto" w:fill="auto"/>
                  <w:vAlign w:val="center"/>
                </w:tcPr>
                <w:p>
                  <w:pPr>
                    <w:pStyle w:val="2"/>
                    <w:jc w:val="center"/>
                    <w:rPr>
                      <w:rFonts w:ascii="Times New Roman" w:eastAsia="宋体" w:cs="Times New Roman"/>
                      <w:color w:val="000000" w:themeColor="text1"/>
                      <w:sz w:val="21"/>
                      <w:szCs w:val="21"/>
                      <w14:textFill>
                        <w14:solidFill>
                          <w14:schemeClr w14:val="tx1"/>
                        </w14:solidFill>
                      </w14:textFill>
                    </w:rPr>
                  </w:pPr>
                  <w:r>
                    <w:rPr>
                      <w:rFonts w:ascii="Times New Roman" w:eastAsia="宋体" w:cs="Times New Roman"/>
                      <w:color w:val="000000" w:themeColor="text1"/>
                      <w:sz w:val="21"/>
                      <w:szCs w:val="21"/>
                      <w14:textFill>
                        <w14:solidFill>
                          <w14:schemeClr w14:val="tx1"/>
                        </w14:solidFill>
                      </w14:textFill>
                    </w:rPr>
                    <w:t>符合</w:t>
                  </w:r>
                </w:p>
              </w:tc>
            </w:tr>
          </w:tbl>
          <w:p>
            <w:pPr>
              <w:numPr>
                <w:ilvl w:val="0"/>
                <w:numId w:val="3"/>
              </w:numPr>
              <w:spacing w:line="360" w:lineRule="auto"/>
              <w:jc w:val="left"/>
              <w:rPr>
                <w:rFonts w:hint="eastAsia" w:ascii="Times New Roman" w:hAnsi="Times New Roman" w:eastAsia="宋体" w:cs="Times New Roman"/>
                <w:b/>
                <w:bCs/>
                <w:color w:val="000000"/>
                <w:sz w:val="24"/>
              </w:rPr>
            </w:pPr>
            <w:r>
              <w:rPr>
                <w:rFonts w:hint="eastAsia" w:ascii="Times New Roman" w:hAnsi="Times New Roman" w:eastAsia="宋体" w:cs="Times New Roman"/>
                <w:b/>
                <w:bCs/>
                <w:color w:val="000000"/>
                <w:sz w:val="24"/>
                <w:lang w:val="en-US" w:eastAsia="zh-CN"/>
              </w:rPr>
              <w:t>项目</w:t>
            </w:r>
            <w:r>
              <w:rPr>
                <w:rFonts w:hint="eastAsia" w:ascii="Times New Roman" w:hAnsi="Times New Roman" w:eastAsia="宋体" w:cs="Times New Roman"/>
                <w:b/>
                <w:bCs/>
                <w:color w:val="000000"/>
                <w:sz w:val="24"/>
              </w:rPr>
              <w:t>与环境功能区划的相符性</w:t>
            </w:r>
            <w:r>
              <w:rPr>
                <w:rFonts w:hint="eastAsia" w:ascii="Times New Roman" w:hAnsi="Times New Roman" w:eastAsia="宋体" w:cs="Times New Roman"/>
                <w:b/>
                <w:bCs/>
                <w:color w:val="000000"/>
                <w:sz w:val="24"/>
                <w:lang w:val="en-US" w:eastAsia="zh-CN"/>
              </w:rPr>
              <w:t>分析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（1）项目与大气环境功能区划的相符性分析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项目所在地为二类大气环境功能区，本项目大气污染物主要为食堂油烟排放浓度满足《饮食业油烟排放标准》（试行）（GB18483-2001）中规定的最高允许排放浓度2.0m/m</w:t>
            </w:r>
            <w:r>
              <w:rPr>
                <w:rFonts w:hint="default" w:ascii="Times New Roman" w:hAnsi="Times New Roman" w:eastAsia="宋体" w:cs="Times New Roman"/>
                <w:sz w:val="24"/>
                <w:szCs w:val="24"/>
                <w:vertAlign w:val="superscript"/>
                <w:lang w:val="en-US" w:eastAsia="zh-CN"/>
              </w:rPr>
              <w:t>3</w:t>
            </w:r>
            <w:r>
              <w:rPr>
                <w:rFonts w:hint="default" w:ascii="Times New Roman" w:hAnsi="Times New Roman" w:eastAsia="宋体" w:cs="Times New Roman"/>
                <w:sz w:val="24"/>
                <w:szCs w:val="24"/>
                <w:lang w:val="en-US" w:eastAsia="zh-CN"/>
              </w:rPr>
              <w:t>的排放标准要求；项目污水处理站恶臭气体</w:t>
            </w:r>
            <w:r>
              <w:rPr>
                <w:rFonts w:hint="eastAsia" w:ascii="Times New Roman" w:hAnsi="Times New Roman" w:eastAsia="宋体" w:cs="Times New Roman"/>
                <w:sz w:val="24"/>
                <w:szCs w:val="24"/>
                <w:lang w:val="en-US" w:eastAsia="zh-CN"/>
              </w:rPr>
              <w:t>满足</w:t>
            </w:r>
            <w:r>
              <w:rPr>
                <w:rFonts w:hint="default" w:ascii="Times New Roman" w:hAnsi="Times New Roman" w:eastAsia="宋体" w:cs="Times New Roman"/>
                <w:sz w:val="24"/>
                <w:szCs w:val="24"/>
                <w:lang w:val="en-US" w:eastAsia="zh-CN"/>
              </w:rPr>
              <w:t>《医疗机构水污染物排放标准》（GB18466-2005）中表3污水处理站周边大气污染物最高允许浓度的排放标准要求：</w:t>
            </w:r>
            <w:r>
              <w:rPr>
                <w:rFonts w:hint="default" w:ascii="Times New Roman" w:hAnsi="Times New Roman" w:eastAsia="宋体" w:cs="Times New Roman"/>
                <w:color w:val="auto"/>
                <w:sz w:val="24"/>
                <w:szCs w:val="24"/>
              </w:rPr>
              <w:t>氨1.0mg/m</w:t>
            </w:r>
            <w:r>
              <w:rPr>
                <w:rFonts w:hint="default" w:ascii="Times New Roman" w:hAnsi="Times New Roman" w:eastAsia="宋体" w:cs="Times New Roman"/>
                <w:color w:val="auto"/>
                <w:sz w:val="24"/>
                <w:szCs w:val="24"/>
                <w:vertAlign w:val="superscript"/>
              </w:rPr>
              <w:t>3</w:t>
            </w:r>
            <w:r>
              <w:rPr>
                <w:rFonts w:hint="eastAsia" w:ascii="Times New Roman" w:hAnsi="Times New Roman" w:eastAsia="宋体" w:cs="Times New Roman"/>
                <w:color w:val="auto"/>
                <w:sz w:val="24"/>
                <w:szCs w:val="24"/>
                <w:vertAlign w:val="baseline"/>
                <w:lang w:eastAsia="zh-CN"/>
              </w:rPr>
              <w:t>，</w:t>
            </w:r>
            <w:r>
              <w:rPr>
                <w:rFonts w:hint="default" w:ascii="Times New Roman" w:hAnsi="Times New Roman" w:eastAsia="宋体" w:cs="Times New Roman"/>
                <w:color w:val="auto"/>
                <w:sz w:val="24"/>
                <w:szCs w:val="24"/>
              </w:rPr>
              <w:t>硫化氢0.03mg/m</w:t>
            </w:r>
            <w:r>
              <w:rPr>
                <w:rFonts w:hint="default" w:ascii="Times New Roman" w:hAnsi="Times New Roman" w:eastAsia="宋体" w:cs="Times New Roman"/>
                <w:color w:val="auto"/>
                <w:sz w:val="24"/>
                <w:szCs w:val="24"/>
                <w:vertAlign w:val="superscript"/>
              </w:rPr>
              <w:t>3</w:t>
            </w:r>
            <w:r>
              <w:rPr>
                <w:rFonts w:hint="eastAsia" w:ascii="Times New Roman" w:hAnsi="Times New Roman" w:eastAsia="宋体" w:cs="Times New Roman"/>
                <w:color w:val="auto"/>
                <w:sz w:val="24"/>
                <w:szCs w:val="24"/>
                <w:vertAlign w:val="baseline"/>
                <w:lang w:eastAsia="zh-CN"/>
              </w:rPr>
              <w:t>，</w:t>
            </w:r>
            <w:r>
              <w:rPr>
                <w:rFonts w:hint="default" w:ascii="Times New Roman" w:hAnsi="Times New Roman" w:eastAsia="宋体" w:cs="Times New Roman"/>
                <w:color w:val="auto"/>
                <w:sz w:val="24"/>
                <w:szCs w:val="24"/>
              </w:rPr>
              <w:t>臭气浓度10（无量纲）</w:t>
            </w:r>
            <w:r>
              <w:rPr>
                <w:rFonts w:hint="default" w:ascii="Times New Roman" w:hAnsi="Times New Roman" w:eastAsia="宋体" w:cs="Times New Roman"/>
                <w:sz w:val="24"/>
                <w:szCs w:val="24"/>
                <w:lang w:val="en-US" w:eastAsia="zh-CN"/>
              </w:rPr>
              <w:t>；项目备用柴油发电机排放废气</w:t>
            </w:r>
            <w:r>
              <w:rPr>
                <w:rFonts w:hint="eastAsia" w:ascii="Times New Roman" w:hAnsi="Times New Roman" w:eastAsia="宋体" w:cs="Times New Roman"/>
                <w:sz w:val="24"/>
                <w:szCs w:val="24"/>
                <w:lang w:val="en-US" w:eastAsia="zh-CN"/>
              </w:rPr>
              <w:t>满足</w:t>
            </w:r>
            <w:r>
              <w:rPr>
                <w:rFonts w:hint="default" w:ascii="Times New Roman" w:hAnsi="Times New Roman" w:eastAsia="宋体" w:cs="Times New Roman"/>
                <w:sz w:val="24"/>
                <w:szCs w:val="24"/>
                <w:lang w:val="en-US" w:eastAsia="zh-CN"/>
              </w:rPr>
              <w:t>广东省《大气污染物排放限值》（DB44/27-2001）表2工艺废气大气污染物排放限值第二时段最高允许排放浓度限值的排放标准要求：</w:t>
            </w:r>
            <w:r>
              <w:rPr>
                <w:rFonts w:hint="default" w:ascii="Times New Roman" w:hAnsi="Times New Roman" w:eastAsia="宋体" w:cs="Times New Roman"/>
                <w:color w:val="auto"/>
                <w:sz w:val="24"/>
                <w:szCs w:val="24"/>
              </w:rPr>
              <w:t>SO</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vertAlign w:val="baseline"/>
                <w:lang w:eastAsia="zh-CN"/>
              </w:rPr>
              <w:t>：</w:t>
            </w:r>
            <w:r>
              <w:rPr>
                <w:rFonts w:hint="default" w:ascii="Times New Roman" w:hAnsi="Times New Roman" w:eastAsia="宋体" w:cs="Times New Roman"/>
                <w:bCs/>
                <w:color w:val="auto"/>
                <w:sz w:val="24"/>
                <w:szCs w:val="24"/>
              </w:rPr>
              <w:t>500</w:t>
            </w:r>
            <w:r>
              <w:rPr>
                <w:rFonts w:hint="default" w:ascii="Times New Roman" w:hAnsi="Times New Roman" w:eastAsia="宋体" w:cs="Times New Roman"/>
                <w:color w:val="auto"/>
                <w:sz w:val="24"/>
                <w:szCs w:val="24"/>
              </w:rPr>
              <w:t>mg/m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bCs/>
                <w:color w:val="auto"/>
                <w:sz w:val="24"/>
                <w:szCs w:val="24"/>
                <w:lang w:eastAsia="zh-CN"/>
              </w:rPr>
              <w:t>，</w:t>
            </w:r>
            <w:r>
              <w:rPr>
                <w:rFonts w:hint="default" w:ascii="Times New Roman" w:hAnsi="Times New Roman" w:eastAsia="宋体" w:cs="Times New Roman"/>
                <w:color w:val="auto"/>
                <w:sz w:val="24"/>
                <w:szCs w:val="24"/>
              </w:rPr>
              <w:t>NO</w:t>
            </w:r>
            <w:r>
              <w:rPr>
                <w:rFonts w:hint="default" w:ascii="Times New Roman" w:hAnsi="Times New Roman" w:eastAsia="宋体" w:cs="Times New Roman"/>
                <w:color w:val="auto"/>
                <w:sz w:val="24"/>
                <w:szCs w:val="24"/>
                <w:vertAlign w:val="subscript"/>
              </w:rPr>
              <w:t>x</w:t>
            </w:r>
            <w:r>
              <w:rPr>
                <w:rFonts w:hint="default" w:ascii="Times New Roman" w:hAnsi="Times New Roman" w:eastAsia="宋体" w:cs="Times New Roman"/>
                <w:color w:val="auto"/>
                <w:sz w:val="24"/>
                <w:szCs w:val="24"/>
                <w:vertAlign w:val="baseline"/>
                <w:lang w:eastAsia="zh-CN"/>
              </w:rPr>
              <w:t>：</w:t>
            </w:r>
            <w:r>
              <w:rPr>
                <w:rFonts w:hint="default" w:ascii="Times New Roman" w:hAnsi="Times New Roman" w:eastAsia="宋体" w:cs="Times New Roman"/>
                <w:bCs/>
                <w:color w:val="auto"/>
                <w:sz w:val="24"/>
                <w:szCs w:val="24"/>
              </w:rPr>
              <w:t>120</w:t>
            </w:r>
            <w:r>
              <w:rPr>
                <w:rFonts w:hint="default" w:ascii="Times New Roman" w:hAnsi="Times New Roman" w:eastAsia="宋体" w:cs="Times New Roman"/>
                <w:color w:val="auto"/>
                <w:sz w:val="24"/>
                <w:szCs w:val="24"/>
              </w:rPr>
              <w:t>mg/m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bCs/>
                <w:color w:val="auto"/>
                <w:sz w:val="24"/>
                <w:szCs w:val="24"/>
                <w:lang w:eastAsia="zh-CN"/>
              </w:rPr>
              <w:t>，</w:t>
            </w:r>
            <w:r>
              <w:rPr>
                <w:rFonts w:hint="default" w:ascii="Times New Roman" w:hAnsi="Times New Roman" w:eastAsia="宋体" w:cs="Times New Roman"/>
                <w:color w:val="auto"/>
                <w:sz w:val="24"/>
                <w:szCs w:val="24"/>
              </w:rPr>
              <w:t>颗粒物</w:t>
            </w:r>
            <w:r>
              <w:rPr>
                <w:rFonts w:hint="default" w:ascii="Times New Roman" w:hAnsi="Times New Roman" w:eastAsia="宋体" w:cs="Times New Roman"/>
                <w:bCs/>
                <w:color w:val="auto"/>
                <w:sz w:val="24"/>
                <w:szCs w:val="24"/>
              </w:rPr>
              <w:t>120</w:t>
            </w:r>
            <w:r>
              <w:rPr>
                <w:rFonts w:hint="default" w:ascii="Times New Roman" w:hAnsi="Times New Roman" w:eastAsia="宋体" w:cs="Times New Roman"/>
                <w:color w:val="auto"/>
                <w:sz w:val="24"/>
                <w:szCs w:val="24"/>
              </w:rPr>
              <w:t>mg/m</w:t>
            </w:r>
            <w:r>
              <w:rPr>
                <w:rFonts w:hint="default" w:ascii="Times New Roman" w:hAnsi="Times New Roman" w:eastAsia="宋体" w:cs="Times New Roman"/>
                <w:color w:val="auto"/>
                <w:sz w:val="24"/>
                <w:szCs w:val="24"/>
                <w:vertAlign w:val="superscript"/>
              </w:rPr>
              <w:t>3</w:t>
            </w:r>
            <w:r>
              <w:rPr>
                <w:rFonts w:hint="eastAsia" w:ascii="Times New Roman" w:hAnsi="Times New Roman" w:eastAsia="宋体" w:cs="Times New Roman"/>
                <w:color w:val="auto"/>
                <w:sz w:val="24"/>
                <w:szCs w:val="24"/>
                <w:vertAlign w:val="baseline"/>
                <w:lang w:eastAsia="zh-CN"/>
              </w:rPr>
              <w:t>。</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项目与水环境功能区划的相符性分析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项目纳污水体滨湖执行《地表水环境质量标准》（GB3838-2002）</w:t>
            </w:r>
            <w:r>
              <w:rPr>
                <w:rFonts w:hint="default" w:ascii="Times New Roman" w:hAnsi="Times New Roman" w:eastAsia="宋体" w:cs="Times New Roman"/>
                <w:sz w:val="24"/>
                <w:szCs w:val="24"/>
                <w:lang w:val="en-US" w:eastAsia="zh-CN"/>
              </w:rPr>
              <w:t>Ⅴ</w:t>
            </w:r>
            <w:r>
              <w:rPr>
                <w:rFonts w:hint="eastAsia" w:ascii="Times New Roman" w:hAnsi="Times New Roman" w:eastAsia="宋体" w:cs="Times New Roman"/>
                <w:sz w:val="24"/>
                <w:szCs w:val="24"/>
                <w:lang w:val="en-US" w:eastAsia="zh-CN"/>
              </w:rPr>
              <w:t>类标准。项目废水经三级化粪池、自建污水处理站处理达到《医疗机构水污染物排放标准》（GB18466-2005）中表2综合医疗机构和其他医疗机构水污染物排放限值（日均值）中的预处理标准、广东省《水污染物排放限值》（DB44/26-2001）第二时段三级标准及湛江市赤坎水质净化厂进水水质标准的较严值后，进入市政管网排入湛江市赤坎水质净化厂处理达到《城镇污水处理厂污染物排放标准》（GB18918-2002）一级A标准及广东省《水污染物排放限值》（DB44/26-2001）第二时段一级标准的较严值后最后进入滨湖。经预测分析可知，项目废水对纳污水体影响较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项目职工就餐依托湛江市养老服务中心的员工食堂，产生的食堂废水依托湛江市养老服务中心的三级化粪池、隔油池进行处理后，达到广东省《水污染物排放限值》（DB44/26-2001）第二时段三级标准，直接排入市政管网。</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lang w:val="en-US" w:eastAsia="zh-CN"/>
              </w:rPr>
            </w:pPr>
            <w:r>
              <w:rPr>
                <w:rFonts w:hint="eastAsia" w:ascii="Times New Roman" w:hAnsi="Times New Roman" w:eastAsia="宋体" w:cs="Times New Roman"/>
                <w:sz w:val="24"/>
                <w:szCs w:val="24"/>
                <w:lang w:val="en-US" w:eastAsia="zh-CN"/>
              </w:rPr>
              <w:t>因此，项目的建设符合水环境功能区划的要求。</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（3）项目与声环境功能区划的相符性分析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项目厂界属于2类声环境功能区，根据对项目噪声影响分析，项目建成后运营期产生的噪声不会改变周围环境的功能属性，因此本项目建设符合声环境功能的要求。</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eastAsia="宋体" w:cs="Times New Roman"/>
                <w:lang w:val="en-US" w:eastAsia="zh-CN"/>
              </w:rPr>
            </w:pPr>
            <w:r>
              <w:rPr>
                <w:rFonts w:hint="eastAsia" w:ascii="Times New Roman" w:hAnsi="Times New Roman" w:eastAsia="宋体" w:cs="Times New Roman"/>
                <w:sz w:val="24"/>
                <w:szCs w:val="24"/>
                <w:lang w:val="en-US" w:eastAsia="zh-CN"/>
              </w:rPr>
              <w:t>综上所述，本项目的建设与环境功能区划相符。</w:t>
            </w:r>
          </w:p>
        </w:tc>
      </w:tr>
    </w:tbl>
    <w:p>
      <w:pPr>
        <w:pStyle w:val="20"/>
        <w:rPr>
          <w:rFonts w:ascii="Times New Roman" w:hAnsi="Times New Roman" w:eastAsia="宋体" w:cs="Times New Roman"/>
        </w:rPr>
        <w:sectPr>
          <w:footerReference r:id="rId4" w:type="default"/>
          <w:pgSz w:w="11906" w:h="16838"/>
          <w:pgMar w:top="1440" w:right="1800" w:bottom="1440" w:left="1800" w:header="851" w:footer="992" w:gutter="0"/>
          <w:pgNumType w:start="1"/>
          <w:cols w:space="425" w:num="1"/>
          <w:docGrid w:type="lines" w:linePitch="312" w:charSpace="0"/>
        </w:sectPr>
      </w:pPr>
    </w:p>
    <w:p>
      <w:pPr>
        <w:pStyle w:val="26"/>
        <w:jc w:val="center"/>
        <w:outlineLvl w:val="0"/>
        <w:rPr>
          <w:rFonts w:ascii="Times New Roman" w:hAnsi="Times New Roman" w:eastAsia="宋体" w:cs="Times New Roman"/>
          <w:snapToGrid w:val="0"/>
          <w:color w:val="000000"/>
          <w:sz w:val="30"/>
          <w:szCs w:val="30"/>
        </w:rPr>
      </w:pPr>
      <w:bookmarkStart w:id="16" w:name="_Toc23328"/>
      <w:bookmarkStart w:id="17" w:name="_Toc677"/>
      <w:bookmarkStart w:id="18" w:name="_Toc15114"/>
      <w:bookmarkStart w:id="19" w:name="_Toc26574"/>
      <w:bookmarkStart w:id="20" w:name="_Toc12729"/>
      <w:r>
        <w:rPr>
          <w:rFonts w:ascii="Times New Roman" w:hAnsi="Times New Roman" w:eastAsia="宋体" w:cs="Times New Roman"/>
          <w:snapToGrid w:val="0"/>
          <w:color w:val="000000"/>
          <w:sz w:val="30"/>
          <w:szCs w:val="30"/>
        </w:rPr>
        <w:t>二、建设项目工程分析</w:t>
      </w:r>
      <w:bookmarkEnd w:id="16"/>
      <w:bookmarkEnd w:id="17"/>
      <w:bookmarkEnd w:id="18"/>
      <w:bookmarkEnd w:id="19"/>
      <w:bookmarkEnd w:id="20"/>
    </w:p>
    <w:tbl>
      <w:tblPr>
        <w:tblStyle w:val="29"/>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51"/>
        <w:gridCol w:w="807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324" w:hRule="atLeast"/>
          <w:jc w:val="center"/>
        </w:trPr>
        <w:tc>
          <w:tcPr>
            <w:tcW w:w="258" w:type="pct"/>
            <w:vAlign w:val="center"/>
          </w:tcPr>
          <w:p>
            <w:pPr>
              <w:pStyle w:val="26"/>
              <w:adjustRightInd w:val="0"/>
              <w:snapToGrid w:val="0"/>
              <w:spacing w:before="0" w:beforeAutospacing="0" w:after="0" w:afterAutospacing="0"/>
              <w:jc w:val="center"/>
              <w:rPr>
                <w:rFonts w:ascii="Times New Roman" w:hAnsi="Times New Roman" w:eastAsia="宋体" w:cs="Times New Roman"/>
                <w:color w:val="000000"/>
                <w:szCs w:val="24"/>
              </w:rPr>
            </w:pPr>
            <w:r>
              <w:rPr>
                <w:rFonts w:ascii="Times New Roman" w:hAnsi="Times New Roman" w:eastAsia="宋体" w:cs="Times New Roman"/>
                <w:color w:val="000000"/>
                <w:szCs w:val="24"/>
              </w:rPr>
              <w:t>建设内容</w:t>
            </w:r>
          </w:p>
        </w:tc>
        <w:tc>
          <w:tcPr>
            <w:tcW w:w="4741" w:type="pct"/>
          </w:tcPr>
          <w:p>
            <w:pPr>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一、主要建设内容</w:t>
            </w:r>
          </w:p>
          <w:p>
            <w:pPr>
              <w:pStyle w:val="2"/>
              <w:spacing w:line="360" w:lineRule="auto"/>
              <w:ind w:firstLine="482" w:firstLineChars="200"/>
              <w:rPr>
                <w:rFonts w:ascii="Times New Roman" w:eastAsia="宋体" w:cs="Times New Roman"/>
                <w:b/>
              </w:rPr>
            </w:pPr>
            <w:r>
              <w:rPr>
                <w:rFonts w:ascii="Times New Roman" w:eastAsia="宋体" w:cs="Times New Roman"/>
                <w:b/>
              </w:rPr>
              <w:t>1、项目建设内容和规模：</w:t>
            </w:r>
          </w:p>
          <w:p>
            <w:pPr>
              <w:pStyle w:val="2"/>
              <w:spacing w:line="360" w:lineRule="auto"/>
              <w:ind w:firstLine="480" w:firstLineChars="200"/>
              <w:rPr>
                <w:rFonts w:hint="default" w:ascii="Times New Roman" w:hAnsi="Times New Roman" w:eastAsia="宋体" w:cs="Times New Roman"/>
                <w:color w:val="000000"/>
                <w:kern w:val="0"/>
                <w:sz w:val="24"/>
                <w:szCs w:val="24"/>
                <w:lang w:val="en-US" w:eastAsia="zh-CN" w:bidi="ar-SA"/>
              </w:rPr>
            </w:pPr>
            <w:r>
              <w:rPr>
                <w:rFonts w:ascii="Times New Roman" w:eastAsia="宋体" w:cs="Times New Roman"/>
              </w:rPr>
              <w:t>湛江市颐福医院是一家集医疗、康复、防治为一体的综合性医院，湛江市颐福医院建设项目（以下简称“本项目”）位于湛江市赤坎区农林一路14号1-2楼CD区、4楼D区（中心坐标为E110°21′7.65″，N21°16′47.59″），项目地理位置图见附图1，占地面积为2571.3m</w:t>
            </w:r>
            <w:r>
              <w:rPr>
                <w:rFonts w:ascii="Times New Roman" w:eastAsia="宋体" w:cs="Times New Roman"/>
                <w:vertAlign w:val="superscript"/>
              </w:rPr>
              <w:t>2</w:t>
            </w:r>
            <w:r>
              <w:rPr>
                <w:rFonts w:ascii="Times New Roman" w:eastAsia="宋体" w:cs="Times New Roman"/>
              </w:rPr>
              <w:t>，建筑面积为4480m</w:t>
            </w:r>
            <w:r>
              <w:rPr>
                <w:rFonts w:ascii="Times New Roman" w:eastAsia="宋体" w:cs="Times New Roman"/>
                <w:vertAlign w:val="superscript"/>
              </w:rPr>
              <w:t>2</w:t>
            </w:r>
            <w:r>
              <w:rPr>
                <w:rFonts w:ascii="Times New Roman" w:eastAsia="宋体" w:cs="Times New Roman"/>
              </w:rPr>
              <w:t>，配套医疗废物暂储间、污水处理站等。</w:t>
            </w:r>
          </w:p>
          <w:p>
            <w:pPr>
              <w:pStyle w:val="2"/>
              <w:spacing w:line="360" w:lineRule="auto"/>
              <w:ind w:firstLine="480" w:firstLineChars="200"/>
              <w:rPr>
                <w:rFonts w:hint="eastAsia"/>
              </w:rPr>
            </w:pPr>
            <w:r>
              <w:rPr>
                <w:rFonts w:hint="eastAsia" w:ascii="Times New Roman" w:eastAsia="宋体" w:cs="Times New Roman"/>
              </w:rPr>
              <w:t>项目场地原为湛江市养老服务中心对内服务场地，主要为养老院内的老年人提供疗养服务，里面设有病床50张。由于更换经营单位，现在由湛江市颐福医院有限公司投资建设湛江市颐福医院建设项目。本项目租用湛江市养老服务中心1-2楼CD区、4楼D区，利用湛江市养老服务中心已有病床50张，并完善项目医疗康复以及其他相关的设施设备的独立机构，设置预防保健科、内科、外科、妇科、医学检验科、中医科和康复中心。项目</w:t>
            </w:r>
            <w:r>
              <w:rPr>
                <w:rFonts w:hint="eastAsia" w:ascii="Times New Roman" w:eastAsia="宋体" w:cs="Times New Roman"/>
                <w:lang w:val="en-US" w:eastAsia="zh-CN"/>
              </w:rPr>
              <w:t>不设员工食堂，</w:t>
            </w:r>
            <w:r>
              <w:rPr>
                <w:rFonts w:hint="eastAsia" w:ascii="Times New Roman" w:eastAsia="宋体" w:cs="Times New Roman"/>
              </w:rPr>
              <w:t>职工就餐依托湛江市养老服务中心的员工食堂</w:t>
            </w:r>
            <w:r>
              <w:rPr>
                <w:rFonts w:hint="eastAsia" w:ascii="Times New Roman" w:eastAsia="宋体" w:cs="Times New Roman"/>
                <w:lang w:eastAsia="zh-CN"/>
              </w:rPr>
              <w:t>。</w:t>
            </w:r>
            <w:r>
              <w:rPr>
                <w:rFonts w:ascii="Times New Roman" w:eastAsia="宋体" w:cs="Times New Roman"/>
              </w:rPr>
              <w:t>根据项目性质，本医院不收治患有传染病及传染病史的病人，如发现疑似传染病的病人，立即送上级及相关部门进行处置。本项目属于小型规模的综合医院，项目定位和服务对象是为养老院内的老年人提供医疗及疗养服务。本项目拟设置病床50张，项目职工38人（医护人员35人，医院后勤职工3人），预计日最大门诊人数为35人/d，预计年接诊门诊数量为12775人次</w:t>
            </w:r>
            <w:r>
              <w:rPr>
                <w:rFonts w:hint="eastAsia" w:ascii="Times New Roman" w:eastAsia="宋体" w:cs="Times New Roman"/>
              </w:rPr>
              <w:t>。</w:t>
            </w:r>
            <w:r>
              <w:rPr>
                <w:rFonts w:ascii="Times New Roman" w:eastAsia="宋体" w:cs="Times New Roman"/>
              </w:rPr>
              <w:t>本项目建设总投资200万元</w:t>
            </w:r>
            <w:r>
              <w:rPr>
                <w:rFonts w:hint="eastAsia" w:ascii="Times New Roman" w:eastAsia="宋体" w:cs="Times New Roman"/>
              </w:rPr>
              <w:t>，环保投资70万元</w:t>
            </w:r>
            <w:r>
              <w:rPr>
                <w:rFonts w:ascii="Times New Roman" w:eastAsia="宋体" w:cs="Times New Roman"/>
              </w:rPr>
              <w:t>。</w:t>
            </w:r>
            <w:r>
              <w:rPr>
                <w:rFonts w:hint="eastAsia"/>
              </w:rPr>
              <w:t>如果有涉及辐射的建设内容需要另做环评，辐射相关建设内容不在本评价范围内。</w:t>
            </w:r>
          </w:p>
          <w:p>
            <w:pPr>
              <w:pStyle w:val="5"/>
              <w:rPr>
                <w:highlight w:val="yellow"/>
              </w:rPr>
            </w:pPr>
            <w:r>
              <w:rPr>
                <w:rFonts w:hint="eastAsia" w:ascii="Times New Roman" w:hAnsi="Times New Roman" w:eastAsia="宋体" w:cs="Times New Roman"/>
                <w:color w:val="000000"/>
                <w:kern w:val="0"/>
                <w:sz w:val="24"/>
                <w:szCs w:val="24"/>
                <w:highlight w:val="none"/>
                <w:lang w:val="en-US" w:eastAsia="zh-CN" w:bidi="ar-SA"/>
              </w:rPr>
              <w:t>本项目建设单位于2021年11月29日取得营业执照，在2022年9月80日经湛江市赤坎区市场监督管理局同意进行过法定代表人和经营范围内容变更登记，详见附件2。关于本项目建设单位名称与医疗机构执业许可证机构名称不一致的说明详见附件5。</w:t>
            </w:r>
          </w:p>
          <w:p>
            <w:pPr>
              <w:pStyle w:val="2"/>
              <w:spacing w:line="360" w:lineRule="auto"/>
              <w:ind w:firstLine="480" w:firstLineChars="200"/>
              <w:rPr>
                <w:rFonts w:ascii="Times New Roman" w:eastAsia="宋体" w:cs="Times New Roman"/>
              </w:rPr>
            </w:pPr>
          </w:p>
          <w:p>
            <w:pPr>
              <w:pStyle w:val="2"/>
              <w:spacing w:line="360" w:lineRule="auto"/>
              <w:ind w:firstLine="480" w:firstLineChars="200"/>
              <w:rPr>
                <w:rFonts w:ascii="Times New Roman" w:eastAsia="宋体" w:cs="Times New Roman"/>
              </w:rPr>
            </w:pPr>
          </w:p>
          <w:p>
            <w:pPr>
              <w:pStyle w:val="2"/>
              <w:spacing w:line="360" w:lineRule="auto"/>
              <w:ind w:firstLine="480" w:firstLineChars="200"/>
              <w:rPr>
                <w:rFonts w:ascii="Times New Roman" w:eastAsia="宋体" w:cs="Times New Roman"/>
              </w:rPr>
            </w:pPr>
          </w:p>
          <w:p>
            <w:pPr>
              <w:pStyle w:val="2"/>
              <w:spacing w:line="360" w:lineRule="auto"/>
              <w:ind w:firstLine="480" w:firstLineChars="200"/>
              <w:rPr>
                <w:rFonts w:ascii="Times New Roman" w:eastAsia="宋体" w:cs="Times New Roman"/>
              </w:rPr>
            </w:pPr>
            <w:r>
              <w:rPr>
                <w:rFonts w:ascii="Times New Roman" w:eastAsia="宋体" w:cs="Times New Roman"/>
              </w:rPr>
              <w:t>本项目主要建设规模见下表</w:t>
            </w:r>
            <w:r>
              <w:rPr>
                <w:rFonts w:hint="eastAsia" w:ascii="Times New Roman" w:eastAsia="宋体" w:cs="Times New Roman"/>
              </w:rPr>
              <w:t>2-1：</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表2-1本项目主要建设规模</w:t>
            </w:r>
          </w:p>
          <w:tbl>
            <w:tblPr>
              <w:tblStyle w:val="30"/>
              <w:tblW w:w="4998" w:type="pct"/>
              <w:jc w:val="center"/>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8"/>
              <w:gridCol w:w="3011"/>
              <w:gridCol w:w="2438"/>
            </w:tblGrid>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1528"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数量</w:t>
                  </w:r>
                </w:p>
              </w:tc>
              <w:tc>
                <w:tcPr>
                  <w:tcW w:w="1918" w:type="pct"/>
                  <w:tcBorders>
                    <w:tl2br w:val="nil"/>
                    <w:tr2bl w:val="nil"/>
                  </w:tcBorders>
                  <w:vAlign w:val="center"/>
                </w:tcPr>
                <w:p>
                  <w:pPr>
                    <w:jc w:val="center"/>
                    <w:rPr>
                      <w:rFonts w:ascii="Times New Roman" w:hAnsi="Times New Roman" w:eastAsia="宋体" w:cs="Times New Roman"/>
                      <w:bCs/>
                      <w:color w:val="000000"/>
                      <w:szCs w:val="21"/>
                    </w:rPr>
                  </w:pPr>
                  <w:r>
                    <w:rPr>
                      <w:rFonts w:hint="eastAsia" w:ascii="Times New Roman" w:hAnsi="Times New Roman" w:eastAsia="宋体" w:cs="Times New Roman"/>
                      <w:bCs/>
                      <w:color w:val="000000"/>
                      <w:szCs w:val="21"/>
                    </w:rPr>
                    <w:t>运营期</w:t>
                  </w:r>
                </w:p>
              </w:tc>
              <w:tc>
                <w:tcPr>
                  <w:tcW w:w="1553"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单位</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28"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病床数</w:t>
                  </w:r>
                </w:p>
              </w:tc>
              <w:tc>
                <w:tcPr>
                  <w:tcW w:w="1918"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50</w:t>
                  </w:r>
                </w:p>
              </w:tc>
              <w:tc>
                <w:tcPr>
                  <w:tcW w:w="1553"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张</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1528"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医护人员人数</w:t>
                  </w:r>
                </w:p>
              </w:tc>
              <w:tc>
                <w:tcPr>
                  <w:tcW w:w="1918"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35</w:t>
                  </w:r>
                </w:p>
              </w:tc>
              <w:tc>
                <w:tcPr>
                  <w:tcW w:w="1553"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个</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1528"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医院后勤职工人数</w:t>
                  </w:r>
                </w:p>
              </w:tc>
              <w:tc>
                <w:tcPr>
                  <w:tcW w:w="1918"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3</w:t>
                  </w:r>
                </w:p>
              </w:tc>
              <w:tc>
                <w:tcPr>
                  <w:tcW w:w="1553"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个</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528"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预计日最大门诊人数</w:t>
                  </w:r>
                </w:p>
              </w:tc>
              <w:tc>
                <w:tcPr>
                  <w:tcW w:w="1918"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35</w:t>
                  </w:r>
                </w:p>
              </w:tc>
              <w:tc>
                <w:tcPr>
                  <w:tcW w:w="1553" w:type="pct"/>
                  <w:tcBorders>
                    <w:tl2br w:val="nil"/>
                    <w:tr2bl w:val="nil"/>
                  </w:tcBorders>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人/d</w:t>
                  </w:r>
                </w:p>
              </w:tc>
            </w:tr>
          </w:tbl>
          <w:p>
            <w:pPr>
              <w:pStyle w:val="2"/>
              <w:spacing w:line="360" w:lineRule="auto"/>
              <w:ind w:firstLine="480" w:firstLineChars="200"/>
              <w:rPr>
                <w:rFonts w:ascii="Times New Roman" w:eastAsia="宋体" w:cs="Times New Roman"/>
              </w:rPr>
            </w:pPr>
          </w:p>
          <w:p>
            <w:pPr>
              <w:pStyle w:val="2"/>
              <w:spacing w:line="360" w:lineRule="auto"/>
              <w:ind w:firstLine="480" w:firstLineChars="200"/>
              <w:rPr>
                <w:rFonts w:ascii="Times New Roman" w:eastAsia="宋体" w:cs="Times New Roman"/>
              </w:rPr>
            </w:pPr>
            <w:r>
              <w:rPr>
                <w:rFonts w:ascii="Times New Roman" w:eastAsia="宋体" w:cs="Times New Roman"/>
              </w:rPr>
              <w:t>本项目主要建设内容见下表2-2。</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表2-2本项目主要建设内容一览表</w:t>
            </w:r>
          </w:p>
          <w:tbl>
            <w:tblPr>
              <w:tblStyle w:val="3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1288"/>
              <w:gridCol w:w="426"/>
              <w:gridCol w:w="426"/>
              <w:gridCol w:w="2643"/>
              <w:gridCol w:w="264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1" w:type="pct"/>
                  <w:vMerge w:val="restart"/>
                  <w:tcBorders>
                    <w:tl2br w:val="nil"/>
                    <w:tr2bl w:val="nil"/>
                  </w:tcBorders>
                  <w:vAlign w:val="center"/>
                </w:tcPr>
                <w:p>
                  <w:pPr>
                    <w:widowControl/>
                    <w:jc w:val="center"/>
                    <w:rPr>
                      <w:rFonts w:ascii="Times New Roman" w:hAnsi="Times New Roman" w:eastAsia="宋体" w:cs="Times New Roman"/>
                      <w:b/>
                      <w:bCs/>
                      <w:color w:val="000000"/>
                      <w:szCs w:val="21"/>
                    </w:rPr>
                  </w:pPr>
                  <w:r>
                    <w:rPr>
                      <w:rFonts w:ascii="Times New Roman" w:hAnsi="Times New Roman" w:eastAsia="宋体" w:cs="Times New Roman"/>
                      <w:color w:val="000000"/>
                      <w:szCs w:val="21"/>
                    </w:rPr>
                    <w:t>工程类别</w:t>
                  </w:r>
                </w:p>
              </w:tc>
              <w:tc>
                <w:tcPr>
                  <w:tcW w:w="820" w:type="pct"/>
                  <w:vMerge w:val="restar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主体工程（4480m</w:t>
                  </w:r>
                  <w:r>
                    <w:rPr>
                      <w:rFonts w:ascii="Times New Roman" w:hAnsi="Times New Roman" w:eastAsia="宋体" w:cs="Times New Roman"/>
                      <w:color w:val="000000"/>
                      <w:szCs w:val="21"/>
                      <w:vertAlign w:val="superscript"/>
                    </w:rPr>
                    <w:t>2</w:t>
                  </w:r>
                  <w:r>
                    <w:rPr>
                      <w:rFonts w:ascii="Times New Roman" w:hAnsi="Times New Roman" w:eastAsia="宋体" w:cs="Times New Roman"/>
                      <w:color w:val="000000"/>
                      <w:szCs w:val="21"/>
                    </w:rPr>
                    <w:t>）</w:t>
                  </w:r>
                </w:p>
              </w:tc>
              <w:tc>
                <w:tcPr>
                  <w:tcW w:w="271" w:type="pc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项目</w:t>
                  </w:r>
                </w:p>
              </w:tc>
              <w:tc>
                <w:tcPr>
                  <w:tcW w:w="271" w:type="pc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层数</w:t>
                  </w:r>
                </w:p>
              </w:tc>
              <w:tc>
                <w:tcPr>
                  <w:tcW w:w="1683" w:type="pc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布置内容</w:t>
                  </w:r>
                </w:p>
              </w:tc>
              <w:tc>
                <w:tcPr>
                  <w:tcW w:w="1683" w:type="pct"/>
                  <w:tcBorders>
                    <w:tl2br w:val="nil"/>
                    <w:tr2bl w:val="nil"/>
                  </w:tcBorders>
                  <w:vAlign w:val="center"/>
                </w:tcPr>
                <w:p>
                  <w:pPr>
                    <w:widowControl/>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建设情况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271" w:type="pct"/>
                  <w:vMerge w:val="restar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公</w:t>
                  </w:r>
                </w:p>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寓</w:t>
                  </w:r>
                </w:p>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大</w:t>
                  </w:r>
                </w:p>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楼</w:t>
                  </w:r>
                </w:p>
              </w:tc>
              <w:tc>
                <w:tcPr>
                  <w:tcW w:w="271" w:type="pc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一层C区</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导诊台、值班室、消防控制室、配餐间、助浴间、治疗室、处置室、负压室、氧气间、护士站、病床39张</w:t>
                  </w:r>
                </w:p>
              </w:tc>
              <w:tc>
                <w:tcPr>
                  <w:tcW w:w="1683" w:type="pct"/>
                  <w:tcBorders>
                    <w:tl2br w:val="nil"/>
                    <w:tr2bl w:val="nil"/>
                  </w:tcBorders>
                  <w:vAlign w:val="center"/>
                </w:tcPr>
                <w:p>
                  <w:pPr>
                    <w:widowControl/>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新增，病床39张为项目利用湛江市养老服务中心已有设施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271"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271" w:type="pc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一层D区</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DR室、预防保健科、医疗废物暂存间、妇科、中医科、值班室、内科一诊室、内科二诊室、外科一诊室、外科二诊室、收费处、挂号处、药房、换药室、急诊室、导诊台、消防控制室</w:t>
                  </w:r>
                </w:p>
              </w:tc>
              <w:tc>
                <w:tcPr>
                  <w:tcW w:w="1683" w:type="pct"/>
                  <w:tcBorders>
                    <w:tl2br w:val="nil"/>
                    <w:tr2bl w:val="nil"/>
                  </w:tcBorders>
                  <w:vAlign w:val="center"/>
                </w:tcPr>
                <w:p>
                  <w:pPr>
                    <w:widowControl/>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新增</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271"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271" w:type="pc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二层C区</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治疗室、配餐间、助浴间、处置室、布衣间、护士站、病床11张</w:t>
                  </w:r>
                </w:p>
              </w:tc>
              <w:tc>
                <w:tcPr>
                  <w:tcW w:w="1683" w:type="pct"/>
                  <w:tcBorders>
                    <w:tl2br w:val="nil"/>
                    <w:tr2bl w:val="nil"/>
                  </w:tcBorders>
                  <w:vAlign w:val="center"/>
                </w:tcPr>
                <w:p>
                  <w:pPr>
                    <w:widowControl/>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新增，病床11张为项目利用湛江市养老服务中心已有设施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271"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271" w:type="pc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二层D区</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消毒供应室、B超室、心电图室、值班室、医护办公室、更衣室、茶水间、体液检验室、免疫室、会议室、生化检验室</w:t>
                  </w:r>
                </w:p>
              </w:tc>
              <w:tc>
                <w:tcPr>
                  <w:tcW w:w="1683" w:type="pct"/>
                  <w:tcBorders>
                    <w:tl2br w:val="nil"/>
                    <w:tr2bl w:val="nil"/>
                  </w:tcBorders>
                  <w:vAlign w:val="center"/>
                </w:tcPr>
                <w:p>
                  <w:pPr>
                    <w:widowControl/>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新增</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1134"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271"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271" w:type="pc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四层D区</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值班室、康复中心</w:t>
                  </w:r>
                </w:p>
              </w:tc>
              <w:tc>
                <w:tcPr>
                  <w:tcW w:w="1683" w:type="pct"/>
                  <w:tcBorders>
                    <w:tl2br w:val="nil"/>
                    <w:tr2bl w:val="nil"/>
                  </w:tcBorders>
                  <w:vAlign w:val="center"/>
                </w:tcPr>
                <w:p>
                  <w:pPr>
                    <w:widowControl/>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新增</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restart"/>
                  <w:tcBorders>
                    <w:tl2br w:val="nil"/>
                    <w:tr2bl w:val="nil"/>
                  </w:tcBorders>
                  <w:vAlign w:val="center"/>
                </w:tcPr>
                <w:p>
                  <w:pPr>
                    <w:widowControl/>
                    <w:jc w:val="center"/>
                    <w:rPr>
                      <w:rFonts w:ascii="Times New Roman" w:hAnsi="Times New Roman" w:eastAsia="宋体" w:cs="Times New Roman"/>
                    </w:rPr>
                  </w:pPr>
                  <w:r>
                    <w:rPr>
                      <w:rFonts w:hint="eastAsia" w:ascii="Times New Roman" w:hAnsi="Times New Roman" w:eastAsia="宋体" w:cs="Times New Roman"/>
                    </w:rPr>
                    <w:t>辅助</w:t>
                  </w:r>
                </w:p>
                <w:p>
                  <w:pPr>
                    <w:widowControl/>
                    <w:jc w:val="center"/>
                    <w:rPr>
                      <w:rFonts w:ascii="Times New Roman" w:hAnsi="Times New Roman" w:eastAsia="宋体" w:cs="Times New Roman"/>
                    </w:rPr>
                  </w:pPr>
                  <w:r>
                    <w:rPr>
                      <w:rFonts w:hint="eastAsia" w:ascii="Times New Roman" w:hAnsi="Times New Roman" w:eastAsia="宋体" w:cs="Times New Roman"/>
                    </w:rPr>
                    <w:t>工程</w:t>
                  </w:r>
                </w:p>
              </w:tc>
              <w:tc>
                <w:tcPr>
                  <w:tcW w:w="542" w:type="pct"/>
                  <w:gridSpan w:val="2"/>
                  <w:tcBorders>
                    <w:tl2br w:val="nil"/>
                    <w:tr2bl w:val="nil"/>
                  </w:tcBorders>
                  <w:vAlign w:val="center"/>
                </w:tcPr>
                <w:p>
                  <w:pPr>
                    <w:widowControl/>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检验科</w:t>
                  </w:r>
                </w:p>
              </w:tc>
              <w:tc>
                <w:tcPr>
                  <w:tcW w:w="1683" w:type="pct"/>
                  <w:tcBorders>
                    <w:tl2br w:val="nil"/>
                    <w:tr2bl w:val="nil"/>
                  </w:tcBorders>
                  <w:vAlign w:val="center"/>
                </w:tcPr>
                <w:p>
                  <w:pPr>
                    <w:widowControl/>
                    <w:jc w:val="both"/>
                    <w:rPr>
                      <w:rFonts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体液检验室、生化检验室</w:t>
                  </w:r>
                </w:p>
              </w:tc>
              <w:tc>
                <w:tcPr>
                  <w:tcW w:w="1683" w:type="pct"/>
                  <w:tcBorders>
                    <w:tl2br w:val="nil"/>
                    <w:tr2bl w:val="nil"/>
                  </w:tcBorders>
                  <w:vAlign w:val="center"/>
                </w:tcPr>
                <w:p>
                  <w:pPr>
                    <w:widowControl/>
                    <w:jc w:val="center"/>
                    <w:rPr>
                      <w:rFonts w:hint="eastAsia"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color w:val="000000"/>
                      <w:szCs w:val="21"/>
                      <w:lang w:val="en-US" w:eastAsia="zh-CN"/>
                    </w:rPr>
                    <w:t>新增</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hint="eastAsia" w:ascii="Times New Roman" w:hAnsi="Times New Roman" w:eastAsia="宋体" w:cs="Times New Roman"/>
                    </w:rPr>
                  </w:pPr>
                </w:p>
              </w:tc>
              <w:tc>
                <w:tcPr>
                  <w:tcW w:w="542" w:type="pct"/>
                  <w:gridSpan w:val="2"/>
                  <w:tcBorders>
                    <w:tl2br w:val="nil"/>
                    <w:tr2bl w:val="nil"/>
                  </w:tcBorders>
                  <w:vAlign w:val="center"/>
                </w:tcPr>
                <w:p>
                  <w:pPr>
                    <w:widowControl/>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洗衣房</w:t>
                  </w:r>
                </w:p>
              </w:tc>
              <w:tc>
                <w:tcPr>
                  <w:tcW w:w="1683" w:type="pct"/>
                  <w:tcBorders>
                    <w:tl2br w:val="nil"/>
                    <w:tr2bl w:val="nil"/>
                  </w:tcBorders>
                  <w:vAlign w:val="center"/>
                </w:tcPr>
                <w:p>
                  <w:pPr>
                    <w:widowControl/>
                    <w:jc w:val="both"/>
                    <w:rPr>
                      <w:rFonts w:hint="eastAsia"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color w:val="000000"/>
                      <w:szCs w:val="21"/>
                      <w:lang w:val="en-US" w:eastAsia="zh-CN"/>
                    </w:rPr>
                    <w:t>位于B区一楼，依托</w:t>
                  </w:r>
                  <w:r>
                    <w:rPr>
                      <w:rFonts w:hint="eastAsia" w:ascii="Times New Roman" w:hAnsi="Times New Roman" w:eastAsia="宋体" w:cs="Times New Roman"/>
                      <w:color w:val="000000"/>
                      <w:szCs w:val="21"/>
                    </w:rPr>
                    <w:t>湛江市养老服务中心设施</w:t>
                  </w:r>
                </w:p>
              </w:tc>
              <w:tc>
                <w:tcPr>
                  <w:tcW w:w="1683" w:type="pct"/>
                  <w:tcBorders>
                    <w:tl2br w:val="nil"/>
                    <w:tr2bl w:val="nil"/>
                  </w:tcBorders>
                  <w:vAlign w:val="center"/>
                </w:tcPr>
                <w:p>
                  <w:pPr>
                    <w:widowControl/>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依托</w:t>
                  </w:r>
                  <w:r>
                    <w:rPr>
                      <w:rFonts w:hint="eastAsia" w:ascii="Times New Roman" w:hAnsi="Times New Roman" w:eastAsia="宋体" w:cs="Times New Roman"/>
                      <w:color w:val="000000"/>
                      <w:szCs w:val="21"/>
                    </w:rPr>
                    <w:t>湛江市养老服务中心设施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hint="eastAsia" w:ascii="Times New Roman" w:hAnsi="Times New Roman" w:eastAsia="宋体" w:cs="Times New Roman"/>
                    </w:rPr>
                  </w:pPr>
                </w:p>
              </w:tc>
              <w:tc>
                <w:tcPr>
                  <w:tcW w:w="542" w:type="pct"/>
                  <w:gridSpan w:val="2"/>
                  <w:tcBorders>
                    <w:tl2br w:val="nil"/>
                    <w:tr2bl w:val="nil"/>
                  </w:tcBorders>
                  <w:vAlign w:val="center"/>
                </w:tcPr>
                <w:p>
                  <w:pPr>
                    <w:widowControl/>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锅炉</w:t>
                  </w:r>
                </w:p>
              </w:tc>
              <w:tc>
                <w:tcPr>
                  <w:tcW w:w="1683" w:type="pct"/>
                  <w:tcBorders>
                    <w:tl2br w:val="nil"/>
                    <w:tr2bl w:val="nil"/>
                  </w:tcBorders>
                  <w:vAlign w:val="center"/>
                </w:tcPr>
                <w:p>
                  <w:pPr>
                    <w:widowControl/>
                    <w:jc w:val="both"/>
                    <w:rPr>
                      <w:rFonts w:hint="eastAsia"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color w:val="000000"/>
                      <w:szCs w:val="21"/>
                      <w:lang w:val="en-US" w:eastAsia="zh-CN"/>
                    </w:rPr>
                    <w:t>位于食堂，依托</w:t>
                  </w:r>
                  <w:r>
                    <w:rPr>
                      <w:rFonts w:hint="eastAsia" w:ascii="Times New Roman" w:hAnsi="Times New Roman" w:eastAsia="宋体" w:cs="Times New Roman"/>
                      <w:color w:val="000000"/>
                      <w:szCs w:val="21"/>
                    </w:rPr>
                    <w:t>湛江市养老服务中心设施</w:t>
                  </w:r>
                </w:p>
              </w:tc>
              <w:tc>
                <w:tcPr>
                  <w:tcW w:w="1683" w:type="pct"/>
                  <w:tcBorders>
                    <w:tl2br w:val="nil"/>
                    <w:tr2bl w:val="nil"/>
                  </w:tcBorders>
                  <w:vAlign w:val="center"/>
                </w:tcPr>
                <w:p>
                  <w:pPr>
                    <w:widowControl/>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依托</w:t>
                  </w:r>
                  <w:r>
                    <w:rPr>
                      <w:rFonts w:hint="eastAsia" w:ascii="Times New Roman" w:hAnsi="Times New Roman" w:eastAsia="宋体" w:cs="Times New Roman"/>
                      <w:color w:val="000000"/>
                      <w:szCs w:val="21"/>
                    </w:rPr>
                    <w:t>湛江市养老服务中心设施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restar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公共工程</w:t>
                  </w:r>
                </w:p>
              </w:tc>
              <w:tc>
                <w:tcPr>
                  <w:tcW w:w="542" w:type="pct"/>
                  <w:gridSpan w:val="2"/>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给水</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bCs/>
                      <w:color w:val="000000" w:themeColor="text1"/>
                      <w:szCs w:val="21"/>
                      <w14:textFill>
                        <w14:solidFill>
                          <w14:schemeClr w14:val="tx1"/>
                        </w14:solidFill>
                      </w14:textFill>
                    </w:rPr>
                    <w:t>湛江市政管网供水</w:t>
                  </w:r>
                </w:p>
              </w:tc>
              <w:tc>
                <w:tcPr>
                  <w:tcW w:w="1683" w:type="pct"/>
                  <w:tcBorders>
                    <w:tl2br w:val="nil"/>
                    <w:tr2bl w:val="nil"/>
                  </w:tcBorders>
                  <w:vAlign w:val="center"/>
                </w:tcPr>
                <w:p>
                  <w:pPr>
                    <w:widowControl/>
                    <w:jc w:val="center"/>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湛江市政管网供水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542" w:type="pct"/>
                  <w:gridSpan w:val="2"/>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排水</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排水采用雨污分流制，雨水经雨水管汇集后，排入周边雨水管道。废水经自建污水处理站处理达标后，</w:t>
                  </w:r>
                  <w:r>
                    <w:rPr>
                      <w:rFonts w:ascii="Times New Roman" w:hAnsi="Times New Roman" w:eastAsia="宋体" w:cs="Times New Roman"/>
                      <w:color w:val="000000" w:themeColor="text1"/>
                      <w:szCs w:val="21"/>
                      <w14:textFill>
                        <w14:solidFill>
                          <w14:schemeClr w14:val="tx1"/>
                        </w14:solidFill>
                      </w14:textFill>
                    </w:rPr>
                    <w:t>经拥军路市政污水管网引</w:t>
                  </w:r>
                  <w:r>
                    <w:rPr>
                      <w:rFonts w:ascii="Times New Roman" w:hAnsi="Times New Roman" w:eastAsia="宋体" w:cs="Times New Roman"/>
                      <w:szCs w:val="21"/>
                    </w:rPr>
                    <w:t>入湛江市赤坎水质净化厂</w:t>
                  </w:r>
                  <w:r>
                    <w:rPr>
                      <w:rFonts w:ascii="Times New Roman" w:hAnsi="Times New Roman" w:eastAsia="宋体" w:cs="Times New Roman"/>
                      <w:color w:val="000000" w:themeColor="text1"/>
                      <w:szCs w:val="21"/>
                      <w14:textFill>
                        <w14:solidFill>
                          <w14:schemeClr w14:val="tx1"/>
                        </w14:solidFill>
                      </w14:textFill>
                    </w:rPr>
                    <w:t>处理达标后排放。</w:t>
                  </w:r>
                </w:p>
              </w:tc>
              <w:tc>
                <w:tcPr>
                  <w:tcW w:w="1683" w:type="pct"/>
                  <w:tcBorders>
                    <w:tl2br w:val="nil"/>
                    <w:tr2bl w:val="nil"/>
                  </w:tcBorders>
                  <w:vAlign w:val="center"/>
                </w:tcPr>
                <w:p>
                  <w:pPr>
                    <w:widowControl/>
                    <w:jc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szCs w:val="21"/>
                      <w:lang w:val="en-US" w:eastAsia="zh-CN"/>
                    </w:rPr>
                    <w:t>依托</w:t>
                  </w:r>
                  <w:r>
                    <w:rPr>
                      <w:rFonts w:hint="eastAsia" w:ascii="Times New Roman" w:hAnsi="Times New Roman" w:eastAsia="宋体" w:cs="Times New Roman"/>
                      <w:color w:val="000000"/>
                      <w:szCs w:val="21"/>
                    </w:rPr>
                    <w:t>湛江市养老服务中心设施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542" w:type="pct"/>
                  <w:gridSpan w:val="2"/>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供电</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由湛江市政电网供给</w:t>
                  </w:r>
                </w:p>
              </w:tc>
              <w:tc>
                <w:tcPr>
                  <w:tcW w:w="1683" w:type="pct"/>
                  <w:tcBorders>
                    <w:tl2br w:val="nil"/>
                    <w:tr2bl w:val="nil"/>
                  </w:tcBorders>
                  <w:vAlign w:val="center"/>
                </w:tcPr>
                <w:p>
                  <w:pPr>
                    <w:widowControl/>
                    <w:jc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由湛江市政电网供给</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542" w:type="pct"/>
                  <w:gridSpan w:val="2"/>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电梯</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2部电梯</w:t>
                  </w:r>
                </w:p>
              </w:tc>
              <w:tc>
                <w:tcPr>
                  <w:tcW w:w="1683" w:type="pct"/>
                  <w:tcBorders>
                    <w:tl2br w:val="nil"/>
                    <w:tr2bl w:val="nil"/>
                  </w:tcBorders>
                  <w:vAlign w:val="center"/>
                </w:tcPr>
                <w:p>
                  <w:pPr>
                    <w:widowControl/>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依托</w:t>
                  </w:r>
                  <w:r>
                    <w:rPr>
                      <w:rFonts w:hint="eastAsia" w:ascii="Times New Roman" w:hAnsi="Times New Roman" w:eastAsia="宋体" w:cs="Times New Roman"/>
                      <w:color w:val="000000"/>
                      <w:szCs w:val="21"/>
                    </w:rPr>
                    <w:t>湛江市养老服务中心设施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542" w:type="pct"/>
                  <w:gridSpan w:val="2"/>
                  <w:tcBorders>
                    <w:tl2br w:val="nil"/>
                    <w:tr2bl w:val="nil"/>
                  </w:tcBorders>
                  <w:vAlign w:val="center"/>
                </w:tcPr>
                <w:p>
                  <w:pPr>
                    <w:widowControl/>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配电房、水泵房</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依托湛江市养老服务中心设施</w:t>
                  </w:r>
                </w:p>
              </w:tc>
              <w:tc>
                <w:tcPr>
                  <w:tcW w:w="1683" w:type="pct"/>
                  <w:tcBorders>
                    <w:tl2br w:val="nil"/>
                    <w:tr2bl w:val="nil"/>
                  </w:tcBorders>
                  <w:vAlign w:val="center"/>
                </w:tcPr>
                <w:p>
                  <w:pPr>
                    <w:widowControl/>
                    <w:jc w:val="center"/>
                    <w:rPr>
                      <w:rFonts w:hint="eastAsia"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依托</w:t>
                  </w:r>
                  <w:r>
                    <w:rPr>
                      <w:rFonts w:hint="eastAsia" w:ascii="Times New Roman" w:hAnsi="Times New Roman" w:eastAsia="宋体" w:cs="Times New Roman"/>
                      <w:color w:val="000000"/>
                      <w:szCs w:val="21"/>
                    </w:rPr>
                    <w:t>湛江市养老服务中心设施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542" w:type="pct"/>
                  <w:gridSpan w:val="2"/>
                  <w:tcBorders>
                    <w:tl2br w:val="nil"/>
                    <w:tr2bl w:val="nil"/>
                  </w:tcBorders>
                  <w:vAlign w:val="center"/>
                </w:tcPr>
                <w:p>
                  <w:pPr>
                    <w:widowControl/>
                    <w:jc w:val="center"/>
                    <w:rPr>
                      <w:rFonts w:hint="eastAsia" w:ascii="Times New Roman" w:hAnsi="Times New Roman" w:eastAsia="宋体" w:cs="Times New Roman"/>
                      <w:color w:val="000000"/>
                      <w:szCs w:val="21"/>
                    </w:rPr>
                  </w:pPr>
                  <w:r>
                    <w:rPr>
                      <w:rFonts w:hint="eastAsia"/>
                    </w:rPr>
                    <w:t>备用发电机</w:t>
                  </w:r>
                </w:p>
              </w:tc>
              <w:tc>
                <w:tcPr>
                  <w:tcW w:w="1683" w:type="pct"/>
                  <w:tcBorders>
                    <w:tl2br w:val="nil"/>
                    <w:tr2bl w:val="nil"/>
                  </w:tcBorders>
                  <w:vAlign w:val="center"/>
                </w:tcPr>
                <w:p>
                  <w:pPr>
                    <w:widowControl/>
                    <w:jc w:val="both"/>
                    <w:rPr>
                      <w:rFonts w:hint="eastAsia" w:ascii="Times New Roman" w:hAnsi="Times New Roman" w:eastAsia="宋体" w:cs="Times New Roman"/>
                      <w:color w:val="000000"/>
                      <w:szCs w:val="21"/>
                    </w:rPr>
                  </w:pPr>
                  <w:r>
                    <w:rPr>
                      <w:rFonts w:hint="eastAsia" w:ascii="Times New Roman" w:hAnsi="Times New Roman" w:eastAsia="宋体" w:cs="Times New Roman"/>
                      <w:color w:val="000000"/>
                      <w:szCs w:val="21"/>
                    </w:rPr>
                    <w:t>1台250kW柴油发电机</w:t>
                  </w:r>
                </w:p>
              </w:tc>
              <w:tc>
                <w:tcPr>
                  <w:tcW w:w="1683" w:type="pct"/>
                  <w:tcBorders>
                    <w:tl2br w:val="nil"/>
                    <w:tr2bl w:val="nil"/>
                  </w:tcBorders>
                  <w:vAlign w:val="center"/>
                </w:tcPr>
                <w:p>
                  <w:pPr>
                    <w:widowControl/>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新增</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6"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restar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环保工程</w:t>
                  </w:r>
                </w:p>
              </w:tc>
              <w:tc>
                <w:tcPr>
                  <w:tcW w:w="542" w:type="pct"/>
                  <w:gridSpan w:val="2"/>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废水</w:t>
                  </w:r>
                </w:p>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处理</w:t>
                  </w:r>
                </w:p>
              </w:tc>
              <w:tc>
                <w:tcPr>
                  <w:tcW w:w="1683" w:type="pct"/>
                  <w:tcBorders>
                    <w:tl2br w:val="nil"/>
                    <w:tr2bl w:val="nil"/>
                  </w:tcBorders>
                  <w:vAlign w:val="center"/>
                </w:tcPr>
                <w:p>
                  <w:pPr>
                    <w:widowControl/>
                    <w:jc w:val="both"/>
                    <w:rPr>
                      <w:rFonts w:hint="default"/>
                      <w:lang w:val="en-US" w:eastAsia="zh-CN"/>
                    </w:rPr>
                  </w:pPr>
                  <w:r>
                    <w:rPr>
                      <w:rFonts w:hint="eastAsia"/>
                      <w:lang w:val="en-US" w:eastAsia="zh-CN"/>
                    </w:rPr>
                    <w:t>食堂废水经三级化粪池、隔油池处理后，直排市政管网；</w:t>
                  </w:r>
                </w:p>
                <w:p>
                  <w:pPr>
                    <w:widowControl/>
                    <w:jc w:val="both"/>
                    <w:rPr>
                      <w:rFonts w:hint="eastAsia" w:ascii="Times New Roman" w:hAnsi="Times New Roman" w:eastAsia="宋体" w:cs="Times New Roman"/>
                      <w:bCs/>
                      <w:color w:val="000000"/>
                      <w:szCs w:val="21"/>
                      <w:lang w:val="en-US" w:eastAsia="zh-CN"/>
                    </w:rPr>
                  </w:pPr>
                  <w:r>
                    <w:rPr>
                      <w:rFonts w:hint="eastAsia" w:ascii="Times New Roman" w:hAnsi="Times New Roman" w:eastAsia="宋体" w:cs="Times New Roman"/>
                      <w:color w:val="000000"/>
                      <w:szCs w:val="21"/>
                      <w:lang w:val="en-US" w:eastAsia="zh-CN"/>
                    </w:rPr>
                    <w:t>本项目医疗废水和生活污水</w:t>
                  </w:r>
                  <w:r>
                    <w:rPr>
                      <w:rFonts w:ascii="Times New Roman" w:hAnsi="Times New Roman" w:eastAsia="宋体" w:cs="Times New Roman"/>
                      <w:color w:val="000000"/>
                      <w:szCs w:val="21"/>
                    </w:rPr>
                    <w:t>一个化粪池</w:t>
                  </w:r>
                  <w:r>
                    <w:rPr>
                      <w:rFonts w:hint="eastAsia" w:ascii="Times New Roman" w:hAnsi="Times New Roman" w:eastAsia="宋体" w:cs="Times New Roman"/>
                      <w:color w:val="000000"/>
                      <w:szCs w:val="21"/>
                    </w:rPr>
                    <w:t>（54</w:t>
                  </w: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和</w:t>
                  </w:r>
                  <w:r>
                    <w:rPr>
                      <w:rFonts w:ascii="Times New Roman" w:hAnsi="Times New Roman" w:eastAsia="宋体" w:cs="Times New Roman"/>
                      <w:bCs/>
                      <w:color w:val="000000"/>
                      <w:szCs w:val="21"/>
                    </w:rPr>
                    <w:t>一套160m</w:t>
                  </w:r>
                  <w:r>
                    <w:rPr>
                      <w:rFonts w:ascii="Times New Roman" w:hAnsi="Times New Roman" w:eastAsia="宋体" w:cs="Times New Roman"/>
                      <w:bCs/>
                      <w:color w:val="000000"/>
                      <w:szCs w:val="21"/>
                      <w:vertAlign w:val="superscript"/>
                    </w:rPr>
                    <w:t>3</w:t>
                  </w:r>
                  <w:r>
                    <w:rPr>
                      <w:rFonts w:ascii="Times New Roman" w:hAnsi="Times New Roman" w:eastAsia="宋体" w:cs="Times New Roman"/>
                      <w:bCs/>
                      <w:color w:val="000000"/>
                      <w:szCs w:val="21"/>
                    </w:rPr>
                    <w:t>/d自建</w:t>
                  </w:r>
                  <w:r>
                    <w:rPr>
                      <w:rFonts w:ascii="Times New Roman" w:hAnsi="Times New Roman" w:eastAsia="宋体" w:cs="Times New Roman"/>
                      <w:color w:val="000000"/>
                      <w:szCs w:val="21"/>
                    </w:rPr>
                    <w:t>污水处理站</w:t>
                  </w:r>
                  <w:r>
                    <w:rPr>
                      <w:rFonts w:ascii="Times New Roman" w:hAnsi="Times New Roman" w:eastAsia="宋体" w:cs="Times New Roman"/>
                      <w:bCs/>
                      <w:color w:val="000000"/>
                      <w:szCs w:val="21"/>
                    </w:rPr>
                    <w:t>（“</w:t>
                  </w:r>
                  <w:r>
                    <w:rPr>
                      <w:rFonts w:hint="eastAsia" w:ascii="Times New Roman" w:hAnsi="Times New Roman" w:eastAsia="宋体" w:cs="Times New Roman"/>
                      <w:bCs/>
                      <w:color w:val="000000"/>
                      <w:szCs w:val="21"/>
                    </w:rPr>
                    <w:t>调节池+水解酸化池+接触氧化池+沉淀池+清水消毒池+污泥池</w:t>
                  </w:r>
                  <w:r>
                    <w:rPr>
                      <w:rFonts w:ascii="Times New Roman" w:hAnsi="Times New Roman" w:eastAsia="宋体" w:cs="Times New Roman"/>
                      <w:bCs/>
                      <w:color w:val="000000"/>
                      <w:szCs w:val="21"/>
                    </w:rPr>
                    <w:t>”处理工艺）</w:t>
                  </w:r>
                  <w:r>
                    <w:rPr>
                      <w:rFonts w:hint="eastAsia" w:ascii="Times New Roman" w:hAnsi="Times New Roman" w:eastAsia="宋体" w:cs="Times New Roman"/>
                      <w:bCs/>
                      <w:color w:val="000000"/>
                      <w:szCs w:val="21"/>
                      <w:lang w:eastAsia="zh-CN"/>
                    </w:rPr>
                    <w:t>；</w:t>
                  </w:r>
                  <w:r>
                    <w:rPr>
                      <w:rFonts w:hint="eastAsia" w:ascii="Times New Roman" w:hAnsi="Times New Roman" w:eastAsia="宋体" w:cs="Times New Roman"/>
                      <w:bCs/>
                      <w:color w:val="000000"/>
                      <w:szCs w:val="21"/>
                      <w:lang w:val="en-US" w:eastAsia="zh-CN"/>
                    </w:rPr>
                    <w:t>检验科废水直接排入自建污水处理站。</w:t>
                  </w:r>
                </w:p>
                <w:p>
                  <w:pPr>
                    <w:widowControl/>
                    <w:jc w:val="both"/>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bCs/>
                      <w:color w:val="000000"/>
                      <w:szCs w:val="21"/>
                      <w:highlight w:val="none"/>
                      <w:lang w:val="en-US" w:eastAsia="zh-CN"/>
                    </w:rPr>
                    <w:t>一个应急事故池（36m</w:t>
                  </w:r>
                  <w:r>
                    <w:rPr>
                      <w:rFonts w:hint="eastAsia" w:ascii="Times New Roman" w:hAnsi="Times New Roman" w:eastAsia="宋体" w:cs="Times New Roman"/>
                      <w:bCs/>
                      <w:color w:val="000000"/>
                      <w:szCs w:val="21"/>
                      <w:highlight w:val="none"/>
                      <w:vertAlign w:val="superscript"/>
                      <w:lang w:val="en-US" w:eastAsia="zh-CN"/>
                    </w:rPr>
                    <w:t>3</w:t>
                  </w:r>
                  <w:r>
                    <w:rPr>
                      <w:rFonts w:hint="eastAsia" w:ascii="Times New Roman" w:hAnsi="Times New Roman" w:eastAsia="宋体" w:cs="Times New Roman"/>
                      <w:bCs/>
                      <w:color w:val="000000"/>
                      <w:szCs w:val="21"/>
                      <w:highlight w:val="none"/>
                      <w:lang w:val="en-US" w:eastAsia="zh-CN"/>
                    </w:rPr>
                    <w:t>）。</w:t>
                  </w:r>
                </w:p>
              </w:tc>
              <w:tc>
                <w:tcPr>
                  <w:tcW w:w="1683"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jc w:val="both"/>
                    <w:textAlignment w:val="auto"/>
                    <w:rPr>
                      <w:rFonts w:hint="default"/>
                      <w:lang w:val="en-US" w:eastAsia="zh-CN"/>
                    </w:rPr>
                  </w:pPr>
                  <w:r>
                    <w:rPr>
                      <w:rFonts w:hint="eastAsia"/>
                      <w:sz w:val="21"/>
                      <w:szCs w:val="21"/>
                      <w:lang w:val="en-US" w:eastAsia="zh-CN"/>
                    </w:rPr>
                    <w:t>食堂食堂废水依托</w:t>
                  </w:r>
                  <w:r>
                    <w:rPr>
                      <w:rFonts w:hint="eastAsia"/>
                      <w:sz w:val="21"/>
                      <w:szCs w:val="21"/>
                    </w:rPr>
                    <w:t>湛江市养老服务中心</w:t>
                  </w:r>
                  <w:r>
                    <w:rPr>
                      <w:rFonts w:hint="eastAsia"/>
                      <w:sz w:val="21"/>
                      <w:szCs w:val="21"/>
                      <w:lang w:val="en-US" w:eastAsia="zh-CN"/>
                    </w:rPr>
                    <w:t>的三级化粪池、隔油池进</w:t>
                  </w:r>
                  <w:r>
                    <w:rPr>
                      <w:rFonts w:hint="default" w:ascii="Times New Roman" w:hAnsi="Times New Roman" w:eastAsia="宋体" w:cs="Times New Roman"/>
                      <w:sz w:val="21"/>
                      <w:szCs w:val="21"/>
                      <w:lang w:val="en-US" w:eastAsia="zh-CN"/>
                    </w:rPr>
                    <w:t>行处理；</w:t>
                  </w:r>
                </w:p>
                <w:p>
                  <w:pPr>
                    <w:keepNext w:val="0"/>
                    <w:keepLines w:val="0"/>
                    <w:pageBreakBefore w:val="0"/>
                    <w:widowControl/>
                    <w:kinsoku/>
                    <w:wordWrap/>
                    <w:overflowPunct/>
                    <w:topLinePunct w:val="0"/>
                    <w:autoSpaceDE/>
                    <w:autoSpaceDN/>
                    <w:bidi w:val="0"/>
                    <w:adjustRightInd/>
                    <w:snapToGrid/>
                    <w:jc w:val="both"/>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医院医疗废水及生活污水依托湛江市养老服务中心的自建污水处理站处理达标后，排入湛江市赤坎水质净化厂处理达标后排放。</w:t>
                  </w:r>
                </w:p>
                <w:p>
                  <w:pPr>
                    <w:pStyle w:val="2"/>
                    <w:jc w:val="both"/>
                    <w:rPr>
                      <w:rFonts w:hint="default" w:eastAsiaTheme="minorEastAsia"/>
                      <w:sz w:val="18"/>
                      <w:szCs w:val="18"/>
                      <w:lang w:val="en-US" w:eastAsia="zh-CN"/>
                    </w:rPr>
                  </w:pPr>
                  <w:r>
                    <w:rPr>
                      <w:rFonts w:hint="default" w:ascii="Times New Roman" w:hAnsi="Times New Roman" w:eastAsia="宋体" w:cs="Times New Roman"/>
                      <w:sz w:val="21"/>
                      <w:szCs w:val="21"/>
                      <w:lang w:val="en-US" w:eastAsia="zh-CN"/>
                    </w:rPr>
                    <w:t>新增一个应急事故池（36m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542" w:type="pct"/>
                  <w:gridSpan w:val="2"/>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废气</w:t>
                  </w:r>
                </w:p>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处理</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食堂油烟废气依托湛江市养老服务中心油烟</w:t>
                  </w:r>
                  <w:r>
                    <w:rPr>
                      <w:rFonts w:hint="eastAsia" w:ascii="Times New Roman" w:hAnsi="Times New Roman" w:eastAsia="宋体" w:cs="Times New Roman"/>
                      <w:color w:val="000000"/>
                      <w:szCs w:val="21"/>
                      <w:lang w:val="en-US" w:eastAsia="zh-CN"/>
                    </w:rPr>
                    <w:t>净化器</w:t>
                  </w:r>
                  <w:r>
                    <w:rPr>
                      <w:rFonts w:hint="eastAsia" w:ascii="Times New Roman" w:hAnsi="Times New Roman" w:eastAsia="宋体" w:cs="Times New Roman"/>
                      <w:color w:val="000000"/>
                      <w:szCs w:val="21"/>
                    </w:rPr>
                    <w:t>处理；院内各处设紫外线消毒灯进行消毒；污水站各池体均被密闭，以防臭气外逸</w:t>
                  </w:r>
                  <w:r>
                    <w:rPr>
                      <w:rFonts w:hint="eastAsia" w:ascii="Times New Roman" w:hAnsi="Times New Roman" w:eastAsia="宋体" w:cs="Times New Roman"/>
                      <w:color w:val="000000"/>
                      <w:szCs w:val="21"/>
                      <w:lang w:eastAsia="zh-CN"/>
                    </w:rPr>
                    <w:t>，投放除臭剂</w:t>
                  </w:r>
                  <w:r>
                    <w:rPr>
                      <w:rFonts w:hint="eastAsia" w:ascii="Times New Roman" w:hAnsi="Times New Roman" w:eastAsia="宋体" w:cs="Times New Roman"/>
                      <w:color w:val="000000"/>
                      <w:szCs w:val="21"/>
                    </w:rPr>
                    <w:t>。</w:t>
                  </w:r>
                </w:p>
              </w:tc>
              <w:tc>
                <w:tcPr>
                  <w:tcW w:w="1683" w:type="pct"/>
                  <w:tcBorders>
                    <w:tl2br w:val="nil"/>
                    <w:tr2bl w:val="nil"/>
                  </w:tcBorders>
                  <w:vAlign w:val="center"/>
                </w:tcPr>
                <w:p>
                  <w:pPr>
                    <w:widowControl/>
                    <w:jc w:val="center"/>
                    <w:rPr>
                      <w:rFonts w:hint="eastAsia" w:ascii="Times New Roman" w:hAnsi="Times New Roman" w:eastAsia="宋体" w:cs="Times New Roman"/>
                      <w:color w:val="000000"/>
                      <w:sz w:val="18"/>
                      <w:szCs w:val="18"/>
                    </w:rPr>
                  </w:pPr>
                  <w:r>
                    <w:rPr>
                      <w:rFonts w:hint="eastAsia" w:ascii="Times New Roman" w:hAnsi="Times New Roman" w:eastAsia="宋体" w:cs="Times New Roman"/>
                      <w:color w:val="000000"/>
                      <w:sz w:val="21"/>
                      <w:szCs w:val="21"/>
                      <w:lang w:val="en-US" w:eastAsia="zh-CN"/>
                    </w:rPr>
                    <w:t>依托</w:t>
                  </w:r>
                  <w:r>
                    <w:rPr>
                      <w:rFonts w:hint="eastAsia" w:ascii="Times New Roman" w:hAnsi="Times New Roman" w:eastAsia="宋体" w:cs="Times New Roman"/>
                      <w:color w:val="000000"/>
                      <w:sz w:val="21"/>
                      <w:szCs w:val="21"/>
                    </w:rPr>
                    <w:t>湛江市养老服务中心设施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542" w:type="pct"/>
                  <w:gridSpan w:val="2"/>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固废</w:t>
                  </w:r>
                </w:p>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处理</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公寓大楼一层有一个医疗废物暂存间</w:t>
                  </w:r>
                  <w:r>
                    <w:rPr>
                      <w:rFonts w:hint="eastAsia" w:ascii="Times New Roman" w:hAnsi="Times New Roman" w:eastAsia="宋体" w:cs="Times New Roman"/>
                      <w:color w:val="000000"/>
                      <w:szCs w:val="21"/>
                      <w:lang w:eastAsia="zh-CN"/>
                    </w:rPr>
                    <w:t>（</w:t>
                  </w:r>
                  <w:r>
                    <w:rPr>
                      <w:rFonts w:hint="eastAsia" w:ascii="Times New Roman" w:hAnsi="Times New Roman" w:eastAsia="宋体" w:cs="Times New Roman"/>
                      <w:color w:val="000000"/>
                      <w:szCs w:val="21"/>
                      <w:lang w:val="en-US" w:eastAsia="zh-CN"/>
                    </w:rPr>
                    <w:t>10m</w:t>
                  </w:r>
                  <w:r>
                    <w:rPr>
                      <w:rFonts w:hint="eastAsia" w:ascii="Times New Roman" w:hAnsi="Times New Roman" w:eastAsia="宋体" w:cs="Times New Roman"/>
                      <w:color w:val="000000"/>
                      <w:szCs w:val="21"/>
                      <w:vertAlign w:val="superscript"/>
                      <w:lang w:val="en-US" w:eastAsia="zh-CN"/>
                    </w:rPr>
                    <w:t>2</w:t>
                  </w:r>
                  <w:r>
                    <w:rPr>
                      <w:rFonts w:hint="eastAsia" w:ascii="Times New Roman" w:hAnsi="Times New Roman" w:eastAsia="宋体" w:cs="Times New Roman"/>
                      <w:color w:val="000000"/>
                      <w:szCs w:val="21"/>
                      <w:lang w:eastAsia="zh-CN"/>
                    </w:rPr>
                    <w:t>）</w:t>
                  </w:r>
                  <w:r>
                    <w:rPr>
                      <w:rFonts w:ascii="Times New Roman" w:hAnsi="Times New Roman" w:eastAsia="宋体" w:cs="Times New Roman"/>
                      <w:color w:val="000000"/>
                      <w:szCs w:val="21"/>
                    </w:rPr>
                    <w:t>，污水处理剩余污泥</w:t>
                  </w:r>
                  <w:r>
                    <w:rPr>
                      <w:rFonts w:hint="eastAsia" w:ascii="Times New Roman" w:hAnsi="Times New Roman" w:eastAsia="宋体" w:cs="Times New Roman"/>
                      <w:color w:val="000000"/>
                      <w:szCs w:val="21"/>
                      <w:lang w:eastAsia="zh-CN"/>
                    </w:rPr>
                    <w:t>，</w:t>
                  </w:r>
                  <w:r>
                    <w:rPr>
                      <w:rFonts w:hint="eastAsia" w:ascii="Times New Roman" w:hAnsi="Times New Roman" w:eastAsia="宋体" w:cs="Times New Roman"/>
                      <w:color w:val="000000"/>
                      <w:szCs w:val="21"/>
                    </w:rPr>
                    <w:t>向污泥中投加石灰（15g/L污泥），并搅拌均匀，进行消毒处理。经消毒后的污泥，委托有资质的单位进行处理</w:t>
                  </w:r>
                  <w:r>
                    <w:rPr>
                      <w:rFonts w:ascii="Times New Roman" w:hAnsi="Times New Roman" w:eastAsia="宋体" w:cs="Times New Roman"/>
                      <w:color w:val="000000"/>
                      <w:szCs w:val="21"/>
                    </w:rPr>
                    <w:t>。</w:t>
                  </w:r>
                </w:p>
              </w:tc>
              <w:tc>
                <w:tcPr>
                  <w:tcW w:w="1683" w:type="pct"/>
                  <w:tcBorders>
                    <w:tl2br w:val="nil"/>
                    <w:tr2bl w:val="nil"/>
                  </w:tcBorders>
                  <w:vAlign w:val="center"/>
                </w:tcPr>
                <w:p>
                  <w:pPr>
                    <w:widowControl/>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新增</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542" w:type="pct"/>
                  <w:gridSpan w:val="2"/>
                  <w:vMerge w:val="restar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噪声</w:t>
                  </w:r>
                </w:p>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处理</w:t>
                  </w: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空调主机位置统一按规范设计，选用低噪型号空调机，采用隔音、防震、减震等降噪措施</w:t>
                  </w:r>
                </w:p>
              </w:tc>
              <w:tc>
                <w:tcPr>
                  <w:tcW w:w="1683" w:type="pct"/>
                  <w:tcBorders>
                    <w:tl2br w:val="nil"/>
                    <w:tr2bl w:val="nil"/>
                  </w:tcBorders>
                  <w:vAlign w:val="center"/>
                </w:tcPr>
                <w:p>
                  <w:pPr>
                    <w:widowControl/>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新增</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43" w:hRule="atLeast"/>
                <w:jc w:val="center"/>
              </w:trPr>
              <w:tc>
                <w:tcPr>
                  <w:tcW w:w="271" w:type="pct"/>
                  <w:vMerge w:val="continue"/>
                  <w:tcBorders>
                    <w:tl2br w:val="nil"/>
                    <w:tr2bl w:val="nil"/>
                  </w:tcBorders>
                  <w:vAlign w:val="center"/>
                </w:tcPr>
                <w:p>
                  <w:pPr>
                    <w:widowControl/>
                    <w:jc w:val="center"/>
                    <w:rPr>
                      <w:rFonts w:ascii="Times New Roman" w:hAnsi="Times New Roman" w:eastAsia="宋体" w:cs="Times New Roman"/>
                      <w:b/>
                      <w:bCs/>
                      <w:color w:val="000000"/>
                      <w:szCs w:val="21"/>
                    </w:rPr>
                  </w:pPr>
                </w:p>
              </w:tc>
              <w:tc>
                <w:tcPr>
                  <w:tcW w:w="820" w:type="pct"/>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542" w:type="pct"/>
                  <w:gridSpan w:val="2"/>
                  <w:vMerge w:val="continue"/>
                  <w:tcBorders>
                    <w:tl2br w:val="nil"/>
                    <w:tr2bl w:val="nil"/>
                  </w:tcBorders>
                  <w:vAlign w:val="center"/>
                </w:tcPr>
                <w:p>
                  <w:pPr>
                    <w:widowControl/>
                    <w:jc w:val="center"/>
                    <w:rPr>
                      <w:rFonts w:ascii="Times New Roman" w:hAnsi="Times New Roman" w:eastAsia="宋体" w:cs="Times New Roman"/>
                      <w:color w:val="000000"/>
                      <w:szCs w:val="21"/>
                    </w:rPr>
                  </w:pPr>
                </w:p>
              </w:tc>
              <w:tc>
                <w:tcPr>
                  <w:tcW w:w="1683" w:type="pct"/>
                  <w:tcBorders>
                    <w:tl2br w:val="nil"/>
                    <w:tr2bl w:val="nil"/>
                  </w:tcBorders>
                  <w:vAlign w:val="center"/>
                </w:tcPr>
                <w:p>
                  <w:pPr>
                    <w:widowControl/>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选用低噪音、振动小、质量较好的优质品牌电梯并采用隔音、防震、减震等降噪措施，电梯房按照良好隔音效果装修</w:t>
                  </w:r>
                </w:p>
              </w:tc>
              <w:tc>
                <w:tcPr>
                  <w:tcW w:w="1683" w:type="pct"/>
                  <w:tcBorders>
                    <w:tl2br w:val="nil"/>
                    <w:tr2bl w:val="nil"/>
                  </w:tcBorders>
                  <w:vAlign w:val="center"/>
                </w:tcPr>
                <w:p>
                  <w:pPr>
                    <w:widowControl/>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依托</w:t>
                  </w:r>
                  <w:r>
                    <w:rPr>
                      <w:rFonts w:hint="eastAsia" w:ascii="Times New Roman" w:hAnsi="Times New Roman" w:eastAsia="宋体" w:cs="Times New Roman"/>
                      <w:color w:val="000000"/>
                      <w:szCs w:val="21"/>
                    </w:rPr>
                    <w:t>湛江市养老服务中心设施</w:t>
                  </w:r>
                </w:p>
              </w:tc>
            </w:tr>
          </w:tbl>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ascii="Times New Roman" w:hAnsi="Times New Roman" w:eastAsia="宋体" w:cs="Times New Roman"/>
                <w:b/>
                <w:bCs/>
                <w:color w:val="000000"/>
                <w:sz w:val="24"/>
              </w:rPr>
            </w:pPr>
            <w:r>
              <w:rPr>
                <w:rFonts w:ascii="Times New Roman" w:hAnsi="Times New Roman" w:eastAsia="宋体" w:cs="Times New Roman"/>
                <w:b/>
                <w:bCs/>
                <w:color w:val="000000"/>
                <w:sz w:val="24"/>
              </w:rPr>
              <w:t>二、项目原辅材料用量</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表2-3项目常用化学品消耗量一览表</w:t>
            </w:r>
          </w:p>
          <w:tbl>
            <w:tblPr>
              <w:tblStyle w:val="2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340"/>
              <w:gridCol w:w="2269"/>
              <w:gridCol w:w="1208"/>
              <w:gridCol w:w="1211"/>
              <w:gridCol w:w="182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853"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lang w:eastAsia="en-US"/>
                    </w:rPr>
                  </w:pPr>
                  <w:r>
                    <w:rPr>
                      <w:rFonts w:ascii="Times New Roman" w:hAnsi="Times New Roman" w:eastAsia="宋体" w:cs="Times New Roman"/>
                      <w:color w:val="000000"/>
                      <w:szCs w:val="21"/>
                      <w:lang w:eastAsia="en-US"/>
                    </w:rPr>
                    <w:t>名称</w:t>
                  </w:r>
                </w:p>
              </w:tc>
              <w:tc>
                <w:tcPr>
                  <w:tcW w:w="1444"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lang w:eastAsia="en-US"/>
                    </w:rPr>
                  </w:pPr>
                  <w:r>
                    <w:rPr>
                      <w:rFonts w:ascii="Times New Roman" w:hAnsi="Times New Roman" w:eastAsia="宋体" w:cs="Times New Roman"/>
                      <w:color w:val="000000"/>
                      <w:szCs w:val="21"/>
                      <w:lang w:eastAsia="en-US"/>
                    </w:rPr>
                    <w:t>作用</w:t>
                  </w:r>
                </w:p>
              </w:tc>
              <w:tc>
                <w:tcPr>
                  <w:tcW w:w="769"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lang w:eastAsia="en-US"/>
                    </w:rPr>
                  </w:pPr>
                  <w:r>
                    <w:rPr>
                      <w:rFonts w:ascii="Times New Roman" w:hAnsi="Times New Roman" w:eastAsia="宋体" w:cs="Times New Roman"/>
                      <w:color w:val="000000"/>
                      <w:szCs w:val="21"/>
                      <w:lang w:eastAsia="en-US"/>
                    </w:rPr>
                    <w:t>规格</w:t>
                  </w:r>
                </w:p>
              </w:tc>
              <w:tc>
                <w:tcPr>
                  <w:tcW w:w="771"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年用量</w:t>
                  </w:r>
                </w:p>
              </w:tc>
              <w:tc>
                <w:tcPr>
                  <w:tcW w:w="1161"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院内最大存储量（t）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92" w:hRule="atLeast"/>
                <w:jc w:val="center"/>
              </w:trPr>
              <w:tc>
                <w:tcPr>
                  <w:tcW w:w="853"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巴氏消毒液</w:t>
                  </w:r>
                </w:p>
              </w:tc>
              <w:tc>
                <w:tcPr>
                  <w:tcW w:w="1444"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环境和物体表面消毒</w:t>
                  </w:r>
                </w:p>
              </w:tc>
              <w:tc>
                <w:tcPr>
                  <w:tcW w:w="769"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12公升/箱</w:t>
                  </w:r>
                </w:p>
              </w:tc>
              <w:tc>
                <w:tcPr>
                  <w:tcW w:w="771"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20箱</w:t>
                  </w:r>
                </w:p>
              </w:tc>
              <w:tc>
                <w:tcPr>
                  <w:tcW w:w="1161"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0.048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2" w:hRule="atLeast"/>
                <w:jc w:val="center"/>
              </w:trPr>
              <w:tc>
                <w:tcPr>
                  <w:tcW w:w="853"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乙醇</w:t>
                  </w:r>
                </w:p>
              </w:tc>
              <w:tc>
                <w:tcPr>
                  <w:tcW w:w="1444"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器械浸泡消毒用</w:t>
                  </w:r>
                </w:p>
              </w:tc>
              <w:tc>
                <w:tcPr>
                  <w:tcW w:w="769"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500ml/瓶</w:t>
                  </w:r>
                </w:p>
              </w:tc>
              <w:tc>
                <w:tcPr>
                  <w:tcW w:w="771"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600瓶</w:t>
                  </w:r>
                </w:p>
              </w:tc>
              <w:tc>
                <w:tcPr>
                  <w:tcW w:w="1161"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0.1275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7" w:hRule="atLeast"/>
                <w:jc w:val="center"/>
              </w:trPr>
              <w:tc>
                <w:tcPr>
                  <w:tcW w:w="853"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次氯酸钠</w:t>
                  </w:r>
                </w:p>
              </w:tc>
              <w:tc>
                <w:tcPr>
                  <w:tcW w:w="1444"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消毒</w:t>
                  </w:r>
                </w:p>
              </w:tc>
              <w:tc>
                <w:tcPr>
                  <w:tcW w:w="769"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771"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1000kg</w:t>
                  </w:r>
                </w:p>
              </w:tc>
              <w:tc>
                <w:tcPr>
                  <w:tcW w:w="1161"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7" w:hRule="atLeast"/>
                <w:jc w:val="center"/>
              </w:trPr>
              <w:tc>
                <w:tcPr>
                  <w:tcW w:w="853"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柴油</w:t>
                  </w:r>
                </w:p>
              </w:tc>
              <w:tc>
                <w:tcPr>
                  <w:tcW w:w="1444"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备用发电机燃料</w:t>
                  </w:r>
                </w:p>
              </w:tc>
              <w:tc>
                <w:tcPr>
                  <w:tcW w:w="769"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771"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0.478t</w:t>
                  </w:r>
                </w:p>
              </w:tc>
              <w:tc>
                <w:tcPr>
                  <w:tcW w:w="1161" w:type="pct"/>
                  <w:tcBorders>
                    <w:tl2br w:val="nil"/>
                    <w:tr2bl w:val="nil"/>
                  </w:tcBorders>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0.478</w:t>
                  </w:r>
                </w:p>
              </w:tc>
            </w:tr>
          </w:tbl>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表2-4项目主要原辅材料理化性质及功能一览表</w:t>
            </w:r>
          </w:p>
          <w:tbl>
            <w:tblPr>
              <w:tblStyle w:val="29"/>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1200"/>
              <w:gridCol w:w="6655"/>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764" w:type="pct"/>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lang w:eastAsia="en-US"/>
                    </w:rPr>
                  </w:pPr>
                  <w:r>
                    <w:rPr>
                      <w:rFonts w:ascii="Times New Roman" w:hAnsi="Times New Roman" w:eastAsia="宋体" w:cs="Times New Roman"/>
                      <w:color w:val="000000"/>
                      <w:szCs w:val="21"/>
                      <w:lang w:eastAsia="en-US"/>
                    </w:rPr>
                    <w:t>名称</w:t>
                  </w:r>
                </w:p>
              </w:tc>
              <w:tc>
                <w:tcPr>
                  <w:tcW w:w="4235" w:type="pct"/>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lang w:eastAsia="en-US"/>
                    </w:rPr>
                  </w:pPr>
                  <w:r>
                    <w:rPr>
                      <w:rFonts w:ascii="Times New Roman" w:hAnsi="Times New Roman" w:eastAsia="宋体" w:cs="Times New Roman"/>
                      <w:color w:val="000000"/>
                      <w:szCs w:val="21"/>
                    </w:rPr>
                    <w:t>理化性质及功能</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897" w:hRule="atLeast"/>
                <w:jc w:val="center"/>
              </w:trPr>
              <w:tc>
                <w:tcPr>
                  <w:tcW w:w="764" w:type="pct"/>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巴氏消毒液</w:t>
                  </w:r>
                </w:p>
              </w:tc>
              <w:tc>
                <w:tcPr>
                  <w:tcW w:w="4235" w:type="pct"/>
                  <w:tcMar>
                    <w:top w:w="0" w:type="dxa"/>
                    <w:left w:w="108" w:type="dxa"/>
                    <w:bottom w:w="0" w:type="dxa"/>
                    <w:right w:w="108" w:type="dxa"/>
                  </w:tcMar>
                  <w:vAlign w:val="center"/>
                </w:tcPr>
                <w:p>
                  <w:pPr>
                    <w:adjustRightInd w:val="0"/>
                    <w:snapToGrid w:val="0"/>
                    <w:ind w:firstLine="420" w:firstLineChars="200"/>
                    <w:rPr>
                      <w:rFonts w:ascii="Times New Roman" w:hAnsi="Times New Roman" w:eastAsia="宋体" w:cs="Times New Roman"/>
                      <w:color w:val="000000"/>
                      <w:szCs w:val="21"/>
                    </w:rPr>
                  </w:pPr>
                  <w:r>
                    <w:rPr>
                      <w:rFonts w:ascii="Times New Roman" w:hAnsi="Times New Roman" w:eastAsia="宋体" w:cs="Times New Roman"/>
                      <w:color w:val="000000"/>
                      <w:szCs w:val="21"/>
                    </w:rPr>
                    <w:t>84消毒液（Ⅱ型）含氯量（5.0%）是主要用于环境和物体表面消毒的含氯消毒剂，含有强力去污成份，可杀灭大肠杆菌，适用于家庭，宾馆，医院，饭店及其他公共场所的物体表面消毒。</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897" w:hRule="atLeast"/>
                <w:jc w:val="center"/>
              </w:trPr>
              <w:tc>
                <w:tcPr>
                  <w:tcW w:w="764" w:type="pct"/>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lang w:eastAsia="en-US"/>
                    </w:rPr>
                    <w:t>乙醇</w:t>
                  </w:r>
                </w:p>
              </w:tc>
              <w:tc>
                <w:tcPr>
                  <w:tcW w:w="4235" w:type="pct"/>
                  <w:tcMar>
                    <w:top w:w="0" w:type="dxa"/>
                    <w:left w:w="108" w:type="dxa"/>
                    <w:bottom w:w="0" w:type="dxa"/>
                    <w:right w:w="108" w:type="dxa"/>
                  </w:tcMar>
                  <w:vAlign w:val="center"/>
                </w:tcPr>
                <w:p>
                  <w:pPr>
                    <w:adjustRightInd w:val="0"/>
                    <w:snapToGrid w:val="0"/>
                    <w:ind w:firstLine="420" w:firstLineChars="200"/>
                    <w:rPr>
                      <w:rFonts w:ascii="Times New Roman" w:hAnsi="Times New Roman" w:eastAsia="宋体" w:cs="Times New Roman"/>
                      <w:color w:val="000000"/>
                      <w:szCs w:val="21"/>
                    </w:rPr>
                  </w:pPr>
                  <w:r>
                    <w:rPr>
                      <w:rFonts w:ascii="Times New Roman" w:hAnsi="Times New Roman" w:eastAsia="宋体" w:cs="Times New Roman"/>
                      <w:color w:val="000000"/>
                      <w:szCs w:val="21"/>
                    </w:rPr>
                    <w:t>无色透明的液体，有特殊香味，易挥发，酒精含量75%。液体密度0.789g/cm³，气体密度为：1.59kg/m³，相对密度：0.816，沸点是：78.4℃，熔点是-114.3℃。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1971" w:hRule="atLeast"/>
                <w:jc w:val="center"/>
              </w:trPr>
              <w:tc>
                <w:tcPr>
                  <w:tcW w:w="764" w:type="pct"/>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次氯酸钠</w:t>
                  </w:r>
                </w:p>
              </w:tc>
              <w:tc>
                <w:tcPr>
                  <w:tcW w:w="4235" w:type="pct"/>
                  <w:tcMar>
                    <w:top w:w="0" w:type="dxa"/>
                    <w:left w:w="108" w:type="dxa"/>
                    <w:bottom w:w="0" w:type="dxa"/>
                    <w:right w:w="108" w:type="dxa"/>
                  </w:tcMar>
                  <w:vAlign w:val="center"/>
                </w:tcPr>
                <w:p>
                  <w:pPr>
                    <w:adjustRightInd w:val="0"/>
                    <w:snapToGrid w:val="0"/>
                    <w:ind w:firstLine="420" w:firstLineChars="200"/>
                    <w:rPr>
                      <w:rFonts w:ascii="Times New Roman" w:hAnsi="Times New Roman" w:eastAsia="宋体" w:cs="Times New Roman"/>
                      <w:color w:val="000000"/>
                      <w:szCs w:val="21"/>
                    </w:rPr>
                  </w:pPr>
                  <w:r>
                    <w:rPr>
                      <w:rFonts w:ascii="Times New Roman" w:hAnsi="Times New Roman" w:eastAsia="宋体" w:cs="Times New Roman"/>
                      <w:color w:val="000000"/>
                      <w:szCs w:val="21"/>
                    </w:rPr>
                    <w:t>是一种无机物，化学式为NaClO，是最普通的家庭洗涤中的“氯”漂白剂。其他类似的漂白剂有次氯酸钾、次氯酸锂或次氯酸钙，次溴酸钠或次碘酸钠、含氯的氧化物溶液，氯化的磷酸三钠、三氯异氰尿酸钠或钾等，但在家庭洗涤中通常不使用。通常认为漂白性源于其较强的氧化性。漂白剂是能破坏发色体系或产生一个助色基团的变体。经常用手接触本品的工人，手掌大量出汗，指甲变薄，毛发脱落。本品有致敏作用。本品与盐酸混合放出的氯气有可能引起中毒。</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1936" w:hRule="atLeast"/>
                <w:jc w:val="center"/>
              </w:trPr>
              <w:tc>
                <w:tcPr>
                  <w:tcW w:w="764" w:type="pct"/>
                  <w:tcMar>
                    <w:top w:w="0" w:type="dxa"/>
                    <w:left w:w="108" w:type="dxa"/>
                    <w:bottom w:w="0" w:type="dxa"/>
                    <w:right w:w="108"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柴油</w:t>
                  </w:r>
                </w:p>
              </w:tc>
              <w:tc>
                <w:tcPr>
                  <w:tcW w:w="4235" w:type="pct"/>
                  <w:tcMar>
                    <w:top w:w="0" w:type="dxa"/>
                    <w:left w:w="108" w:type="dxa"/>
                    <w:bottom w:w="0" w:type="dxa"/>
                    <w:right w:w="108" w:type="dxa"/>
                  </w:tcMar>
                  <w:vAlign w:val="center"/>
                </w:tcPr>
                <w:p>
                  <w:pPr>
                    <w:adjustRightInd w:val="0"/>
                    <w:snapToGrid w:val="0"/>
                    <w:ind w:firstLine="420" w:firstLineChars="200"/>
                    <w:rPr>
                      <w:rFonts w:ascii="Times New Roman" w:hAnsi="Times New Roman" w:eastAsia="宋体" w:cs="Times New Roman"/>
                      <w:color w:val="000000"/>
                      <w:szCs w:val="21"/>
                    </w:rPr>
                  </w:pPr>
                  <w:r>
                    <w:rPr>
                      <w:rFonts w:ascii="Times New Roman" w:hAnsi="Times New Roman" w:eastAsia="宋体" w:cs="Times New Roman"/>
                      <w:color w:val="000000"/>
                      <w:szCs w:val="21"/>
                    </w:rPr>
                    <w:t>中文名：柴油，外观与性状：稍有粘性的棕色液体，熔点（℃）：-18，引燃温度（℃）：257，引燃温度（℃）：257，燃烧性：易燃，闪点（℃）：38，燃爆危险：易燃、具刺激性、高闪点易燃液体，燃烧分解产物：一氧化碳、二氧化碳。健康危害：皮肤接触可为主要吸收途径，可致急性肾脏损害；柴油可引起接触性皮炎、油性痤疮；吸入其雾滴或液体呛入可引起吸入性肺炎；能经胎盘进入胎儿血中；柴油废气可引起眼、鼻刺激症状，头晕及头痛。</w:t>
                  </w:r>
                </w:p>
              </w:tc>
            </w:tr>
          </w:tbl>
          <w:p>
            <w:pPr>
              <w:spacing w:line="360" w:lineRule="auto"/>
              <w:jc w:val="center"/>
              <w:rPr>
                <w:rFonts w:ascii="Times New Roman" w:hAnsi="Times New Roman" w:eastAsia="宋体" w:cs="Times New Roman"/>
                <w:b/>
                <w:bCs/>
                <w:color w:val="000000"/>
                <w:sz w:val="24"/>
              </w:rPr>
            </w:pPr>
            <w:r>
              <w:rPr>
                <w:rFonts w:hint="eastAsia" w:ascii="Times New Roman" w:hAnsi="Times New Roman" w:eastAsia="宋体" w:cs="Times New Roman"/>
                <w:b/>
                <w:bCs/>
                <w:color w:val="000000"/>
                <w:sz w:val="24"/>
              </w:rPr>
              <w:t>表2-5 检验科年用试剂量</w:t>
            </w:r>
          </w:p>
          <w:tbl>
            <w:tblPr>
              <w:tblStyle w:val="29"/>
              <w:tblW w:w="4996" w:type="pct"/>
              <w:tblInd w:w="0" w:type="dxa"/>
              <w:tblLayout w:type="autofit"/>
              <w:tblCellMar>
                <w:top w:w="0" w:type="dxa"/>
                <w:left w:w="108" w:type="dxa"/>
                <w:bottom w:w="0" w:type="dxa"/>
                <w:right w:w="108" w:type="dxa"/>
              </w:tblCellMar>
            </w:tblPr>
            <w:tblGrid>
              <w:gridCol w:w="4434"/>
              <w:gridCol w:w="3415"/>
            </w:tblGrid>
            <w:tr>
              <w:tblPrEx>
                <w:tblCellMar>
                  <w:top w:w="0" w:type="dxa"/>
                  <w:left w:w="108" w:type="dxa"/>
                  <w:bottom w:w="0" w:type="dxa"/>
                  <w:right w:w="108" w:type="dxa"/>
                </w:tblCellMar>
              </w:tblPrEx>
              <w:trPr>
                <w:trHeight w:val="410" w:hRule="atLeast"/>
              </w:trPr>
              <w:tc>
                <w:tcPr>
                  <w:tcW w:w="28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Times New Roman" w:hAnsi="Times New Roman" w:eastAsia="宋体" w:cs="Times New Roman"/>
                      <w:b/>
                      <w:bCs/>
                      <w:szCs w:val="21"/>
                    </w:rPr>
                  </w:pPr>
                  <w:r>
                    <w:rPr>
                      <w:rFonts w:ascii="Times New Roman" w:hAnsi="Times New Roman" w:eastAsia="宋体" w:cs="Times New Roman"/>
                      <w:b/>
                      <w:bCs/>
                      <w:kern w:val="0"/>
                      <w:szCs w:val="21"/>
                      <w:lang w:bidi="ar"/>
                    </w:rPr>
                    <w:t>试剂名称</w:t>
                  </w:r>
                </w:p>
              </w:tc>
              <w:tc>
                <w:tcPr>
                  <w:tcW w:w="21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Times New Roman" w:hAnsi="Times New Roman" w:eastAsia="宋体" w:cs="Times New Roman"/>
                      <w:b/>
                      <w:bCs/>
                      <w:szCs w:val="21"/>
                    </w:rPr>
                  </w:pPr>
                  <w:r>
                    <w:rPr>
                      <w:rFonts w:hint="eastAsia" w:ascii="Times New Roman" w:hAnsi="Times New Roman" w:eastAsia="宋体" w:cs="Times New Roman"/>
                      <w:b/>
                      <w:bCs/>
                      <w:kern w:val="0"/>
                      <w:szCs w:val="21"/>
                      <w:lang w:bidi="ar"/>
                    </w:rPr>
                    <w:t>数量（盒）</w:t>
                  </w:r>
                </w:p>
              </w:tc>
            </w:tr>
            <w:tr>
              <w:tblPrEx>
                <w:tblCellMar>
                  <w:top w:w="0" w:type="dxa"/>
                  <w:left w:w="108" w:type="dxa"/>
                  <w:bottom w:w="0" w:type="dxa"/>
                  <w:right w:w="108" w:type="dxa"/>
                </w:tblCellMar>
              </w:tblPrEx>
              <w:trPr>
                <w:trHeight w:val="387" w:hRule="atLeast"/>
              </w:trPr>
              <w:tc>
                <w:tcPr>
                  <w:tcW w:w="28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Times New Roman" w:hAnsi="Times New Roman" w:eastAsia="宋体" w:cs="Times New Roman"/>
                      <w:b/>
                      <w:bCs/>
                      <w:kern w:val="0"/>
                      <w:szCs w:val="21"/>
                      <w:lang w:bidi="ar"/>
                    </w:rPr>
                  </w:pPr>
                  <w:r>
                    <w:rPr>
                      <w:rFonts w:ascii="Times New Roman" w:hAnsi="Times New Roman" w:eastAsia="宋体" w:cs="Times New Roman"/>
                      <w:kern w:val="0"/>
                      <w:szCs w:val="21"/>
                      <w:lang w:bidi="ar"/>
                    </w:rPr>
                    <w:t>测定试剂盒</w:t>
                  </w:r>
                </w:p>
              </w:tc>
              <w:tc>
                <w:tcPr>
                  <w:tcW w:w="21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Times New Roman" w:hAnsi="Times New Roman" w:eastAsia="宋体" w:cs="Times New Roman"/>
                      <w:kern w:val="0"/>
                      <w:szCs w:val="21"/>
                      <w:lang w:bidi="ar"/>
                    </w:rPr>
                  </w:pPr>
                  <w:r>
                    <w:rPr>
                      <w:rFonts w:hint="eastAsia" w:ascii="Times New Roman" w:hAnsi="Times New Roman" w:eastAsia="宋体" w:cs="Times New Roman"/>
                      <w:kern w:val="0"/>
                      <w:szCs w:val="21"/>
                      <w:lang w:bidi="ar"/>
                    </w:rPr>
                    <w:t>300</w:t>
                  </w:r>
                </w:p>
              </w:tc>
            </w:tr>
          </w:tbl>
          <w:p>
            <w:pPr>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三、本项目主要医疗设备</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表2-</w:t>
            </w:r>
            <w:r>
              <w:rPr>
                <w:rFonts w:hint="eastAsia" w:ascii="Times New Roman" w:hAnsi="Times New Roman" w:eastAsia="宋体" w:cs="Times New Roman"/>
                <w:b/>
                <w:bCs/>
                <w:color w:val="000000"/>
                <w:sz w:val="24"/>
              </w:rPr>
              <w:t>6</w:t>
            </w:r>
            <w:r>
              <w:rPr>
                <w:rFonts w:ascii="Times New Roman" w:hAnsi="Times New Roman" w:eastAsia="宋体" w:cs="Times New Roman"/>
                <w:b/>
                <w:bCs/>
                <w:color w:val="000000"/>
                <w:sz w:val="24"/>
              </w:rPr>
              <w:t>项目主要医疗设备一览表</w:t>
            </w:r>
          </w:p>
          <w:tbl>
            <w:tblPr>
              <w:tblStyle w:val="2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69"/>
              <w:gridCol w:w="3786"/>
              <w:gridCol w:w="259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序号</w:t>
                  </w:r>
                </w:p>
              </w:tc>
              <w:tc>
                <w:tcPr>
                  <w:tcW w:w="2410"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设备名称</w:t>
                  </w:r>
                </w:p>
              </w:tc>
              <w:tc>
                <w:tcPr>
                  <w:tcW w:w="165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现有项目数量（台）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1</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心电图机</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2</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洗胃机</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3</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生化分析仪</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4</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血球计数仪</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5</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恒温培养箱</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6</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电动吸引器</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7</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高压灭菌</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8</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净化过滤系统</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9</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显微镜</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10</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离心机</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11</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呼吸球囊</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12</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X光机</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13</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吸引器</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36" w:type="pct"/>
                  <w:tcBorders>
                    <w:tl2br w:val="nil"/>
                    <w:tr2bl w:val="nil"/>
                  </w:tcBorders>
                  <w:vAlign w:val="center"/>
                </w:tcPr>
                <w:p>
                  <w:pPr>
                    <w:pStyle w:val="37"/>
                    <w:autoSpaceDE/>
                    <w:autoSpaceDN/>
                    <w:adjustRightInd/>
                    <w:textAlignment w:val="auto"/>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14</w:t>
                  </w:r>
                </w:p>
              </w:tc>
              <w:tc>
                <w:tcPr>
                  <w:tcW w:w="241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简易呼吸器</w:t>
                  </w:r>
                </w:p>
              </w:tc>
              <w:tc>
                <w:tcPr>
                  <w:tcW w:w="1653"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bl>
          <w:p>
            <w:pPr>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四、劳动定员和工作制度</w:t>
            </w:r>
          </w:p>
          <w:p>
            <w:pPr>
              <w:pStyle w:val="2"/>
              <w:spacing w:line="360" w:lineRule="auto"/>
              <w:ind w:firstLine="480" w:firstLineChars="200"/>
              <w:rPr>
                <w:rFonts w:ascii="Times New Roman" w:eastAsia="宋体" w:cs="Times New Roman"/>
              </w:rPr>
            </w:pPr>
            <w:r>
              <w:rPr>
                <w:rFonts w:ascii="Times New Roman" w:eastAsia="宋体" w:cs="Times New Roman"/>
              </w:rPr>
              <w:t>现有项目职工38人（医护人员35人，医院后勤职工3人），</w:t>
            </w:r>
            <w:r>
              <w:rPr>
                <w:rFonts w:hint="eastAsia" w:ascii="Times New Roman" w:eastAsia="宋体" w:cs="Times New Roman"/>
              </w:rPr>
              <w:t>职工不在医院住宿</w:t>
            </w:r>
            <w:r>
              <w:rPr>
                <w:rFonts w:hint="eastAsia" w:ascii="Times New Roman" w:eastAsia="宋体" w:cs="Times New Roman"/>
                <w:lang w:eastAsia="zh-CN"/>
              </w:rPr>
              <w:t>，</w:t>
            </w:r>
            <w:r>
              <w:rPr>
                <w:rFonts w:hint="eastAsia" w:ascii="Times New Roman" w:eastAsia="宋体" w:cs="Times New Roman"/>
                <w:lang w:val="en-US" w:eastAsia="zh-CN"/>
              </w:rPr>
              <w:t>职</w:t>
            </w:r>
            <w:r>
              <w:rPr>
                <w:rFonts w:hint="eastAsia" w:ascii="Times New Roman" w:eastAsia="宋体" w:cs="Times New Roman"/>
                <w:lang w:eastAsia="zh-CN"/>
              </w:rPr>
              <w:t>工就餐依托湛江市养老服务中心的员工食堂</w:t>
            </w:r>
            <w:r>
              <w:rPr>
                <w:rFonts w:hint="eastAsia" w:ascii="Times New Roman" w:eastAsia="宋体" w:cs="Times New Roman"/>
              </w:rPr>
              <w:t>。项目</w:t>
            </w:r>
            <w:r>
              <w:rPr>
                <w:rFonts w:ascii="Times New Roman" w:eastAsia="宋体" w:cs="Times New Roman"/>
              </w:rPr>
              <w:t>实行每天3班8小时工作制，每天运营24小时，全年工作365天。</w:t>
            </w:r>
          </w:p>
          <w:p>
            <w:pPr>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五、公共工程</w:t>
            </w:r>
          </w:p>
          <w:p>
            <w:pPr>
              <w:spacing w:line="360" w:lineRule="auto"/>
              <w:ind w:firstLine="48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1、给水</w:t>
            </w:r>
          </w:p>
          <w:p>
            <w:pPr>
              <w:pStyle w:val="2"/>
              <w:spacing w:line="360" w:lineRule="auto"/>
              <w:ind w:firstLine="480" w:firstLineChars="200"/>
              <w:rPr>
                <w:rFonts w:ascii="Times New Roman" w:eastAsia="宋体" w:cs="Times New Roman"/>
              </w:rPr>
            </w:pPr>
            <w:r>
              <w:rPr>
                <w:rFonts w:ascii="Times New Roman" w:eastAsia="宋体" w:cs="Times New Roman"/>
              </w:rPr>
              <w:t>项目供水水源由湛江市政管网供水。项目用水主要为医疗用水（住院病房用水、门诊患者用水、医务人员用水、检验科用水）、生活用水（医院后勤职工用水、员工食堂用水），供水水源能够满足项目的用水需要。参照《综合医院建筑设计规范》（GB51039-2014）和类比同类医院用水量，预计项目用水一览表见表2-</w:t>
            </w:r>
            <w:r>
              <w:rPr>
                <w:rFonts w:hint="eastAsia" w:ascii="Times New Roman" w:eastAsia="宋体" w:cs="Times New Roman"/>
              </w:rPr>
              <w:t>7</w:t>
            </w:r>
            <w:r>
              <w:rPr>
                <w:rFonts w:ascii="Times New Roman" w:eastAsia="宋体" w:cs="Times New Roman"/>
              </w:rPr>
              <w:t>。</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表2-</w:t>
            </w:r>
            <w:r>
              <w:rPr>
                <w:rFonts w:hint="eastAsia" w:ascii="Times New Roman" w:hAnsi="Times New Roman" w:eastAsia="宋体" w:cs="Times New Roman"/>
                <w:b/>
                <w:bCs/>
                <w:color w:val="000000"/>
                <w:sz w:val="24"/>
              </w:rPr>
              <w:t>7</w:t>
            </w:r>
            <w:r>
              <w:rPr>
                <w:rFonts w:ascii="Times New Roman" w:hAnsi="Times New Roman" w:eastAsia="宋体" w:cs="Times New Roman"/>
                <w:b/>
                <w:bCs/>
                <w:color w:val="000000"/>
                <w:sz w:val="24"/>
              </w:rPr>
              <w:t>预计项目用水一览表</w:t>
            </w:r>
          </w:p>
          <w:tbl>
            <w:tblPr>
              <w:tblStyle w:val="2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34"/>
              <w:gridCol w:w="966"/>
              <w:gridCol w:w="1430"/>
              <w:gridCol w:w="979"/>
              <w:gridCol w:w="1015"/>
              <w:gridCol w:w="979"/>
              <w:gridCol w:w="982"/>
              <w:gridCol w:w="106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891" w:type="pct"/>
                  <w:gridSpan w:val="2"/>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用水项目</w:t>
                  </w:r>
                </w:p>
              </w:tc>
              <w:tc>
                <w:tcPr>
                  <w:tcW w:w="910"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用水定额</w:t>
                  </w:r>
                </w:p>
              </w:tc>
              <w:tc>
                <w:tcPr>
                  <w:tcW w:w="623"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项目用水取值</w:t>
                  </w:r>
                </w:p>
              </w:tc>
              <w:tc>
                <w:tcPr>
                  <w:tcW w:w="646"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数量</w:t>
                  </w:r>
                </w:p>
              </w:tc>
              <w:tc>
                <w:tcPr>
                  <w:tcW w:w="1248" w:type="pct"/>
                  <w:gridSpan w:val="2"/>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用水量</w:t>
                  </w:r>
                </w:p>
              </w:tc>
              <w:tc>
                <w:tcPr>
                  <w:tcW w:w="679"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9" w:hRule="atLeast"/>
                <w:jc w:val="center"/>
              </w:trPr>
              <w:tc>
                <w:tcPr>
                  <w:tcW w:w="891" w:type="pct"/>
                  <w:gridSpan w:val="2"/>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910"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623"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646"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623" w:type="pct"/>
                  <w:tcBorders>
                    <w:tl2br w:val="nil"/>
                    <w:tr2bl w:val="nil"/>
                  </w:tcBorders>
                  <w:tcMar>
                    <w:top w:w="0" w:type="dxa"/>
                    <w:left w:w="57" w:type="dxa"/>
                    <w:bottom w:w="0" w:type="dxa"/>
                    <w:right w:w="57" w:type="dxa"/>
                  </w:tcMar>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/d</w:t>
                  </w:r>
                </w:p>
              </w:tc>
              <w:tc>
                <w:tcPr>
                  <w:tcW w:w="625" w:type="pct"/>
                  <w:tcBorders>
                    <w:tl2br w:val="nil"/>
                    <w:tr2bl w:val="nil"/>
                  </w:tcBorders>
                  <w:tcMar>
                    <w:top w:w="0" w:type="dxa"/>
                    <w:left w:w="57" w:type="dxa"/>
                    <w:bottom w:w="0" w:type="dxa"/>
                    <w:right w:w="57" w:type="dxa"/>
                  </w:tcMar>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/a</w:t>
                  </w:r>
                </w:p>
              </w:tc>
              <w:tc>
                <w:tcPr>
                  <w:tcW w:w="679"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6"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医疗用水</w:t>
                  </w:r>
                </w:p>
              </w:tc>
              <w:tc>
                <w:tcPr>
                  <w:tcW w:w="615"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住院病房用水</w:t>
                  </w:r>
                </w:p>
              </w:tc>
              <w:tc>
                <w:tcPr>
                  <w:tcW w:w="910" w:type="pct"/>
                  <w:tcBorders>
                    <w:tl2br w:val="nil"/>
                    <w:tr2bl w:val="nil"/>
                  </w:tcBorders>
                  <w:tcMar>
                    <w:top w:w="0" w:type="dxa"/>
                    <w:left w:w="57" w:type="dxa"/>
                    <w:bottom w:w="0" w:type="dxa"/>
                    <w:right w:w="57" w:type="dxa"/>
                  </w:tcMar>
                  <w:vAlign w:val="center"/>
                </w:tcPr>
                <w:p>
                  <w:pPr>
                    <w:pStyle w:val="38"/>
                    <w:spacing w:after="0" w:line="240" w:lineRule="auto"/>
                    <w:jc w:val="center"/>
                    <w:rPr>
                      <w:rFonts w:ascii="Times New Roman" w:hAnsi="Times New Roman" w:cs="Times New Roman"/>
                      <w:color w:val="000000"/>
                      <w:sz w:val="21"/>
                      <w:szCs w:val="21"/>
                      <w:lang w:val="en-US" w:eastAsia="zh-CN"/>
                    </w:rPr>
                  </w:pPr>
                  <w:r>
                    <w:rPr>
                      <w:rFonts w:ascii="Times New Roman" w:hAnsi="Times New Roman" w:cs="Times New Roman"/>
                      <w:color w:val="000000"/>
                      <w:sz w:val="21"/>
                      <w:szCs w:val="21"/>
                      <w:lang w:val="en-US" w:eastAsia="zh-CN" w:bidi="ar-SA"/>
                    </w:rPr>
                    <w:t>250~</w:t>
                  </w:r>
                  <w:r>
                    <w:rPr>
                      <w:rFonts w:ascii="Times New Roman" w:hAnsi="Times New Roman" w:cs="Times New Roman"/>
                      <w:color w:val="000000"/>
                      <w:sz w:val="21"/>
                      <w:szCs w:val="21"/>
                      <w:lang w:val="en-US" w:eastAsia="en-US" w:bidi="ar-SA"/>
                    </w:rPr>
                    <w:t>400</w:t>
                  </w:r>
                  <w:r>
                    <w:rPr>
                      <w:rFonts w:ascii="Times New Roman" w:hAnsi="Times New Roman" w:cs="Times New Roman"/>
                      <w:color w:val="000000"/>
                      <w:sz w:val="21"/>
                      <w:szCs w:val="21"/>
                      <w:lang w:val="en-US" w:eastAsia="zh-CN" w:bidi="ar-SA"/>
                    </w:rPr>
                    <w:t>L/床</w:t>
                  </w:r>
                  <w:r>
                    <w:rPr>
                      <w:rFonts w:ascii="Times New Roman" w:hAnsi="Times New Roman" w:cs="Times New Roman"/>
                      <w:color w:val="000000"/>
                      <w:sz w:val="21"/>
                      <w:szCs w:val="21"/>
                    </w:rPr>
                    <w:t>·</w:t>
                  </w:r>
                  <w:r>
                    <w:rPr>
                      <w:rFonts w:ascii="Times New Roman" w:hAnsi="Times New Roman" w:cs="Times New Roman"/>
                      <w:color w:val="000000"/>
                      <w:sz w:val="21"/>
                      <w:szCs w:val="21"/>
                      <w:lang w:val="en-US" w:eastAsia="zh-CN"/>
                    </w:rPr>
                    <w:t>d</w:t>
                  </w:r>
                </w:p>
              </w:tc>
              <w:tc>
                <w:tcPr>
                  <w:tcW w:w="623"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325</w:t>
                  </w:r>
                  <w:r>
                    <w:rPr>
                      <w:rFonts w:ascii="Times New Roman" w:hAnsi="Times New Roman" w:eastAsia="宋体" w:cs="Times New Roman"/>
                      <w:color w:val="000000"/>
                      <w:szCs w:val="21"/>
                    </w:rPr>
                    <w:t>L/床·d</w:t>
                  </w:r>
                </w:p>
              </w:tc>
              <w:tc>
                <w:tcPr>
                  <w:tcW w:w="64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50张</w:t>
                  </w:r>
                </w:p>
              </w:tc>
              <w:tc>
                <w:tcPr>
                  <w:tcW w:w="979"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16.25</w:t>
                  </w:r>
                </w:p>
              </w:tc>
              <w:tc>
                <w:tcPr>
                  <w:tcW w:w="982"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5931.3 </w:t>
                  </w:r>
                </w:p>
              </w:tc>
              <w:tc>
                <w:tcPr>
                  <w:tcW w:w="679"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综合医院建筑设计规范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276"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615"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门诊患者用水</w:t>
                  </w:r>
                </w:p>
              </w:tc>
              <w:tc>
                <w:tcPr>
                  <w:tcW w:w="910"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10~15L/人·次</w:t>
                  </w:r>
                </w:p>
              </w:tc>
              <w:tc>
                <w:tcPr>
                  <w:tcW w:w="623"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12.5</w:t>
                  </w:r>
                  <w:r>
                    <w:rPr>
                      <w:rFonts w:ascii="Times New Roman" w:hAnsi="Times New Roman" w:eastAsia="宋体" w:cs="Times New Roman"/>
                      <w:color w:val="000000"/>
                      <w:szCs w:val="21"/>
                    </w:rPr>
                    <w:t>L/人·次</w:t>
                  </w:r>
                </w:p>
              </w:tc>
              <w:tc>
                <w:tcPr>
                  <w:tcW w:w="64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35人</w:t>
                  </w:r>
                </w:p>
              </w:tc>
              <w:tc>
                <w:tcPr>
                  <w:tcW w:w="979"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0.44 </w:t>
                  </w:r>
                </w:p>
              </w:tc>
              <w:tc>
                <w:tcPr>
                  <w:tcW w:w="982"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159.7 </w:t>
                  </w:r>
                </w:p>
              </w:tc>
              <w:tc>
                <w:tcPr>
                  <w:tcW w:w="679"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76"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615"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医务人员用水</w:t>
                  </w:r>
                </w:p>
              </w:tc>
              <w:tc>
                <w:tcPr>
                  <w:tcW w:w="910"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150~250L/人·班</w:t>
                  </w:r>
                </w:p>
              </w:tc>
              <w:tc>
                <w:tcPr>
                  <w:tcW w:w="623"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200</w:t>
                  </w:r>
                  <w:r>
                    <w:rPr>
                      <w:rFonts w:ascii="Times New Roman" w:hAnsi="Times New Roman" w:eastAsia="宋体" w:cs="Times New Roman"/>
                      <w:color w:val="000000"/>
                      <w:szCs w:val="21"/>
                    </w:rPr>
                    <w:t>L/人·班</w:t>
                  </w:r>
                </w:p>
              </w:tc>
              <w:tc>
                <w:tcPr>
                  <w:tcW w:w="64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35人</w:t>
                  </w:r>
                </w:p>
              </w:tc>
              <w:tc>
                <w:tcPr>
                  <w:tcW w:w="979"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7.00 </w:t>
                  </w:r>
                </w:p>
              </w:tc>
              <w:tc>
                <w:tcPr>
                  <w:tcW w:w="982"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2555.0 </w:t>
                  </w:r>
                </w:p>
              </w:tc>
              <w:tc>
                <w:tcPr>
                  <w:tcW w:w="679"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08" w:hRule="atLeast"/>
                <w:jc w:val="center"/>
              </w:trPr>
              <w:tc>
                <w:tcPr>
                  <w:tcW w:w="276"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615"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检验科用水</w:t>
                  </w:r>
                </w:p>
              </w:tc>
              <w:tc>
                <w:tcPr>
                  <w:tcW w:w="910"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623"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64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979"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0.02 </w:t>
                  </w:r>
                </w:p>
              </w:tc>
              <w:tc>
                <w:tcPr>
                  <w:tcW w:w="982"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8.0 </w:t>
                  </w:r>
                </w:p>
              </w:tc>
              <w:tc>
                <w:tcPr>
                  <w:tcW w:w="679"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2" w:hRule="atLeast"/>
                <w:jc w:val="center"/>
              </w:trPr>
              <w:tc>
                <w:tcPr>
                  <w:tcW w:w="276"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生活用水</w:t>
                  </w:r>
                </w:p>
              </w:tc>
              <w:tc>
                <w:tcPr>
                  <w:tcW w:w="615"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医院后勤职工</w:t>
                  </w:r>
                </w:p>
              </w:tc>
              <w:tc>
                <w:tcPr>
                  <w:tcW w:w="910"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80~100L/人·班</w:t>
                  </w:r>
                </w:p>
              </w:tc>
              <w:tc>
                <w:tcPr>
                  <w:tcW w:w="623"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90</w:t>
                  </w:r>
                  <w:r>
                    <w:rPr>
                      <w:rFonts w:ascii="Times New Roman" w:hAnsi="Times New Roman" w:eastAsia="宋体" w:cs="Times New Roman"/>
                      <w:color w:val="000000"/>
                      <w:szCs w:val="21"/>
                    </w:rPr>
                    <w:t>L/人·班</w:t>
                  </w:r>
                </w:p>
              </w:tc>
              <w:tc>
                <w:tcPr>
                  <w:tcW w:w="64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3人</w:t>
                  </w:r>
                </w:p>
              </w:tc>
              <w:tc>
                <w:tcPr>
                  <w:tcW w:w="979"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0.27</w:t>
                  </w:r>
                </w:p>
              </w:tc>
              <w:tc>
                <w:tcPr>
                  <w:tcW w:w="982"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98.6 </w:t>
                  </w:r>
                </w:p>
              </w:tc>
              <w:tc>
                <w:tcPr>
                  <w:tcW w:w="679"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综合医院建筑设计规范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276"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615"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食堂用水</w:t>
                  </w:r>
                </w:p>
              </w:tc>
              <w:tc>
                <w:tcPr>
                  <w:tcW w:w="910"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20~25L/人·次</w:t>
                  </w:r>
                </w:p>
              </w:tc>
              <w:tc>
                <w:tcPr>
                  <w:tcW w:w="623"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22.5</w:t>
                  </w:r>
                  <w:r>
                    <w:rPr>
                      <w:rFonts w:ascii="Times New Roman" w:hAnsi="Times New Roman" w:eastAsia="宋体" w:cs="Times New Roman"/>
                      <w:color w:val="000000"/>
                      <w:szCs w:val="21"/>
                    </w:rPr>
                    <w:t>L/人·次</w:t>
                  </w:r>
                </w:p>
              </w:tc>
              <w:tc>
                <w:tcPr>
                  <w:tcW w:w="64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88人</w:t>
                  </w:r>
                </w:p>
              </w:tc>
              <w:tc>
                <w:tcPr>
                  <w:tcW w:w="979"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1.98</w:t>
                  </w:r>
                </w:p>
              </w:tc>
              <w:tc>
                <w:tcPr>
                  <w:tcW w:w="982"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722.7</w:t>
                  </w:r>
                </w:p>
              </w:tc>
              <w:tc>
                <w:tcPr>
                  <w:tcW w:w="679"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891" w:type="pct"/>
                  <w:gridSpan w:val="2"/>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合计</w:t>
                  </w:r>
                </w:p>
              </w:tc>
              <w:tc>
                <w:tcPr>
                  <w:tcW w:w="910"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623"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64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979"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25.96 </w:t>
                  </w:r>
                </w:p>
              </w:tc>
              <w:tc>
                <w:tcPr>
                  <w:tcW w:w="982"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ascii="Times New Roman" w:hAnsi="Times New Roman" w:eastAsia="宋体" w:cs="Times New Roman"/>
                      <w:szCs w:val="21"/>
                    </w:rPr>
                  </w:pPr>
                  <w:r>
                    <w:rPr>
                      <w:rFonts w:hint="default" w:ascii="Times New Roman" w:hAnsi="Times New Roman" w:eastAsia="宋体" w:cs="Times New Roman"/>
                      <w:i w:val="0"/>
                      <w:iCs w:val="0"/>
                      <w:color w:val="000000"/>
                      <w:kern w:val="0"/>
                      <w:sz w:val="21"/>
                      <w:szCs w:val="21"/>
                      <w:u w:val="none"/>
                      <w:lang w:val="en-US" w:eastAsia="zh-CN" w:bidi="ar"/>
                    </w:rPr>
                    <w:t xml:space="preserve">9475.2 </w:t>
                  </w:r>
                </w:p>
              </w:tc>
              <w:tc>
                <w:tcPr>
                  <w:tcW w:w="679"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r>
          </w:tbl>
          <w:p>
            <w:pPr>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2、排水系统</w:t>
            </w:r>
          </w:p>
          <w:p>
            <w:pPr>
              <w:tabs>
                <w:tab w:val="left" w:pos="3540"/>
              </w:tabs>
              <w:spacing w:line="360" w:lineRule="auto"/>
              <w:ind w:firstLine="480"/>
              <w:rPr>
                <w:rFonts w:ascii="Times New Roman" w:hAnsi="Times New Roman" w:eastAsia="宋体" w:cs="Times New Roman"/>
                <w:color w:val="000000"/>
                <w:sz w:val="24"/>
              </w:rPr>
            </w:pPr>
            <w:r>
              <w:rPr>
                <w:rFonts w:ascii="Times New Roman" w:hAnsi="Times New Roman" w:eastAsia="宋体" w:cs="Times New Roman"/>
                <w:color w:val="000000"/>
                <w:kern w:val="0"/>
                <w:sz w:val="24"/>
              </w:rPr>
              <w:t>本项目排放的污水主要为医疗废水、生活污水，预计项目废水产生一览表见表2-</w:t>
            </w:r>
            <w:r>
              <w:rPr>
                <w:rFonts w:hint="eastAsia" w:ascii="Times New Roman" w:hAnsi="Times New Roman" w:eastAsia="宋体" w:cs="Times New Roman"/>
                <w:color w:val="000000"/>
                <w:kern w:val="0"/>
                <w:sz w:val="24"/>
              </w:rPr>
              <w:t>8</w:t>
            </w:r>
            <w:r>
              <w:rPr>
                <w:rFonts w:ascii="Times New Roman" w:hAnsi="Times New Roman" w:eastAsia="宋体" w:cs="Times New Roman"/>
                <w:color w:val="000000"/>
                <w:kern w:val="0"/>
                <w:sz w:val="24"/>
              </w:rPr>
              <w:t>。</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表2-</w:t>
            </w:r>
            <w:r>
              <w:rPr>
                <w:rFonts w:hint="eastAsia" w:ascii="Times New Roman" w:hAnsi="Times New Roman" w:eastAsia="宋体" w:cs="Times New Roman"/>
                <w:b/>
                <w:bCs/>
                <w:color w:val="000000"/>
                <w:sz w:val="24"/>
              </w:rPr>
              <w:t>8</w:t>
            </w:r>
            <w:r>
              <w:rPr>
                <w:rFonts w:ascii="Times New Roman" w:hAnsi="Times New Roman" w:eastAsia="宋体" w:cs="Times New Roman"/>
                <w:b/>
                <w:bCs/>
                <w:color w:val="000000"/>
                <w:sz w:val="24"/>
              </w:rPr>
              <w:t>项目废水产生情况一览表</w:t>
            </w:r>
          </w:p>
          <w:tbl>
            <w:tblPr>
              <w:tblStyle w:val="2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67"/>
              <w:gridCol w:w="1015"/>
              <w:gridCol w:w="1910"/>
              <w:gridCol w:w="1015"/>
              <w:gridCol w:w="2107"/>
              <w:gridCol w:w="123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765" w:hRule="atLeast"/>
                <w:jc w:val="center"/>
              </w:trPr>
              <w:tc>
                <w:tcPr>
                  <w:tcW w:w="361"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序号</w:t>
                  </w:r>
                </w:p>
              </w:tc>
              <w:tc>
                <w:tcPr>
                  <w:tcW w:w="1862" w:type="pct"/>
                  <w:gridSpan w:val="2"/>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废水类别</w:t>
                  </w:r>
                </w:p>
              </w:tc>
              <w:tc>
                <w:tcPr>
                  <w:tcW w:w="64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产污系数</w:t>
                  </w:r>
                </w:p>
              </w:tc>
              <w:tc>
                <w:tcPr>
                  <w:tcW w:w="1341"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废水产生量（m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/d）</w:t>
                  </w:r>
                </w:p>
              </w:tc>
              <w:tc>
                <w:tcPr>
                  <w:tcW w:w="788"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废水产生量</w:t>
                  </w:r>
                </w:p>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61"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c>
                <w:tcPr>
                  <w:tcW w:w="646"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医疗废水</w:t>
                  </w:r>
                </w:p>
              </w:tc>
              <w:tc>
                <w:tcPr>
                  <w:tcW w:w="121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住院病房废水</w:t>
                  </w:r>
                </w:p>
              </w:tc>
              <w:tc>
                <w:tcPr>
                  <w:tcW w:w="646" w:type="pct"/>
                  <w:tcBorders>
                    <w:tl2br w:val="nil"/>
                    <w:tr2bl w:val="nil"/>
                  </w:tcBorders>
                  <w:tcMar>
                    <w:top w:w="0" w:type="dxa"/>
                    <w:left w:w="57" w:type="dxa"/>
                    <w:bottom w:w="0" w:type="dxa"/>
                    <w:right w:w="57" w:type="dxa"/>
                  </w:tcMar>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w:t>
                  </w:r>
                </w:p>
              </w:tc>
              <w:tc>
                <w:tcPr>
                  <w:tcW w:w="2107"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14.63</w:t>
                  </w:r>
                </w:p>
              </w:tc>
              <w:tc>
                <w:tcPr>
                  <w:tcW w:w="1238"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5338.1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61"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646"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121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门诊患者废水</w:t>
                  </w:r>
                </w:p>
              </w:tc>
              <w:tc>
                <w:tcPr>
                  <w:tcW w:w="646" w:type="pct"/>
                  <w:tcBorders>
                    <w:tl2br w:val="nil"/>
                    <w:tr2bl w:val="nil"/>
                  </w:tcBorders>
                  <w:tcMar>
                    <w:top w:w="0" w:type="dxa"/>
                    <w:left w:w="57" w:type="dxa"/>
                    <w:bottom w:w="0" w:type="dxa"/>
                    <w:right w:w="57" w:type="dxa"/>
                  </w:tcMar>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w:t>
                  </w:r>
                </w:p>
              </w:tc>
              <w:tc>
                <w:tcPr>
                  <w:tcW w:w="2107"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0.39</w:t>
                  </w:r>
                </w:p>
              </w:tc>
              <w:tc>
                <w:tcPr>
                  <w:tcW w:w="1238"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143.7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61"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646"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121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医务人员废水</w:t>
                  </w:r>
                </w:p>
              </w:tc>
              <w:tc>
                <w:tcPr>
                  <w:tcW w:w="646" w:type="pct"/>
                  <w:tcBorders>
                    <w:tl2br w:val="nil"/>
                    <w:tr2bl w:val="nil"/>
                  </w:tcBorders>
                  <w:tcMar>
                    <w:top w:w="0" w:type="dxa"/>
                    <w:left w:w="57" w:type="dxa"/>
                    <w:bottom w:w="0" w:type="dxa"/>
                    <w:right w:w="57" w:type="dxa"/>
                  </w:tcMar>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w:t>
                  </w:r>
                </w:p>
              </w:tc>
              <w:tc>
                <w:tcPr>
                  <w:tcW w:w="2107"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6.30</w:t>
                  </w:r>
                </w:p>
              </w:tc>
              <w:tc>
                <w:tcPr>
                  <w:tcW w:w="1238"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2299.5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61"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646"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121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检验科废水</w:t>
                  </w:r>
                </w:p>
              </w:tc>
              <w:tc>
                <w:tcPr>
                  <w:tcW w:w="646" w:type="pct"/>
                  <w:tcBorders>
                    <w:tl2br w:val="nil"/>
                    <w:tr2bl w:val="nil"/>
                  </w:tcBorders>
                  <w:tcMar>
                    <w:top w:w="0" w:type="dxa"/>
                    <w:left w:w="57" w:type="dxa"/>
                    <w:bottom w:w="0" w:type="dxa"/>
                    <w:right w:w="57" w:type="dxa"/>
                  </w:tcMar>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w:t>
                  </w:r>
                </w:p>
              </w:tc>
              <w:tc>
                <w:tcPr>
                  <w:tcW w:w="2107"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0.02</w:t>
                  </w:r>
                </w:p>
              </w:tc>
              <w:tc>
                <w:tcPr>
                  <w:tcW w:w="1238"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61"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w:t>
                  </w:r>
                </w:p>
              </w:tc>
              <w:tc>
                <w:tcPr>
                  <w:tcW w:w="646" w:type="pct"/>
                  <w:vMerge w:val="restar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生活污水</w:t>
                  </w:r>
                </w:p>
              </w:tc>
              <w:tc>
                <w:tcPr>
                  <w:tcW w:w="121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医院后勤职工废水</w:t>
                  </w:r>
                </w:p>
              </w:tc>
              <w:tc>
                <w:tcPr>
                  <w:tcW w:w="646" w:type="pct"/>
                  <w:tcBorders>
                    <w:tl2br w:val="nil"/>
                    <w:tr2bl w:val="nil"/>
                  </w:tcBorders>
                  <w:tcMar>
                    <w:top w:w="0" w:type="dxa"/>
                    <w:left w:w="57" w:type="dxa"/>
                    <w:bottom w:w="0" w:type="dxa"/>
                    <w:right w:w="57" w:type="dxa"/>
                  </w:tcMar>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w:t>
                  </w:r>
                </w:p>
              </w:tc>
              <w:tc>
                <w:tcPr>
                  <w:tcW w:w="2107"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0.24</w:t>
                  </w:r>
                </w:p>
              </w:tc>
              <w:tc>
                <w:tcPr>
                  <w:tcW w:w="1238"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88.7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61"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646" w:type="pct"/>
                  <w:vMerge w:val="continue"/>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p>
              </w:tc>
              <w:tc>
                <w:tcPr>
                  <w:tcW w:w="1216"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食堂废水</w:t>
                  </w:r>
                </w:p>
              </w:tc>
              <w:tc>
                <w:tcPr>
                  <w:tcW w:w="646" w:type="pct"/>
                  <w:tcBorders>
                    <w:tl2br w:val="nil"/>
                    <w:tr2bl w:val="nil"/>
                  </w:tcBorders>
                  <w:tcMar>
                    <w:top w:w="0" w:type="dxa"/>
                    <w:left w:w="57" w:type="dxa"/>
                    <w:bottom w:w="0" w:type="dxa"/>
                    <w:right w:w="57" w:type="dxa"/>
                  </w:tcMar>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w:t>
                  </w:r>
                </w:p>
              </w:tc>
              <w:tc>
                <w:tcPr>
                  <w:tcW w:w="2107"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1.78</w:t>
                  </w:r>
                </w:p>
              </w:tc>
              <w:tc>
                <w:tcPr>
                  <w:tcW w:w="1238"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650.4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61" w:type="pct"/>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w:t>
                  </w:r>
                </w:p>
              </w:tc>
              <w:tc>
                <w:tcPr>
                  <w:tcW w:w="1862" w:type="pct"/>
                  <w:gridSpan w:val="2"/>
                  <w:tcBorders>
                    <w:tl2br w:val="nil"/>
                    <w:tr2bl w:val="nil"/>
                  </w:tcBorders>
                  <w:tcMar>
                    <w:top w:w="0" w:type="dxa"/>
                    <w:left w:w="57" w:type="dxa"/>
                    <w:bottom w:w="0" w:type="dxa"/>
                    <w:right w:w="57" w:type="dxa"/>
                  </w:tcMar>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合计</w:t>
                  </w:r>
                </w:p>
              </w:tc>
              <w:tc>
                <w:tcPr>
                  <w:tcW w:w="646" w:type="pct"/>
                  <w:tcBorders>
                    <w:tl2br w:val="nil"/>
                    <w:tr2bl w:val="nil"/>
                  </w:tcBorders>
                  <w:tcMar>
                    <w:top w:w="0" w:type="dxa"/>
                    <w:left w:w="57" w:type="dxa"/>
                    <w:bottom w:w="0" w:type="dxa"/>
                    <w:right w:w="57" w:type="dxa"/>
                  </w:tcMar>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2107"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23.36</w:t>
                  </w:r>
                </w:p>
              </w:tc>
              <w:tc>
                <w:tcPr>
                  <w:tcW w:w="1238" w:type="dxa"/>
                  <w:tcBorders>
                    <w:tl2br w:val="nil"/>
                    <w:tr2bl w:val="nil"/>
                  </w:tcBorders>
                  <w:tcMar>
                    <w:top w:w="0" w:type="dxa"/>
                    <w:left w:w="57" w:type="dxa"/>
                    <w:bottom w:w="0" w:type="dxa"/>
                    <w:right w:w="57"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i w:val="0"/>
                      <w:iCs w:val="0"/>
                      <w:color w:val="000000"/>
                      <w:kern w:val="0"/>
                      <w:sz w:val="21"/>
                      <w:szCs w:val="21"/>
                      <w:u w:val="none"/>
                      <w:lang w:val="en-US" w:eastAsia="zh-CN" w:bidi="ar"/>
                    </w:rPr>
                    <w:t>8527.7</w:t>
                  </w:r>
                </w:p>
              </w:tc>
            </w:tr>
          </w:tbl>
          <w:p>
            <w:pPr>
              <w:pStyle w:val="2"/>
              <w:spacing w:line="360" w:lineRule="auto"/>
              <w:ind w:firstLine="480" w:firstLineChars="200"/>
              <w:rPr>
                <w:rFonts w:ascii="Times New Roman" w:eastAsia="宋体" w:cs="Times New Roman"/>
              </w:rPr>
            </w:pPr>
            <w:r>
              <w:rPr>
                <w:rFonts w:hint="eastAsia" w:ascii="Times New Roman" w:eastAsia="宋体" w:cs="Times New Roman"/>
              </w:rPr>
              <w:t>本</w:t>
            </w:r>
            <w:r>
              <w:rPr>
                <w:rFonts w:ascii="Times New Roman" w:eastAsia="宋体" w:cs="Times New Roman"/>
              </w:rPr>
              <w:t>项目的医疗废水（检验科废水经中和预处理）、生活污水经三级化粪池和医院自建污水处理站处理达到《医疗机构水污染物排放标准》（GB18466-2005）表2中综合医疗机构和其他医疗机构水污染物排放限值（日均值）的预处理标准、广东省《水污染物排放限值》（DB44/26-2001）第二时段三级标准及</w:t>
            </w:r>
            <w:bookmarkStart w:id="21" w:name="_Hlk121230765"/>
            <w:r>
              <w:rPr>
                <w:rFonts w:ascii="Times New Roman" w:eastAsia="宋体" w:cs="Times New Roman"/>
              </w:rPr>
              <w:t>湛江市赤坎水质净化厂</w:t>
            </w:r>
            <w:bookmarkEnd w:id="21"/>
            <w:r>
              <w:rPr>
                <w:rFonts w:ascii="Times New Roman" w:eastAsia="宋体" w:cs="Times New Roman"/>
              </w:rPr>
              <w:t>进水水质标准的三者较严值后，经市政污水管网排入湛江市赤坎水质净化厂处理达到《城镇污水处理厂污染物排放标准》（GB18918-2002）一级A标准及广东省《水污染物排放限值》（DB44/26-2001）第二时段一级标准的较严值后，最后进入滨湖。</w:t>
            </w:r>
          </w:p>
          <w:p>
            <w:pPr>
              <w:pStyle w:val="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pPr>
            <w:r>
              <w:rPr>
                <w:rFonts w:hint="default" w:ascii="Times New Roman" w:hAnsi="Times New Roman" w:eastAsia="宋体" w:cs="Times New Roman"/>
                <w:color w:val="000000"/>
                <w:kern w:val="0"/>
                <w:sz w:val="24"/>
                <w:szCs w:val="24"/>
                <w:lang w:val="en-US" w:eastAsia="zh-CN" w:bidi="ar-SA"/>
              </w:rPr>
              <w:t>项目职工就餐依托湛江市养老服务中心的员工食堂，产生的</w:t>
            </w:r>
            <w:r>
              <w:rPr>
                <w:rFonts w:hint="eastAsia" w:ascii="Times New Roman" w:hAnsi="Times New Roman" w:eastAsia="宋体" w:cs="Times New Roman"/>
                <w:color w:val="000000"/>
                <w:kern w:val="0"/>
                <w:sz w:val="24"/>
                <w:szCs w:val="24"/>
                <w:lang w:val="en-US" w:eastAsia="zh-CN" w:bidi="ar-SA"/>
              </w:rPr>
              <w:t>食堂废水</w:t>
            </w:r>
            <w:r>
              <w:rPr>
                <w:rFonts w:hint="default" w:ascii="Times New Roman" w:hAnsi="Times New Roman" w:eastAsia="宋体" w:cs="Times New Roman"/>
                <w:color w:val="000000"/>
                <w:kern w:val="0"/>
                <w:sz w:val="24"/>
                <w:szCs w:val="24"/>
                <w:lang w:val="en-US" w:eastAsia="zh-CN" w:bidi="ar-SA"/>
              </w:rPr>
              <w:t>依托湛江市养老服务中心的三级化粪池、隔油池进行处理后，达到广东省《水污染物排放限值》（DB44/26-2001）第二时段三级标准，直接排入市政管网。</w:t>
            </w:r>
          </w:p>
          <w:p>
            <w:pPr>
              <w:pStyle w:val="2"/>
              <w:jc w:val="center"/>
              <w:rPr>
                <w:rFonts w:ascii="Times New Roman" w:eastAsia="宋体" w:cs="Times New Roman"/>
              </w:rPr>
            </w:pPr>
          </w:p>
          <w:p>
            <w:pPr>
              <w:widowControl/>
              <w:spacing w:line="360" w:lineRule="auto"/>
              <w:jc w:val="center"/>
              <w:rPr>
                <w:rFonts w:ascii="Times New Roman" w:hAnsi="Times New Roman" w:eastAsia="宋体" w:cs="Times New Roman"/>
                <w:b/>
                <w:bCs/>
                <w:color w:val="000000"/>
                <w:sz w:val="24"/>
              </w:rPr>
            </w:pPr>
            <w:r>
              <w:drawing>
                <wp:inline distT="0" distB="0" distL="114300" distR="114300">
                  <wp:extent cx="5061585" cy="4265930"/>
                  <wp:effectExtent l="0" t="0" r="5715" b="1270"/>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7"/>
                          <a:stretch>
                            <a:fillRect/>
                          </a:stretch>
                        </pic:blipFill>
                        <pic:spPr>
                          <a:xfrm>
                            <a:off x="0" y="0"/>
                            <a:ext cx="5061585" cy="4265930"/>
                          </a:xfrm>
                          <a:prstGeom prst="rect">
                            <a:avLst/>
                          </a:prstGeom>
                          <a:noFill/>
                          <a:ln>
                            <a:noFill/>
                          </a:ln>
                        </pic:spPr>
                      </pic:pic>
                    </a:graphicData>
                  </a:graphic>
                </wp:inline>
              </w:drawing>
            </w:r>
            <w:r>
              <w:rPr>
                <w:rFonts w:ascii="Times New Roman" w:hAnsi="Times New Roman" w:eastAsia="宋体" w:cs="Times New Roman"/>
                <w:b/>
                <w:bCs/>
                <w:color w:val="000000"/>
                <w:sz w:val="24"/>
              </w:rPr>
              <w:t>图2-1 本项目水平衡图</w:t>
            </w:r>
          </w:p>
          <w:p>
            <w:pPr>
              <w:spacing w:line="360" w:lineRule="auto"/>
              <w:ind w:firstLine="48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3、用电系统</w:t>
            </w:r>
          </w:p>
          <w:p>
            <w:pPr>
              <w:pStyle w:val="2"/>
              <w:spacing w:line="360" w:lineRule="auto"/>
              <w:ind w:firstLine="480" w:firstLineChars="200"/>
              <w:rPr>
                <w:rFonts w:ascii="Times New Roman" w:eastAsia="宋体" w:cs="Times New Roman"/>
                <w:b/>
                <w:bCs/>
              </w:rPr>
            </w:pPr>
            <w:r>
              <w:rPr>
                <w:rFonts w:ascii="Times New Roman" w:eastAsia="宋体" w:cs="Times New Roman"/>
                <w:lang w:val="zh-CN"/>
              </w:rPr>
              <w:t>项目用电量</w:t>
            </w:r>
            <w:r>
              <w:rPr>
                <w:rFonts w:ascii="Times New Roman" w:eastAsia="宋体" w:cs="Times New Roman"/>
              </w:rPr>
              <w:t>10</w:t>
            </w:r>
            <w:r>
              <w:rPr>
                <w:rFonts w:ascii="Times New Roman" w:eastAsia="宋体" w:cs="Times New Roman"/>
                <w:lang w:val="zh-CN"/>
              </w:rPr>
              <w:t>万kW·h/年，由</w:t>
            </w:r>
            <w:r>
              <w:rPr>
                <w:rFonts w:ascii="Times New Roman" w:eastAsia="宋体" w:cs="Times New Roman"/>
              </w:rPr>
              <w:t>湛江</w:t>
            </w:r>
            <w:r>
              <w:rPr>
                <w:rFonts w:ascii="Times New Roman" w:eastAsia="宋体" w:cs="Times New Roman"/>
                <w:lang w:val="zh-CN"/>
              </w:rPr>
              <w:t>市市政电网供给</w:t>
            </w:r>
            <w:r>
              <w:rPr>
                <w:rFonts w:hint="eastAsia" w:ascii="Times New Roman" w:eastAsia="宋体" w:cs="Times New Roman"/>
                <w:lang w:val="zh-CN"/>
              </w:rPr>
              <w:t>。本项目设置1台250kW柴油发电机作为备用应急电源。该发电机使用0#轻质柴油（密度850kg/m</w:t>
            </w:r>
            <w:r>
              <w:rPr>
                <w:rFonts w:hint="eastAsia" w:ascii="Times New Roman" w:eastAsia="宋体" w:cs="Times New Roman"/>
                <w:vertAlign w:val="superscript"/>
                <w:lang w:val="zh-CN"/>
              </w:rPr>
              <w:t>3</w:t>
            </w:r>
            <w:r>
              <w:rPr>
                <w:rFonts w:hint="eastAsia" w:ascii="Times New Roman" w:eastAsia="宋体" w:cs="Times New Roman"/>
                <w:lang w:val="zh-CN"/>
              </w:rPr>
              <w:t>，含硫率≤0.001%），主要保证临时停电时消防负荷、事故照明、电梯正常运转等应急使用</w:t>
            </w:r>
            <w:r>
              <w:rPr>
                <w:rFonts w:ascii="Times New Roman" w:eastAsia="宋体" w:cs="Times New Roman"/>
                <w:lang w:val="zh-CN"/>
              </w:rPr>
              <w:t>。</w:t>
            </w:r>
          </w:p>
          <w:p>
            <w:pPr>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六、项目的地理位置及周边环境状况</w:t>
            </w:r>
          </w:p>
          <w:p>
            <w:pPr>
              <w:pStyle w:val="39"/>
              <w:tabs>
                <w:tab w:val="left" w:pos="1189"/>
              </w:tabs>
              <w:spacing w:line="360" w:lineRule="auto"/>
              <w:ind w:left="586"/>
              <w:rPr>
                <w:rFonts w:ascii="Times New Roman" w:hAnsi="Times New Roman" w:eastAsia="宋体" w:cs="Times New Roman"/>
                <w:b/>
                <w:bCs/>
                <w:color w:val="000000"/>
                <w:sz w:val="24"/>
              </w:rPr>
            </w:pPr>
            <w:r>
              <w:rPr>
                <w:rFonts w:ascii="Times New Roman" w:hAnsi="Times New Roman" w:eastAsia="宋体" w:cs="Times New Roman"/>
                <w:b/>
                <w:bCs/>
                <w:color w:val="000000"/>
                <w:sz w:val="24"/>
              </w:rPr>
              <w:t>1、总平面布置</w:t>
            </w:r>
          </w:p>
          <w:p>
            <w:pPr>
              <w:pStyle w:val="2"/>
              <w:spacing w:line="360" w:lineRule="auto"/>
              <w:ind w:firstLine="480" w:firstLineChars="200"/>
              <w:rPr>
                <w:rFonts w:ascii="Times New Roman" w:eastAsia="宋体" w:cs="Times New Roman"/>
                <w:b/>
                <w:bCs/>
              </w:rPr>
            </w:pPr>
            <w:r>
              <w:rPr>
                <w:rFonts w:ascii="Times New Roman" w:eastAsia="宋体" w:cs="Times New Roman"/>
              </w:rPr>
              <w:t>本项目主要建筑物位于湛江市赤坎区农林一路14号1-2楼CD区、4楼D区，并配套污水处理站</w:t>
            </w:r>
            <w:r>
              <w:rPr>
                <w:rFonts w:hint="eastAsia" w:ascii="Times New Roman" w:eastAsia="宋体" w:cs="Times New Roman"/>
              </w:rPr>
              <w:t>、</w:t>
            </w:r>
            <w:r>
              <w:rPr>
                <w:rFonts w:ascii="Times New Roman" w:eastAsia="宋体" w:cs="Times New Roman"/>
              </w:rPr>
              <w:t>医疗废物暂存间、</w:t>
            </w:r>
            <w:r>
              <w:rPr>
                <w:rFonts w:hint="eastAsia" w:ascii="Times New Roman" w:eastAsia="宋体" w:cs="Times New Roman"/>
              </w:rPr>
              <w:t>备用发电机</w:t>
            </w:r>
            <w:r>
              <w:rPr>
                <w:rFonts w:ascii="Times New Roman" w:eastAsia="宋体" w:cs="Times New Roman"/>
              </w:rPr>
              <w:t>等。项目医院污水处理站位于项目东侧；项目医疗废物暂存间位于项目1层D区，交通便利，可利于固体废物外运处置；</w:t>
            </w:r>
            <w:r>
              <w:rPr>
                <w:rFonts w:hint="eastAsia" w:ascii="Times New Roman" w:eastAsia="宋体" w:cs="Times New Roman"/>
                <w:lang w:val="en-US" w:eastAsia="zh-CN"/>
              </w:rPr>
              <w:t>依托就餐的</w:t>
            </w:r>
            <w:r>
              <w:rPr>
                <w:rFonts w:ascii="Times New Roman" w:eastAsia="宋体" w:cs="Times New Roman"/>
              </w:rPr>
              <w:t>员工食堂位于项目西北面</w:t>
            </w:r>
            <w:r>
              <w:rPr>
                <w:rFonts w:hint="eastAsia" w:ascii="Times New Roman" w:eastAsia="宋体" w:cs="Times New Roman"/>
                <w:lang w:eastAsia="zh-CN"/>
              </w:rPr>
              <w:t>；</w:t>
            </w:r>
            <w:r>
              <w:rPr>
                <w:rFonts w:ascii="Times New Roman" w:eastAsia="宋体" w:cs="Times New Roman"/>
              </w:rPr>
              <w:t>项目</w:t>
            </w:r>
            <w:r>
              <w:rPr>
                <w:rFonts w:hint="eastAsia" w:ascii="Times New Roman" w:eastAsia="宋体" w:cs="Times New Roman"/>
              </w:rPr>
              <w:t>备用发电机位于员工食堂东北角。</w:t>
            </w:r>
            <w:r>
              <w:rPr>
                <w:rFonts w:ascii="Times New Roman" w:eastAsia="宋体" w:cs="Times New Roman"/>
              </w:rPr>
              <w:t>建设项目配有</w:t>
            </w:r>
            <w:r>
              <w:rPr>
                <w:rFonts w:hint="eastAsia" w:ascii="Times New Roman" w:eastAsia="宋体" w:cs="Times New Roman"/>
              </w:rPr>
              <w:t>污水处理站、医疗废物暂存间、备用发电机</w:t>
            </w:r>
            <w:r>
              <w:rPr>
                <w:rFonts w:ascii="Times New Roman" w:eastAsia="宋体" w:cs="Times New Roman"/>
              </w:rPr>
              <w:t>等，项目平面布置是合理的。项目平面布局详见附图4。</w:t>
            </w:r>
          </w:p>
          <w:p>
            <w:pPr>
              <w:pStyle w:val="39"/>
              <w:tabs>
                <w:tab w:val="left" w:pos="1189"/>
              </w:tabs>
              <w:spacing w:line="360" w:lineRule="auto"/>
              <w:ind w:left="586"/>
              <w:rPr>
                <w:rFonts w:ascii="Times New Roman" w:hAnsi="Times New Roman" w:eastAsia="宋体" w:cs="Times New Roman"/>
                <w:b/>
                <w:bCs/>
                <w:color w:val="000000"/>
                <w:sz w:val="24"/>
              </w:rPr>
            </w:pPr>
          </w:p>
          <w:p>
            <w:pPr>
              <w:pStyle w:val="39"/>
              <w:tabs>
                <w:tab w:val="left" w:pos="1189"/>
              </w:tabs>
              <w:spacing w:line="360" w:lineRule="auto"/>
              <w:ind w:left="586"/>
              <w:rPr>
                <w:rFonts w:ascii="Times New Roman" w:hAnsi="Times New Roman" w:eastAsia="宋体" w:cs="Times New Roman"/>
                <w:b/>
                <w:bCs/>
                <w:color w:val="000000"/>
                <w:sz w:val="24"/>
              </w:rPr>
            </w:pPr>
            <w:r>
              <w:rPr>
                <w:rFonts w:ascii="Times New Roman" w:hAnsi="Times New Roman" w:eastAsia="宋体" w:cs="Times New Roman"/>
                <w:b/>
                <w:bCs/>
                <w:color w:val="000000"/>
                <w:sz w:val="24"/>
              </w:rPr>
              <w:t>2、四至情况</w:t>
            </w:r>
          </w:p>
          <w:p>
            <w:pPr>
              <w:pStyle w:val="2"/>
              <w:spacing w:line="360" w:lineRule="auto"/>
              <w:ind w:firstLine="480" w:firstLineChars="200"/>
              <w:rPr>
                <w:rFonts w:ascii="Times New Roman" w:eastAsia="宋体" w:cs="Times New Roman"/>
              </w:rPr>
            </w:pPr>
            <w:r>
              <w:rPr>
                <w:rFonts w:ascii="Times New Roman" w:eastAsia="宋体" w:cs="Times New Roman"/>
              </w:rPr>
              <w:t>建设项目位于湛江市赤坎区农林一路14号1-2楼CD区、4楼D区，</w:t>
            </w:r>
            <w:r>
              <w:rPr>
                <w:rFonts w:hint="eastAsia" w:ascii="Times New Roman" w:eastAsia="宋体" w:cs="Times New Roman"/>
              </w:rPr>
              <w:t>建设项目所在楼的3楼现状为闲置，4楼C区是养老生活区，建设项目所在楼东侧为</w:t>
            </w:r>
            <w:r>
              <w:rPr>
                <w:rFonts w:hint="eastAsia" w:ascii="Times New Roman" w:eastAsia="宋体" w:cs="Times New Roman"/>
                <w:lang w:val="en-US" w:eastAsia="zh-CN"/>
              </w:rPr>
              <w:t>自建污水</w:t>
            </w:r>
            <w:r>
              <w:rPr>
                <w:rFonts w:hint="eastAsia" w:ascii="Times New Roman" w:eastAsia="宋体" w:cs="Times New Roman"/>
              </w:rPr>
              <w:t>处理站，南侧为湛江市养老服务中心二期拟建公寓建筑，西侧为农林一路，北侧为湛江市养老服务中心一期建筑楼；项目</w:t>
            </w:r>
            <w:r>
              <w:rPr>
                <w:rFonts w:ascii="Times New Roman" w:eastAsia="宋体" w:cs="Times New Roman"/>
              </w:rPr>
              <w:t>东南面为第二机械厂宿舍楼（27m）、东北面为农林二路公租房（25m），西面为湛江市第三中学（美术中学）（99m），北面为居民房（98m）。项目四至情况见附图2。</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37"/>
              <w:gridCol w:w="3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8" w:hRule="atLeast"/>
              </w:trPr>
              <w:tc>
                <w:tcPr>
                  <w:tcW w:w="2490" w:type="pct"/>
                  <w:vAlign w:val="center"/>
                </w:tcPr>
                <w:p>
                  <w:pPr>
                    <w:pStyle w:val="18"/>
                    <w:ind w:firstLine="0" w:firstLineChars="0"/>
                    <w:jc w:val="center"/>
                    <w:rPr>
                      <w:rFonts w:ascii="Times New Roman" w:hAnsi="Times New Roman" w:eastAsia="宋体" w:cs="Times New Roman"/>
                      <w:color w:val="000000"/>
                    </w:rPr>
                  </w:pPr>
                  <w:r>
                    <w:rPr>
                      <w:rFonts w:ascii="Times New Roman" w:hAnsi="Times New Roman" w:eastAsia="宋体" w:cs="Times New Roman"/>
                      <w:color w:val="000000"/>
                    </w:rPr>
                    <w:drawing>
                      <wp:inline distT="0" distB="0" distL="114300" distR="114300">
                        <wp:extent cx="2342515" cy="1757045"/>
                        <wp:effectExtent l="0" t="0" r="635" b="14605"/>
                        <wp:docPr id="5" name="图片 5" descr="项目东南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项目东南面"/>
                                <pic:cNvPicPr>
                                  <a:picLocks noChangeAspect="1"/>
                                </pic:cNvPicPr>
                              </pic:nvPicPr>
                              <pic:blipFill>
                                <a:blip r:embed="rId8"/>
                                <a:stretch>
                                  <a:fillRect/>
                                </a:stretch>
                              </pic:blipFill>
                              <pic:spPr>
                                <a:xfrm>
                                  <a:off x="0" y="0"/>
                                  <a:ext cx="2342515" cy="1757045"/>
                                </a:xfrm>
                                <a:prstGeom prst="rect">
                                  <a:avLst/>
                                </a:prstGeom>
                              </pic:spPr>
                            </pic:pic>
                          </a:graphicData>
                        </a:graphic>
                      </wp:inline>
                    </w:drawing>
                  </w:r>
                  <w:r>
                    <w:rPr>
                      <w:rFonts w:ascii="Times New Roman" w:hAnsi="Times New Roman" w:eastAsia="宋体" w:cs="Times New Roman"/>
                      <w:color w:val="000000"/>
                      <w:szCs w:val="21"/>
                    </w:rPr>
                    <w:t>东南面</w:t>
                  </w:r>
                </w:p>
              </w:tc>
              <w:tc>
                <w:tcPr>
                  <w:tcW w:w="2509" w:type="pct"/>
                  <w:vAlign w:val="center"/>
                </w:tcPr>
                <w:p>
                  <w:pPr>
                    <w:jc w:val="center"/>
                    <w:rPr>
                      <w:rFonts w:ascii="Times New Roman" w:hAnsi="Times New Roman" w:eastAsia="宋体" w:cs="Times New Roman"/>
                      <w:color w:val="000000"/>
                    </w:rPr>
                  </w:pPr>
                  <w:r>
                    <w:rPr>
                      <w:rFonts w:ascii="Times New Roman" w:hAnsi="Times New Roman" w:eastAsia="宋体" w:cs="Times New Roman"/>
                      <w:color w:val="000000"/>
                    </w:rPr>
                    <w:drawing>
                      <wp:inline distT="0" distB="0" distL="114300" distR="114300">
                        <wp:extent cx="2354580" cy="1767205"/>
                        <wp:effectExtent l="0" t="0" r="7620" b="4445"/>
                        <wp:docPr id="3" name="图片 3" descr="项目东北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项目东北面"/>
                                <pic:cNvPicPr>
                                  <a:picLocks noChangeAspect="1"/>
                                </pic:cNvPicPr>
                              </pic:nvPicPr>
                              <pic:blipFill>
                                <a:blip r:embed="rId9"/>
                                <a:stretch>
                                  <a:fillRect/>
                                </a:stretch>
                              </pic:blipFill>
                              <pic:spPr>
                                <a:xfrm>
                                  <a:off x="0" y="0"/>
                                  <a:ext cx="2354580" cy="1767205"/>
                                </a:xfrm>
                                <a:prstGeom prst="rect">
                                  <a:avLst/>
                                </a:prstGeom>
                              </pic:spPr>
                            </pic:pic>
                          </a:graphicData>
                        </a:graphic>
                      </wp:inline>
                    </w:drawing>
                  </w:r>
                </w:p>
                <w:p>
                  <w:pPr>
                    <w:pStyle w:val="18"/>
                    <w:ind w:firstLine="0" w:firstLineChars="0"/>
                    <w:jc w:val="center"/>
                    <w:rPr>
                      <w:rFonts w:ascii="Times New Roman" w:hAnsi="Times New Roman" w:eastAsia="宋体" w:cs="Times New Roman"/>
                      <w:color w:val="000000"/>
                    </w:rPr>
                  </w:pPr>
                  <w:r>
                    <w:rPr>
                      <w:rFonts w:ascii="Times New Roman" w:hAnsi="Times New Roman" w:eastAsia="宋体" w:cs="Times New Roman"/>
                      <w:color w:val="000000"/>
                      <w:szCs w:val="21"/>
                    </w:rPr>
                    <w:t>东北面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pct"/>
                  <w:vAlign w:val="center"/>
                </w:tcPr>
                <w:p>
                  <w:pPr>
                    <w:jc w:val="center"/>
                    <w:rPr>
                      <w:rFonts w:ascii="Times New Roman" w:hAnsi="Times New Roman" w:eastAsia="宋体" w:cs="Times New Roman"/>
                      <w:color w:val="000000"/>
                    </w:rPr>
                  </w:pPr>
                  <w:r>
                    <w:rPr>
                      <w:rFonts w:ascii="Times New Roman" w:hAnsi="Times New Roman" w:eastAsia="宋体" w:cs="Times New Roman"/>
                      <w:color w:val="000000"/>
                    </w:rPr>
                    <w:drawing>
                      <wp:inline distT="0" distB="0" distL="114300" distR="114300">
                        <wp:extent cx="2414905" cy="1812290"/>
                        <wp:effectExtent l="0" t="0" r="4445" b="16510"/>
                        <wp:docPr id="4" name="图片 4" descr="项目西南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项目西南面"/>
                                <pic:cNvPicPr>
                                  <a:picLocks noChangeAspect="1"/>
                                </pic:cNvPicPr>
                              </pic:nvPicPr>
                              <pic:blipFill>
                                <a:blip r:embed="rId10"/>
                                <a:stretch>
                                  <a:fillRect/>
                                </a:stretch>
                              </pic:blipFill>
                              <pic:spPr>
                                <a:xfrm>
                                  <a:off x="0" y="0"/>
                                  <a:ext cx="2414905" cy="1812290"/>
                                </a:xfrm>
                                <a:prstGeom prst="rect">
                                  <a:avLst/>
                                </a:prstGeom>
                              </pic:spPr>
                            </pic:pic>
                          </a:graphicData>
                        </a:graphic>
                      </wp:inline>
                    </w:drawing>
                  </w:r>
                </w:p>
                <w:p>
                  <w:pPr>
                    <w:pStyle w:val="18"/>
                    <w:ind w:firstLine="0" w:firstLineChars="0"/>
                    <w:jc w:val="center"/>
                    <w:rPr>
                      <w:rFonts w:ascii="Times New Roman" w:hAnsi="Times New Roman" w:eastAsia="宋体" w:cs="Times New Roman"/>
                      <w:color w:val="000000"/>
                    </w:rPr>
                  </w:pPr>
                  <w:r>
                    <w:rPr>
                      <w:rFonts w:ascii="Times New Roman" w:hAnsi="Times New Roman" w:eastAsia="宋体" w:cs="Times New Roman"/>
                      <w:color w:val="000000"/>
                      <w:szCs w:val="21"/>
                    </w:rPr>
                    <w:t>西面</w:t>
                  </w:r>
                </w:p>
              </w:tc>
              <w:tc>
                <w:tcPr>
                  <w:tcW w:w="2509" w:type="pct"/>
                  <w:vAlign w:val="center"/>
                </w:tcPr>
                <w:p>
                  <w:pPr>
                    <w:pStyle w:val="18"/>
                    <w:ind w:firstLine="0" w:firstLineChars="0"/>
                    <w:jc w:val="center"/>
                    <w:rPr>
                      <w:rFonts w:ascii="Times New Roman" w:hAnsi="Times New Roman" w:eastAsia="宋体" w:cs="Times New Roman"/>
                      <w:color w:val="000000"/>
                    </w:rPr>
                  </w:pPr>
                  <w:r>
                    <w:rPr>
                      <w:rFonts w:ascii="Times New Roman" w:hAnsi="Times New Roman" w:eastAsia="宋体" w:cs="Times New Roman"/>
                      <w:color w:val="000000"/>
                      <w:szCs w:val="21"/>
                    </w:rPr>
                    <w:drawing>
                      <wp:inline distT="0" distB="0" distL="114300" distR="114300">
                        <wp:extent cx="2381885" cy="1786890"/>
                        <wp:effectExtent l="0" t="0" r="18415" b="3810"/>
                        <wp:docPr id="2" name="图片 2" descr="项目北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项目北面"/>
                                <pic:cNvPicPr>
                                  <a:picLocks noChangeAspect="1"/>
                                </pic:cNvPicPr>
                              </pic:nvPicPr>
                              <pic:blipFill>
                                <a:blip r:embed="rId11"/>
                                <a:stretch>
                                  <a:fillRect/>
                                </a:stretch>
                              </pic:blipFill>
                              <pic:spPr>
                                <a:xfrm>
                                  <a:off x="0" y="0"/>
                                  <a:ext cx="2381885" cy="1786890"/>
                                </a:xfrm>
                                <a:prstGeom prst="rect">
                                  <a:avLst/>
                                </a:prstGeom>
                              </pic:spPr>
                            </pic:pic>
                          </a:graphicData>
                        </a:graphic>
                      </wp:inline>
                    </w:drawing>
                  </w:r>
                </w:p>
                <w:p>
                  <w:pPr>
                    <w:pStyle w:val="18"/>
                    <w:ind w:firstLine="0" w:firstLineChars="0"/>
                    <w:jc w:val="center"/>
                    <w:rPr>
                      <w:rFonts w:ascii="Times New Roman" w:hAnsi="Times New Roman" w:eastAsia="宋体" w:cs="Times New Roman"/>
                      <w:color w:val="000000"/>
                    </w:rPr>
                  </w:pPr>
                  <w:r>
                    <w:rPr>
                      <w:rFonts w:ascii="Times New Roman" w:hAnsi="Times New Roman" w:eastAsia="宋体" w:cs="Times New Roman"/>
                      <w:color w:val="000000"/>
                      <w:szCs w:val="21"/>
                    </w:rPr>
                    <w:t>北面</w:t>
                  </w:r>
                </w:p>
              </w:tc>
            </w:tr>
          </w:tbl>
          <w:p>
            <w:pPr>
              <w:spacing w:line="360" w:lineRule="auto"/>
              <w:rPr>
                <w:rFonts w:ascii="Times New Roman" w:hAnsi="Times New Roman" w:eastAsia="宋体" w:cs="Times New Roman"/>
                <w:color w:val="000000"/>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679" w:hRule="atLeast"/>
          <w:jc w:val="center"/>
        </w:trPr>
        <w:tc>
          <w:tcPr>
            <w:tcW w:w="258" w:type="pct"/>
            <w:vAlign w:val="center"/>
          </w:tcPr>
          <w:p>
            <w:pPr>
              <w:pStyle w:val="26"/>
              <w:adjustRightInd w:val="0"/>
              <w:snapToGrid w:val="0"/>
              <w:spacing w:before="0" w:beforeAutospacing="0" w:after="0" w:afterAutospacing="0"/>
              <w:jc w:val="center"/>
              <w:rPr>
                <w:rFonts w:ascii="Times New Roman" w:hAnsi="Times New Roman" w:eastAsia="宋体" w:cs="Times New Roman"/>
                <w:color w:val="000000"/>
                <w:szCs w:val="24"/>
              </w:rPr>
            </w:pPr>
            <w:r>
              <w:rPr>
                <w:rFonts w:ascii="Times New Roman" w:hAnsi="Times New Roman" w:eastAsia="宋体" w:cs="Times New Roman"/>
                <w:color w:val="000000"/>
                <w:szCs w:val="24"/>
              </w:rPr>
              <w:t>工艺流程和产排污环节</w:t>
            </w:r>
          </w:p>
        </w:tc>
        <w:tc>
          <w:tcPr>
            <w:tcW w:w="4741" w:type="pct"/>
          </w:tcPr>
          <w:p>
            <w:pPr>
              <w:pStyle w:val="28"/>
              <w:spacing w:before="0" w:after="0" w:line="360" w:lineRule="auto"/>
              <w:ind w:firstLine="0" w:firstLineChars="0"/>
              <w:rPr>
                <w:rFonts w:ascii="Times New Roman" w:hAnsi="Times New Roman" w:eastAsia="宋体" w:cs="Times New Roman"/>
                <w:b/>
                <w:bCs/>
                <w:color w:val="000000"/>
                <w:szCs w:val="24"/>
              </w:rPr>
            </w:pPr>
            <w:r>
              <w:rPr>
                <w:rFonts w:hint="eastAsia" w:ascii="Times New Roman" w:hAnsi="Times New Roman" w:eastAsia="宋体" w:cs="Times New Roman"/>
                <w:b/>
                <w:bCs/>
                <w:color w:val="000000"/>
                <w:szCs w:val="24"/>
              </w:rPr>
              <w:t>运营期</w:t>
            </w:r>
            <w:r>
              <w:rPr>
                <w:rFonts w:ascii="Times New Roman" w:hAnsi="Times New Roman" w:eastAsia="宋体" w:cs="Times New Roman"/>
                <w:b/>
                <w:bCs/>
                <w:color w:val="000000"/>
                <w:szCs w:val="24"/>
              </w:rPr>
              <w:t>工艺流程简述：</w:t>
            </w:r>
          </w:p>
          <w:p>
            <w:pPr>
              <w:numPr>
                <w:ilvl w:val="0"/>
                <w:numId w:val="5"/>
              </w:numPr>
              <w:spacing w:line="360" w:lineRule="auto"/>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运营期工艺流程图：</w:t>
            </w:r>
          </w:p>
          <w:p>
            <w:pPr>
              <w:pStyle w:val="2"/>
              <w:jc w:val="center"/>
              <w:rPr>
                <w:rFonts w:ascii="Times New Roman" w:eastAsia="宋体" w:cs="Times New Roman"/>
              </w:rPr>
            </w:pPr>
          </w:p>
          <w:p>
            <w:pPr>
              <w:widowControl/>
              <w:spacing w:line="360" w:lineRule="auto"/>
              <w:jc w:val="center"/>
              <w:rPr>
                <w:rFonts w:ascii="Times New Roman" w:hAnsi="Times New Roman" w:eastAsia="宋体" w:cs="Times New Roman"/>
                <w:b/>
                <w:bCs/>
                <w:color w:val="000000"/>
                <w:sz w:val="24"/>
              </w:rPr>
            </w:pPr>
          </w:p>
          <w:p>
            <w:pPr>
              <w:widowControl/>
              <w:spacing w:line="360" w:lineRule="auto"/>
              <w:jc w:val="center"/>
              <w:rPr>
                <w:rFonts w:ascii="Times New Roman" w:hAnsi="Times New Roman" w:eastAsia="宋体" w:cs="Times New Roman"/>
                <w:b/>
                <w:color w:val="000000"/>
                <w:sz w:val="24"/>
              </w:rPr>
            </w:pPr>
            <w:r>
              <w:drawing>
                <wp:inline distT="0" distB="0" distL="114300" distR="114300">
                  <wp:extent cx="5030470" cy="2422525"/>
                  <wp:effectExtent l="0" t="0" r="17780" b="15875"/>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12"/>
                          <a:stretch>
                            <a:fillRect/>
                          </a:stretch>
                        </pic:blipFill>
                        <pic:spPr>
                          <a:xfrm>
                            <a:off x="0" y="0"/>
                            <a:ext cx="5030470" cy="2422525"/>
                          </a:xfrm>
                          <a:prstGeom prst="rect">
                            <a:avLst/>
                          </a:prstGeom>
                          <a:noFill/>
                          <a:ln>
                            <a:noFill/>
                          </a:ln>
                        </pic:spPr>
                      </pic:pic>
                    </a:graphicData>
                  </a:graphic>
                </wp:inline>
              </w:drawing>
            </w:r>
            <w:r>
              <w:rPr>
                <w:rFonts w:ascii="Times New Roman" w:hAnsi="Times New Roman" w:eastAsia="宋体" w:cs="Times New Roman"/>
                <w:b/>
                <w:bCs/>
                <w:color w:val="000000"/>
                <w:sz w:val="24"/>
              </w:rPr>
              <w:t>图2-2</w:t>
            </w:r>
            <w:r>
              <w:rPr>
                <w:rFonts w:hint="eastAsia" w:ascii="Times New Roman" w:hAnsi="Times New Roman" w:eastAsia="宋体" w:cs="Times New Roman"/>
                <w:b/>
                <w:bCs/>
                <w:color w:val="000000"/>
                <w:sz w:val="24"/>
              </w:rPr>
              <w:t>运营期</w:t>
            </w:r>
            <w:r>
              <w:rPr>
                <w:rFonts w:ascii="Times New Roman" w:hAnsi="Times New Roman" w:eastAsia="宋体" w:cs="Times New Roman"/>
                <w:b/>
                <w:bCs/>
                <w:color w:val="000000"/>
                <w:sz w:val="24"/>
              </w:rPr>
              <w:t>病人就医流程及排污节点图</w:t>
            </w:r>
          </w:p>
          <w:p>
            <w:pPr>
              <w:spacing w:line="360" w:lineRule="auto"/>
              <w:rPr>
                <w:rFonts w:ascii="Times New Roman" w:hAnsi="Times New Roman" w:eastAsia="宋体" w:cs="Times New Roman"/>
                <w:b/>
                <w:color w:val="000000"/>
                <w:sz w:val="24"/>
              </w:rPr>
            </w:pPr>
            <w:r>
              <w:rPr>
                <w:rFonts w:ascii="Times New Roman" w:hAnsi="Times New Roman" w:eastAsia="宋体" w:cs="Times New Roman"/>
                <w:b/>
                <w:color w:val="000000"/>
                <w:sz w:val="24"/>
              </w:rPr>
              <w:t>二、运营期产生的主要污染因子：</w:t>
            </w:r>
          </w:p>
          <w:p>
            <w:pPr>
              <w:pStyle w:val="2"/>
              <w:spacing w:line="360" w:lineRule="auto"/>
              <w:ind w:firstLine="504" w:firstLineChars="200"/>
              <w:rPr>
                <w:rFonts w:ascii="Times New Roman" w:eastAsia="宋体" w:cs="Times New Roman"/>
                <w:spacing w:val="6"/>
              </w:rPr>
            </w:pPr>
            <w:r>
              <w:rPr>
                <w:rFonts w:ascii="Times New Roman" w:eastAsia="宋体" w:cs="Times New Roman"/>
                <w:spacing w:val="6"/>
              </w:rPr>
              <w:t>（1）</w:t>
            </w:r>
            <w:r>
              <w:rPr>
                <w:rFonts w:ascii="Times New Roman" w:eastAsia="宋体" w:cs="Times New Roman"/>
              </w:rPr>
              <w:t>废水：普通医疗废水（门诊、住院、检验科废水）、生活污水。</w:t>
            </w:r>
          </w:p>
          <w:p>
            <w:pPr>
              <w:pStyle w:val="2"/>
              <w:spacing w:line="360" w:lineRule="auto"/>
              <w:ind w:firstLine="504" w:firstLineChars="200"/>
              <w:rPr>
                <w:rFonts w:ascii="Times New Roman" w:eastAsia="宋体" w:cs="Times New Roman"/>
              </w:rPr>
            </w:pPr>
            <w:r>
              <w:rPr>
                <w:rFonts w:ascii="Times New Roman" w:eastAsia="宋体" w:cs="Times New Roman"/>
                <w:spacing w:val="6"/>
              </w:rPr>
              <w:t>（2）</w:t>
            </w:r>
            <w:r>
              <w:rPr>
                <w:rFonts w:ascii="Times New Roman" w:eastAsia="宋体" w:cs="Times New Roman"/>
              </w:rPr>
              <w:t>废气：污水处理站恶臭、员工食堂油烟废气、备用发电机尾气等。</w:t>
            </w:r>
          </w:p>
          <w:p>
            <w:pPr>
              <w:pStyle w:val="2"/>
              <w:spacing w:line="360" w:lineRule="auto"/>
              <w:ind w:firstLine="504" w:firstLineChars="200"/>
              <w:rPr>
                <w:rFonts w:ascii="Times New Roman" w:eastAsia="宋体" w:cs="Times New Roman"/>
              </w:rPr>
            </w:pPr>
            <w:r>
              <w:rPr>
                <w:rFonts w:ascii="Times New Roman" w:eastAsia="宋体" w:cs="Times New Roman"/>
                <w:spacing w:val="6"/>
              </w:rPr>
              <w:t>（3）</w:t>
            </w:r>
            <w:r>
              <w:rPr>
                <w:rFonts w:ascii="Times New Roman" w:eastAsia="宋体" w:cs="Times New Roman"/>
              </w:rPr>
              <w:t>噪声：普通医疗设备、医院生活噪声、污水处理设备的噪声及机械设备如空调主机噪声。噪声级约40-80dB(A)。</w:t>
            </w:r>
          </w:p>
          <w:p>
            <w:pPr>
              <w:pStyle w:val="2"/>
              <w:spacing w:line="360" w:lineRule="auto"/>
              <w:ind w:firstLine="504" w:firstLineChars="200"/>
              <w:rPr>
                <w:rFonts w:ascii="Times New Roman" w:eastAsia="宋体" w:cs="Times New Roman"/>
                <w:bCs/>
              </w:rPr>
            </w:pPr>
            <w:r>
              <w:rPr>
                <w:rFonts w:ascii="Times New Roman" w:eastAsia="宋体" w:cs="Times New Roman"/>
                <w:spacing w:val="6"/>
              </w:rPr>
              <w:t>（4）</w:t>
            </w:r>
            <w:r>
              <w:rPr>
                <w:rFonts w:ascii="Times New Roman" w:eastAsia="宋体" w:cs="Times New Roman"/>
              </w:rPr>
              <w:t>固体废物：生活垃圾、使用后未污染的输液瓶（袋）、医疗废物、废紫外线灯管、污水处理站产生的污泥</w:t>
            </w:r>
            <w:r>
              <w:rPr>
                <w:rFonts w:hint="eastAsia" w:ascii="Times New Roman" w:eastAsia="宋体" w:cs="Times New Roman"/>
              </w:rPr>
              <w:t>、检验科固废</w:t>
            </w:r>
            <w:r>
              <w:rPr>
                <w:rFonts w:hint="eastAsia" w:ascii="Times New Roman" w:eastAsia="宋体" w:cs="Times New Roman"/>
                <w:lang w:eastAsia="zh-CN"/>
              </w:rPr>
              <w:t>、</w:t>
            </w:r>
            <w:r>
              <w:rPr>
                <w:rFonts w:hint="eastAsia" w:ascii="Times New Roman" w:eastAsia="宋体" w:cs="Times New Roman"/>
                <w:lang w:val="en-US" w:eastAsia="zh-CN"/>
              </w:rPr>
              <w:t>检验科废液</w:t>
            </w:r>
            <w:r>
              <w:rPr>
                <w:rFonts w:hint="eastAsia" w:ascii="Times New Roman" w:eastAsia="宋体" w:cs="Times New Roman"/>
              </w:rPr>
              <w:t>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080" w:hRule="atLeast"/>
          <w:jc w:val="center"/>
        </w:trPr>
        <w:tc>
          <w:tcPr>
            <w:tcW w:w="258" w:type="pct"/>
            <w:vAlign w:val="center"/>
          </w:tcPr>
          <w:p>
            <w:pPr>
              <w:pStyle w:val="26"/>
              <w:adjustRightInd w:val="0"/>
              <w:snapToGrid w:val="0"/>
              <w:spacing w:before="0" w:beforeAutospacing="0" w:after="0" w:afterAutospacing="0"/>
              <w:jc w:val="center"/>
              <w:rPr>
                <w:rFonts w:ascii="Times New Roman" w:hAnsi="Times New Roman" w:eastAsia="宋体" w:cs="Times New Roman"/>
                <w:color w:val="000000"/>
                <w:szCs w:val="24"/>
              </w:rPr>
            </w:pPr>
            <w:r>
              <w:rPr>
                <w:rFonts w:ascii="Times New Roman" w:hAnsi="Times New Roman" w:eastAsia="宋体" w:cs="Times New Roman"/>
                <w:bCs/>
                <w:color w:val="000000"/>
                <w:kern w:val="2"/>
                <w:szCs w:val="24"/>
              </w:rPr>
              <w:t>与项目有关的原有环境污染问题</w:t>
            </w:r>
          </w:p>
        </w:tc>
        <w:tc>
          <w:tcPr>
            <w:tcW w:w="4741" w:type="pct"/>
            <w:vAlign w:val="center"/>
          </w:tcPr>
          <w:p>
            <w:pPr>
              <w:widowControl/>
              <w:adjustRightInd w:val="0"/>
              <w:snapToGrid w:val="0"/>
              <w:spacing w:line="360" w:lineRule="auto"/>
              <w:ind w:firstLine="480" w:firstLineChars="200"/>
              <w:rPr>
                <w:rFonts w:ascii="Times New Roman" w:hAnsi="Times New Roman" w:eastAsia="宋体" w:cs="Times New Roman"/>
                <w:color w:val="000000"/>
              </w:rPr>
            </w:pPr>
            <w:r>
              <w:rPr>
                <w:rFonts w:ascii="Times New Roman" w:hAnsi="Times New Roman" w:eastAsia="宋体" w:cs="Times New Roman"/>
                <w:color w:val="000000"/>
                <w:kern w:val="0"/>
                <w:sz w:val="24"/>
              </w:rPr>
              <w:t>2014年6月18日湛江市养老服务中心首期建设项目取得批复（湛环建[2014]56号）（见附件8）。本项目为新建项目，项目为租用湛江市养老服</w:t>
            </w:r>
            <w:r>
              <w:rPr>
                <w:rFonts w:hint="eastAsia" w:ascii="Times New Roman" w:hAnsi="Times New Roman" w:eastAsia="宋体" w:cs="Times New Roman"/>
                <w:color w:val="000000"/>
                <w:kern w:val="0"/>
                <w:sz w:val="24"/>
              </w:rPr>
              <w:t>务</w:t>
            </w:r>
            <w:r>
              <w:rPr>
                <w:rFonts w:ascii="Times New Roman" w:hAnsi="Times New Roman" w:eastAsia="宋体" w:cs="Times New Roman"/>
                <w:color w:val="000000"/>
                <w:kern w:val="0"/>
                <w:sz w:val="24"/>
              </w:rPr>
              <w:t>中心的一栋公寓大楼内1-2楼C、D区和4楼D区，建筑面积约4480m</w:t>
            </w:r>
            <w:r>
              <w:rPr>
                <w:rFonts w:ascii="Times New Roman" w:hAnsi="Times New Roman" w:eastAsia="宋体" w:cs="Times New Roman"/>
                <w:color w:val="000000"/>
                <w:kern w:val="0"/>
                <w:sz w:val="24"/>
                <w:vertAlign w:val="superscript"/>
              </w:rPr>
              <w:t>2</w:t>
            </w:r>
            <w:r>
              <w:rPr>
                <w:rFonts w:ascii="Times New Roman" w:hAnsi="Times New Roman" w:eastAsia="宋体" w:cs="Times New Roman"/>
                <w:color w:val="000000"/>
                <w:kern w:val="0"/>
                <w:sz w:val="24"/>
              </w:rPr>
              <w:t>，项目员工食堂</w:t>
            </w:r>
            <w:r>
              <w:rPr>
                <w:rFonts w:hint="eastAsia" w:ascii="Times New Roman" w:hAnsi="Times New Roman" w:eastAsia="宋体" w:cs="Times New Roman"/>
                <w:color w:val="000000"/>
                <w:kern w:val="0"/>
                <w:sz w:val="24"/>
                <w:lang w:val="en-US" w:eastAsia="zh-CN"/>
              </w:rPr>
              <w:t>废水</w:t>
            </w:r>
            <w:r>
              <w:rPr>
                <w:rFonts w:ascii="Times New Roman" w:hAnsi="Times New Roman" w:eastAsia="宋体" w:cs="Times New Roman"/>
                <w:color w:val="000000"/>
                <w:kern w:val="0"/>
                <w:sz w:val="24"/>
              </w:rPr>
              <w:t>及油烟处理设施依托湛江市养老服务中心首期建设项目。根据环境现状监测报告（见附件</w:t>
            </w:r>
            <w:r>
              <w:rPr>
                <w:rFonts w:hint="eastAsia" w:ascii="Times New Roman" w:hAnsi="Times New Roman" w:eastAsia="宋体" w:cs="Times New Roman"/>
                <w:color w:val="000000"/>
                <w:kern w:val="0"/>
                <w:sz w:val="24"/>
                <w:lang w:val="en-US" w:eastAsia="zh-CN"/>
              </w:rPr>
              <w:t>12</w:t>
            </w:r>
            <w:r>
              <w:rPr>
                <w:rFonts w:ascii="Times New Roman" w:hAnsi="Times New Roman" w:eastAsia="宋体" w:cs="Times New Roman"/>
                <w:color w:val="000000"/>
                <w:kern w:val="0"/>
                <w:sz w:val="24"/>
              </w:rPr>
              <w:t>），项目所在地产生的废气、噪声均达标排放，项目东南面为第二机械厂宿舍楼、东北面为农林二路公租房、西面为湛江市第三中学（美术中学）、北面为居民房，周围无其他工业污染源，不存在环境问题。</w:t>
            </w:r>
          </w:p>
        </w:tc>
      </w:tr>
    </w:tbl>
    <w:p>
      <w:pPr>
        <w:pStyle w:val="20"/>
        <w:rPr>
          <w:rFonts w:ascii="Times New Roman" w:hAnsi="Times New Roman" w:eastAsia="宋体" w:cs="Times New Roman"/>
        </w:rPr>
        <w:sectPr>
          <w:pgSz w:w="11906" w:h="16838"/>
          <w:pgMar w:top="1440" w:right="1800" w:bottom="1440" w:left="1800" w:header="851" w:footer="992" w:gutter="0"/>
          <w:cols w:space="425" w:num="1"/>
          <w:docGrid w:type="lines" w:linePitch="312" w:charSpace="0"/>
        </w:sectPr>
      </w:pPr>
    </w:p>
    <w:p>
      <w:pPr>
        <w:pStyle w:val="26"/>
        <w:jc w:val="center"/>
        <w:outlineLvl w:val="0"/>
        <w:rPr>
          <w:rFonts w:ascii="Times New Roman" w:hAnsi="Times New Roman" w:eastAsia="宋体" w:cs="Times New Roman"/>
          <w:snapToGrid w:val="0"/>
          <w:color w:val="000000"/>
          <w:sz w:val="30"/>
          <w:szCs w:val="30"/>
        </w:rPr>
      </w:pPr>
      <w:bookmarkStart w:id="22" w:name="_Toc26490"/>
      <w:bookmarkStart w:id="23" w:name="_Toc19615"/>
      <w:bookmarkStart w:id="24" w:name="_Toc4192"/>
      <w:bookmarkStart w:id="25" w:name="_Toc30809"/>
      <w:r>
        <w:rPr>
          <w:rFonts w:ascii="Times New Roman" w:hAnsi="Times New Roman" w:eastAsia="宋体" w:cs="Times New Roman"/>
          <w:snapToGrid w:val="0"/>
          <w:color w:val="000000"/>
          <w:sz w:val="30"/>
          <w:szCs w:val="30"/>
        </w:rPr>
        <w:t>三、区域环境质量现状、环境保护目标及评价标准</w:t>
      </w:r>
      <w:bookmarkEnd w:id="22"/>
      <w:bookmarkEnd w:id="23"/>
      <w:bookmarkEnd w:id="24"/>
      <w:bookmarkEnd w:id="25"/>
    </w:p>
    <w:tbl>
      <w:tblPr>
        <w:tblStyle w:val="29"/>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09"/>
        <w:gridCol w:w="811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88" w:hRule="atLeast"/>
          <w:jc w:val="center"/>
        </w:trPr>
        <w:tc>
          <w:tcPr>
            <w:tcW w:w="243" w:type="pct"/>
            <w:vAlign w:val="center"/>
          </w:tcPr>
          <w:p>
            <w:pPr>
              <w:adjustRightInd w:val="0"/>
              <w:snapToGrid w:val="0"/>
              <w:jc w:val="center"/>
              <w:rPr>
                <w:rFonts w:ascii="Times New Roman" w:hAnsi="Times New Roman" w:eastAsia="宋体" w:cs="Times New Roman"/>
                <w:kern w:val="0"/>
                <w:szCs w:val="21"/>
              </w:rPr>
            </w:pPr>
            <w:r>
              <w:rPr>
                <w:rFonts w:ascii="Times New Roman" w:hAnsi="Times New Roman" w:eastAsia="宋体" w:cs="Times New Roman"/>
                <w:kern w:val="0"/>
                <w:szCs w:val="21"/>
              </w:rPr>
              <w:t>区域</w:t>
            </w:r>
          </w:p>
          <w:p>
            <w:pPr>
              <w:adjustRightInd w:val="0"/>
              <w:snapToGrid w:val="0"/>
              <w:jc w:val="center"/>
              <w:rPr>
                <w:rFonts w:ascii="Times New Roman" w:hAnsi="Times New Roman" w:eastAsia="宋体" w:cs="Times New Roman"/>
                <w:kern w:val="0"/>
                <w:szCs w:val="21"/>
              </w:rPr>
            </w:pPr>
            <w:r>
              <w:rPr>
                <w:rFonts w:ascii="Times New Roman" w:hAnsi="Times New Roman" w:eastAsia="宋体" w:cs="Times New Roman"/>
                <w:kern w:val="0"/>
                <w:szCs w:val="21"/>
              </w:rPr>
              <w:t>环境</w:t>
            </w:r>
          </w:p>
          <w:p>
            <w:pPr>
              <w:adjustRightInd w:val="0"/>
              <w:snapToGrid w:val="0"/>
              <w:jc w:val="center"/>
              <w:rPr>
                <w:rFonts w:ascii="Times New Roman" w:hAnsi="Times New Roman" w:eastAsia="宋体" w:cs="Times New Roman"/>
                <w:kern w:val="0"/>
                <w:szCs w:val="21"/>
              </w:rPr>
            </w:pPr>
            <w:r>
              <w:rPr>
                <w:rFonts w:ascii="Times New Roman" w:hAnsi="Times New Roman" w:eastAsia="宋体" w:cs="Times New Roman"/>
                <w:kern w:val="0"/>
                <w:szCs w:val="21"/>
              </w:rPr>
              <w:t>质量</w:t>
            </w:r>
          </w:p>
          <w:p>
            <w:pPr>
              <w:adjustRightInd w:val="0"/>
              <w:snapToGrid w:val="0"/>
              <w:jc w:val="center"/>
              <w:rPr>
                <w:rFonts w:ascii="Times New Roman" w:hAnsi="Times New Roman" w:eastAsia="宋体" w:cs="Times New Roman"/>
                <w:kern w:val="0"/>
                <w:szCs w:val="21"/>
              </w:rPr>
            </w:pPr>
            <w:r>
              <w:rPr>
                <w:rFonts w:ascii="Times New Roman" w:hAnsi="Times New Roman" w:eastAsia="宋体" w:cs="Times New Roman"/>
                <w:kern w:val="0"/>
                <w:szCs w:val="21"/>
              </w:rPr>
              <w:t>现状</w:t>
            </w:r>
          </w:p>
        </w:tc>
        <w:tc>
          <w:tcPr>
            <w:tcW w:w="4756" w:type="pct"/>
            <w:vAlign w:val="center"/>
          </w:tcPr>
          <w:p>
            <w:pPr>
              <w:pStyle w:val="4"/>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1、环境空气质量现状</w:t>
            </w:r>
          </w:p>
          <w:p>
            <w:pPr>
              <w:widowControl/>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color w:val="000000"/>
                <w:kern w:val="0"/>
                <w:sz w:val="24"/>
              </w:rPr>
              <w:t>本项目位于湛江市赤坎区农林一路14号1-2楼CD区、4楼D区，所在区域环境空气功能区划为二类区，环境空气质量执行《环境空气质量标准》（GB3095-2012）及其修改单中的二级标准要求。</w:t>
            </w:r>
          </w:p>
          <w:p>
            <w:pPr>
              <w:pStyle w:val="4"/>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（1）基本污染物环境现状</w:t>
            </w:r>
          </w:p>
          <w:p>
            <w:pPr>
              <w:pStyle w:val="2"/>
              <w:spacing w:line="360" w:lineRule="auto"/>
              <w:ind w:firstLine="480" w:firstLineChars="200"/>
              <w:rPr>
                <w:rFonts w:ascii="Times New Roman" w:eastAsia="宋体" w:cs="Times New Roman"/>
              </w:rPr>
            </w:pPr>
            <w:r>
              <w:rPr>
                <w:rFonts w:ascii="Times New Roman" w:eastAsia="宋体" w:cs="Times New Roman"/>
              </w:rPr>
              <w:t>本次大气环境质量现状评价引用湛江市生态环境局网站发布的《湛江市生态环境质量年报简报（202</w:t>
            </w:r>
            <w:r>
              <w:rPr>
                <w:rFonts w:hint="eastAsia" w:ascii="Times New Roman" w:eastAsia="宋体" w:cs="Times New Roman"/>
                <w:lang w:val="en-US" w:eastAsia="zh-CN"/>
              </w:rPr>
              <w:t>2</w:t>
            </w:r>
            <w:r>
              <w:rPr>
                <w:rFonts w:ascii="Times New Roman" w:eastAsia="宋体" w:cs="Times New Roman"/>
              </w:rPr>
              <w:t>年）》中数据，网址为</w:t>
            </w:r>
            <w:r>
              <w:rPr>
                <w:rFonts w:hint="eastAsia" w:ascii="Times New Roman" w:eastAsia="宋体" w:cs="Times New Roman"/>
              </w:rPr>
              <w:t>https://www.zhanjiang.gov.cn/zjsfw/bmdh/sthjj/zwgk/tzgg/content/post_1738861.html</w:t>
            </w:r>
            <w:r>
              <w:rPr>
                <w:rFonts w:ascii="Times New Roman" w:eastAsia="宋体" w:cs="Times New Roman"/>
              </w:rPr>
              <w:t>，区域空气质量现状评价表详见表3-1。</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表3-1区域空气质量现状评价表</w:t>
            </w:r>
          </w:p>
          <w:tbl>
            <w:tblPr>
              <w:tblStyle w:val="29"/>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873"/>
              <w:gridCol w:w="2699"/>
              <w:gridCol w:w="1245"/>
              <w:gridCol w:w="1089"/>
              <w:gridCol w:w="877"/>
              <w:gridCol w:w="1111"/>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55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171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年评价指标</w:t>
                  </w:r>
                </w:p>
              </w:tc>
              <w:tc>
                <w:tcPr>
                  <w:tcW w:w="79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现状浓度</w:t>
                  </w:r>
                </w:p>
                <w:p>
                  <w:pPr>
                    <w:jc w:val="center"/>
                    <w:rPr>
                      <w:rFonts w:ascii="Times New Roman" w:hAnsi="Times New Roman" w:eastAsia="宋体" w:cs="Times New Roman"/>
                      <w:szCs w:val="21"/>
                    </w:rPr>
                  </w:pPr>
                  <w:r>
                    <w:rPr>
                      <w:rFonts w:ascii="Times New Roman" w:hAnsi="Times New Roman" w:eastAsia="宋体" w:cs="Times New Roman"/>
                      <w:szCs w:val="21"/>
                    </w:rPr>
                    <w:t>（μg/Nm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6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标准值</w:t>
                  </w:r>
                </w:p>
                <w:p>
                  <w:pPr>
                    <w:jc w:val="center"/>
                    <w:rPr>
                      <w:rFonts w:ascii="Times New Roman" w:hAnsi="Times New Roman" w:eastAsia="宋体" w:cs="Times New Roman"/>
                      <w:szCs w:val="21"/>
                    </w:rPr>
                  </w:pPr>
                  <w:r>
                    <w:rPr>
                      <w:rFonts w:ascii="Times New Roman" w:hAnsi="Times New Roman" w:eastAsia="宋体" w:cs="Times New Roman"/>
                      <w:szCs w:val="21"/>
                    </w:rPr>
                    <w:t>（μg/Nm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5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占标率</w:t>
                  </w:r>
                </w:p>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7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达标情况</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55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SO</w:t>
                  </w:r>
                  <w:r>
                    <w:rPr>
                      <w:rFonts w:ascii="Times New Roman" w:hAnsi="Times New Roman" w:eastAsia="宋体" w:cs="Times New Roman"/>
                      <w:szCs w:val="21"/>
                      <w:vertAlign w:val="subscript"/>
                    </w:rPr>
                    <w:t>2</w:t>
                  </w:r>
                </w:p>
              </w:tc>
              <w:tc>
                <w:tcPr>
                  <w:tcW w:w="171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年平均质量浓度</w:t>
                  </w:r>
                </w:p>
              </w:tc>
              <w:tc>
                <w:tcPr>
                  <w:tcW w:w="79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9</w:t>
                  </w:r>
                </w:p>
              </w:tc>
              <w:tc>
                <w:tcPr>
                  <w:tcW w:w="6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5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15</w:t>
                  </w:r>
                </w:p>
              </w:tc>
              <w:tc>
                <w:tcPr>
                  <w:tcW w:w="7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55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NO</w:t>
                  </w:r>
                  <w:r>
                    <w:rPr>
                      <w:rFonts w:ascii="Times New Roman" w:hAnsi="Times New Roman" w:eastAsia="宋体" w:cs="Times New Roman"/>
                      <w:szCs w:val="21"/>
                      <w:vertAlign w:val="subscript"/>
                    </w:rPr>
                    <w:t>2</w:t>
                  </w:r>
                </w:p>
              </w:tc>
              <w:tc>
                <w:tcPr>
                  <w:tcW w:w="171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年平均质量浓度</w:t>
                  </w:r>
                </w:p>
              </w:tc>
              <w:tc>
                <w:tcPr>
                  <w:tcW w:w="794"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12</w:t>
                  </w:r>
                </w:p>
              </w:tc>
              <w:tc>
                <w:tcPr>
                  <w:tcW w:w="6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40</w:t>
                  </w:r>
                </w:p>
              </w:tc>
              <w:tc>
                <w:tcPr>
                  <w:tcW w:w="5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30</w:t>
                  </w:r>
                </w:p>
              </w:tc>
              <w:tc>
                <w:tcPr>
                  <w:tcW w:w="7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55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CO</w:t>
                  </w:r>
                </w:p>
              </w:tc>
              <w:tc>
                <w:tcPr>
                  <w:tcW w:w="171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24小时平均第95百分位数</w:t>
                  </w:r>
                </w:p>
              </w:tc>
              <w:tc>
                <w:tcPr>
                  <w:tcW w:w="79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0.8mg/m</w:t>
                  </w:r>
                  <w:r>
                    <w:rPr>
                      <w:rFonts w:ascii="Times New Roman" w:hAnsi="Times New Roman" w:eastAsia="宋体" w:cs="Times New Roman"/>
                      <w:szCs w:val="21"/>
                      <w:vertAlign w:val="superscript"/>
                    </w:rPr>
                    <w:t>3</w:t>
                  </w:r>
                </w:p>
              </w:tc>
              <w:tc>
                <w:tcPr>
                  <w:tcW w:w="6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4mg/m</w:t>
                  </w:r>
                  <w:r>
                    <w:rPr>
                      <w:rFonts w:ascii="Times New Roman" w:hAnsi="Times New Roman" w:eastAsia="宋体" w:cs="Times New Roman"/>
                      <w:szCs w:val="21"/>
                      <w:vertAlign w:val="superscript"/>
                    </w:rPr>
                    <w:t>3</w:t>
                  </w:r>
                </w:p>
              </w:tc>
              <w:tc>
                <w:tcPr>
                  <w:tcW w:w="5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w:t>
                  </w:r>
                </w:p>
              </w:tc>
              <w:tc>
                <w:tcPr>
                  <w:tcW w:w="7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55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O</w:t>
                  </w:r>
                  <w:r>
                    <w:rPr>
                      <w:rFonts w:ascii="Times New Roman" w:hAnsi="Times New Roman" w:eastAsia="宋体" w:cs="Times New Roman"/>
                      <w:szCs w:val="21"/>
                      <w:vertAlign w:val="subscript"/>
                    </w:rPr>
                    <w:t>3</w:t>
                  </w:r>
                </w:p>
              </w:tc>
              <w:tc>
                <w:tcPr>
                  <w:tcW w:w="171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日最大8小时滑动平均值</w:t>
                  </w:r>
                </w:p>
                <w:p>
                  <w:pPr>
                    <w:jc w:val="center"/>
                    <w:rPr>
                      <w:rFonts w:ascii="Times New Roman" w:hAnsi="Times New Roman" w:eastAsia="宋体" w:cs="Times New Roman"/>
                      <w:szCs w:val="21"/>
                    </w:rPr>
                  </w:pPr>
                  <w:r>
                    <w:rPr>
                      <w:rFonts w:ascii="Times New Roman" w:hAnsi="Times New Roman" w:eastAsia="宋体" w:cs="Times New Roman"/>
                      <w:szCs w:val="21"/>
                    </w:rPr>
                    <w:t>第90百分位数</w:t>
                  </w:r>
                </w:p>
              </w:tc>
              <w:tc>
                <w:tcPr>
                  <w:tcW w:w="794"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138</w:t>
                  </w:r>
                </w:p>
              </w:tc>
              <w:tc>
                <w:tcPr>
                  <w:tcW w:w="6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160</w:t>
                  </w:r>
                </w:p>
              </w:tc>
              <w:tc>
                <w:tcPr>
                  <w:tcW w:w="5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86.3</w:t>
                  </w:r>
                </w:p>
              </w:tc>
              <w:tc>
                <w:tcPr>
                  <w:tcW w:w="7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55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10</w:t>
                  </w:r>
                </w:p>
              </w:tc>
              <w:tc>
                <w:tcPr>
                  <w:tcW w:w="171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年平均质量浓度</w:t>
                  </w:r>
                </w:p>
              </w:tc>
              <w:tc>
                <w:tcPr>
                  <w:tcW w:w="794"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32</w:t>
                  </w:r>
                </w:p>
              </w:tc>
              <w:tc>
                <w:tcPr>
                  <w:tcW w:w="6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70</w:t>
                  </w:r>
                </w:p>
              </w:tc>
              <w:tc>
                <w:tcPr>
                  <w:tcW w:w="5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45.7</w:t>
                  </w:r>
                </w:p>
              </w:tc>
              <w:tc>
                <w:tcPr>
                  <w:tcW w:w="7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55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2.5</w:t>
                  </w:r>
                </w:p>
              </w:tc>
              <w:tc>
                <w:tcPr>
                  <w:tcW w:w="1714"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年平均质量浓度</w:t>
                  </w:r>
                </w:p>
              </w:tc>
              <w:tc>
                <w:tcPr>
                  <w:tcW w:w="794"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21</w:t>
                  </w:r>
                </w:p>
              </w:tc>
              <w:tc>
                <w:tcPr>
                  <w:tcW w:w="6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35</w:t>
                  </w:r>
                </w:p>
              </w:tc>
              <w:tc>
                <w:tcPr>
                  <w:tcW w:w="5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60</w:t>
                  </w:r>
                </w:p>
              </w:tc>
              <w:tc>
                <w:tcPr>
                  <w:tcW w:w="7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bl>
          <w:p>
            <w:pPr>
              <w:pStyle w:val="2"/>
              <w:spacing w:line="360" w:lineRule="auto"/>
              <w:ind w:firstLine="480" w:firstLineChars="200"/>
              <w:rPr>
                <w:rFonts w:ascii="Times New Roman" w:eastAsia="宋体" w:cs="Times New Roman"/>
              </w:rPr>
            </w:pPr>
            <w:r>
              <w:rPr>
                <w:rFonts w:ascii="Times New Roman" w:eastAsia="宋体" w:cs="Times New Roman"/>
              </w:rPr>
              <w:t>根据上表数据和《湛江市生态环境质量年报简报（2021年）》结论综述：2021 年湛江市区空气质量均达到二级标准，所以，项目所在区域大气中SO</w:t>
            </w:r>
            <w:r>
              <w:rPr>
                <w:rFonts w:ascii="Times New Roman" w:eastAsia="宋体" w:cs="Times New Roman"/>
                <w:vertAlign w:val="subscript"/>
              </w:rPr>
              <w:t>2</w:t>
            </w:r>
            <w:r>
              <w:rPr>
                <w:rFonts w:ascii="Times New Roman" w:eastAsia="宋体" w:cs="Times New Roman"/>
              </w:rPr>
              <w:t>、NO</w:t>
            </w:r>
            <w:r>
              <w:rPr>
                <w:rFonts w:ascii="Times New Roman" w:eastAsia="宋体" w:cs="Times New Roman"/>
                <w:vertAlign w:val="subscript"/>
              </w:rPr>
              <w:t>2</w:t>
            </w:r>
            <w:r>
              <w:rPr>
                <w:rFonts w:ascii="Times New Roman" w:eastAsia="宋体" w:cs="Times New Roman"/>
              </w:rPr>
              <w:t>、CO、O</w:t>
            </w:r>
            <w:r>
              <w:rPr>
                <w:rFonts w:ascii="Times New Roman" w:eastAsia="宋体" w:cs="Times New Roman"/>
                <w:vertAlign w:val="subscript"/>
              </w:rPr>
              <w:t>3</w:t>
            </w:r>
            <w:r>
              <w:rPr>
                <w:rFonts w:ascii="Times New Roman" w:eastAsia="宋体" w:cs="Times New Roman"/>
              </w:rPr>
              <w:t>、PM</w:t>
            </w:r>
            <w:r>
              <w:rPr>
                <w:rFonts w:ascii="Times New Roman" w:eastAsia="宋体" w:cs="Times New Roman"/>
                <w:vertAlign w:val="subscript"/>
              </w:rPr>
              <w:t>10</w:t>
            </w:r>
            <w:r>
              <w:rPr>
                <w:rFonts w:ascii="Times New Roman" w:eastAsia="宋体" w:cs="Times New Roman"/>
              </w:rPr>
              <w:t>、PM</w:t>
            </w:r>
            <w:r>
              <w:rPr>
                <w:rFonts w:ascii="Times New Roman" w:eastAsia="宋体" w:cs="Times New Roman"/>
                <w:vertAlign w:val="subscript"/>
              </w:rPr>
              <w:t>2.5</w:t>
            </w:r>
            <w:r>
              <w:rPr>
                <w:rFonts w:ascii="Times New Roman" w:eastAsia="宋体" w:cs="Times New Roman"/>
              </w:rPr>
              <w:t>年平均浓度均满足《环境空气质量标准》（GB3095-2012）中的二级标准及2018年修改单的要求，本项目所在区域环境空气质量现状较好，项目所在评价区域为环境空气达标区域。</w:t>
            </w:r>
          </w:p>
          <w:p>
            <w:pPr>
              <w:spacing w:line="360" w:lineRule="auto"/>
              <w:ind w:firstLine="482" w:firstLineChars="200"/>
              <w:rPr>
                <w:rFonts w:ascii="Times New Roman" w:hAnsi="Times New Roman" w:eastAsia="宋体" w:cs="Times New Roman"/>
                <w:b/>
                <w:sz w:val="24"/>
              </w:rPr>
            </w:pPr>
            <w:r>
              <w:rPr>
                <w:rFonts w:ascii="Times New Roman" w:hAnsi="Times New Roman" w:eastAsia="宋体" w:cs="Times New Roman"/>
                <w:b/>
                <w:sz w:val="24"/>
              </w:rPr>
              <w:t>2、水环境质量现状</w:t>
            </w:r>
          </w:p>
          <w:p>
            <w:pPr>
              <w:pStyle w:val="2"/>
              <w:spacing w:line="360" w:lineRule="auto"/>
              <w:ind w:firstLine="480" w:firstLineChars="200"/>
              <w:rPr>
                <w:rFonts w:ascii="Times New Roman" w:eastAsia="宋体" w:cs="Times New Roman"/>
              </w:rPr>
            </w:pPr>
            <w:r>
              <w:rPr>
                <w:rFonts w:ascii="Times New Roman" w:eastAsia="宋体" w:cs="Times New Roman"/>
              </w:rPr>
              <w:t>本项目的废水经预处理后排入市政污水管网进入湛江市赤坎水质净化厂处理后排入滨湖。根据</w:t>
            </w:r>
            <w:r>
              <w:rPr>
                <w:rFonts w:hint="eastAsia" w:ascii="Times New Roman" w:eastAsia="宋体" w:cs="Times New Roman"/>
              </w:rPr>
              <w:t>《广东省地表水环境功能区划》（粤环〔2</w:t>
            </w:r>
            <w:r>
              <w:rPr>
                <w:rFonts w:hint="eastAsia" w:ascii="Times New Roman" w:eastAsia="宋体" w:cs="Times New Roman"/>
                <w:b w:val="0"/>
                <w:bCs w:val="0"/>
              </w:rPr>
              <w:t>011〕14 号），</w:t>
            </w:r>
            <w:r>
              <w:rPr>
                <w:rFonts w:ascii="Times New Roman" w:eastAsia="宋体" w:cs="Times New Roman"/>
                <w:b w:val="0"/>
                <w:bCs w:val="0"/>
              </w:rPr>
              <w:t>滨湖属于</w:t>
            </w:r>
            <w:r>
              <w:rPr>
                <w:rFonts w:hint="eastAsia" w:ascii="Times New Roman" w:eastAsia="宋体" w:cs="Times New Roman"/>
                <w:b w:val="0"/>
                <w:bCs w:val="0"/>
              </w:rPr>
              <w:t>一般景观要求水域按功能划分为V类，水质执行《地表水环境质量标准》（GB</w:t>
            </w:r>
            <w:r>
              <w:rPr>
                <w:rFonts w:hint="eastAsia" w:ascii="Times New Roman" w:eastAsia="宋体" w:cs="Times New Roman"/>
                <w:b w:val="0"/>
                <w:bCs w:val="0"/>
                <w:lang w:val="en-US" w:eastAsia="zh-CN"/>
              </w:rPr>
              <w:t>3</w:t>
            </w:r>
            <w:r>
              <w:rPr>
                <w:rFonts w:hint="eastAsia" w:ascii="Times New Roman" w:eastAsia="宋体" w:cs="Times New Roman"/>
                <w:b w:val="0"/>
                <w:bCs w:val="0"/>
              </w:rPr>
              <w:t>838-2002）第V类标准。</w:t>
            </w:r>
            <w:r>
              <w:rPr>
                <w:rFonts w:ascii="Times New Roman" w:eastAsia="宋体" w:cs="Times New Roman"/>
              </w:rPr>
              <w:t>为了解滨湖水环境质量现状，本次环评引用湛江圣华玻璃容器有限公司委托广州华鑫检测技术有限公司于2021年2月25日~2月27日对滨湖的现状监测数据，水质的监测报告（报告编号HX210713）。详见表3-2：</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表3-2水环境质量状况表（单位：mg/L，pH值无量纲）</w:t>
            </w:r>
          </w:p>
          <w:tbl>
            <w:tblPr>
              <w:tblStyle w:val="29"/>
              <w:tblW w:w="4999" w:type="pct"/>
              <w:jc w:val="center"/>
              <w:tblLayout w:type="autofit"/>
              <w:tblCellMar>
                <w:top w:w="0" w:type="dxa"/>
                <w:left w:w="108" w:type="dxa"/>
                <w:bottom w:w="0" w:type="dxa"/>
                <w:right w:w="108" w:type="dxa"/>
              </w:tblCellMar>
            </w:tblPr>
            <w:tblGrid>
              <w:gridCol w:w="2063"/>
              <w:gridCol w:w="1158"/>
              <w:gridCol w:w="930"/>
              <w:gridCol w:w="921"/>
              <w:gridCol w:w="929"/>
              <w:gridCol w:w="926"/>
              <w:gridCol w:w="968"/>
            </w:tblGrid>
            <w:tr>
              <w:tblPrEx>
                <w:tblCellMar>
                  <w:top w:w="0" w:type="dxa"/>
                  <w:left w:w="108" w:type="dxa"/>
                  <w:bottom w:w="0" w:type="dxa"/>
                  <w:right w:w="108" w:type="dxa"/>
                </w:tblCellMar>
              </w:tblPrEx>
              <w:trPr>
                <w:trHeight w:val="360" w:hRule="atLeast"/>
                <w:jc w:val="center"/>
              </w:trPr>
              <w:tc>
                <w:tcPr>
                  <w:tcW w:w="1307" w:type="pct"/>
                  <w:vMerge w:val="restar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监测项目</w:t>
                  </w:r>
                </w:p>
              </w:tc>
              <w:tc>
                <w:tcPr>
                  <w:tcW w:w="3692" w:type="pct"/>
                  <w:gridSpan w:val="6"/>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监测结果（单位:mg/L</w:t>
                  </w:r>
                  <w:r>
                    <w:rPr>
                      <w:rStyle w:val="50"/>
                      <w:rFonts w:hint="default" w:ascii="Times New Roman" w:hAnsi="Times New Roman" w:cs="Times New Roman"/>
                      <w:sz w:val="21"/>
                      <w:szCs w:val="21"/>
                      <w:lang w:bidi="ar"/>
                    </w:rPr>
                    <w:t>，水温、</w:t>
                  </w:r>
                  <w:r>
                    <w:rPr>
                      <w:rFonts w:ascii="Times New Roman" w:hAnsi="Times New Roman" w:eastAsia="宋体" w:cs="Times New Roman"/>
                      <w:color w:val="000000"/>
                      <w:kern w:val="0"/>
                      <w:szCs w:val="21"/>
                      <w:lang w:bidi="ar"/>
                    </w:rPr>
                    <w:t>pH</w:t>
                  </w:r>
                  <w:r>
                    <w:rPr>
                      <w:rStyle w:val="50"/>
                      <w:rFonts w:hint="default" w:ascii="Times New Roman" w:hAnsi="Times New Roman" w:cs="Times New Roman"/>
                      <w:sz w:val="21"/>
                      <w:szCs w:val="21"/>
                      <w:lang w:bidi="ar"/>
                    </w:rPr>
                    <w:t>值除外）</w:t>
                  </w:r>
                </w:p>
              </w:tc>
            </w:tr>
            <w:tr>
              <w:tblPrEx>
                <w:tblCellMar>
                  <w:top w:w="0" w:type="dxa"/>
                  <w:left w:w="108" w:type="dxa"/>
                  <w:bottom w:w="0" w:type="dxa"/>
                  <w:right w:w="108" w:type="dxa"/>
                </w:tblCellMar>
              </w:tblPrEx>
              <w:trPr>
                <w:trHeight w:val="1140" w:hRule="atLeast"/>
                <w:jc w:val="center"/>
              </w:trPr>
              <w:tc>
                <w:tcPr>
                  <w:tcW w:w="1307" w:type="pct"/>
                  <w:vMerge w:val="continue"/>
                  <w:tcBorders>
                    <w:top w:val="single" w:color="000000" w:sz="4" w:space="0"/>
                    <w:bottom w:val="single" w:color="000000" w:sz="4" w:space="0"/>
                    <w:right w:val="single" w:color="000000" w:sz="4" w:space="0"/>
                  </w:tcBorders>
                  <w:shd w:val="clear" w:color="auto" w:fill="auto"/>
                  <w:vAlign w:val="center"/>
                </w:tcPr>
                <w:p>
                  <w:pPr>
                    <w:jc w:val="center"/>
                    <w:rPr>
                      <w:rFonts w:ascii="Times New Roman" w:hAnsi="Times New Roman" w:eastAsia="宋体" w:cs="Times New Roman"/>
                      <w:color w:val="000000"/>
                      <w:szCs w:val="21"/>
                    </w:rPr>
                  </w:pPr>
                </w:p>
              </w:tc>
              <w:tc>
                <w:tcPr>
                  <w:tcW w:w="1322" w:type="pct"/>
                  <w:gridSpan w:val="2"/>
                  <w:tcBorders>
                    <w:top w:val="single" w:color="000000" w:sz="4" w:space="0"/>
                    <w:left w:val="nil"/>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W1</w:t>
                  </w:r>
                  <w:r>
                    <w:rPr>
                      <w:rStyle w:val="51"/>
                      <w:rFonts w:hint="default" w:ascii="Times New Roman" w:hAnsi="Times New Roman" w:cs="Times New Roman"/>
                      <w:sz w:val="21"/>
                      <w:szCs w:val="21"/>
                      <w:lang w:bidi="ar"/>
                    </w:rPr>
                    <w:t>赤坎水质净化厂出水口上游</w:t>
                  </w:r>
                  <w:r>
                    <w:rPr>
                      <w:rStyle w:val="52"/>
                      <w:rFonts w:eastAsia="宋体"/>
                      <w:sz w:val="21"/>
                      <w:szCs w:val="21"/>
                      <w:lang w:bidi="ar"/>
                    </w:rPr>
                    <w:t>500m</w:t>
                  </w:r>
                </w:p>
              </w:tc>
              <w:tc>
                <w:tcPr>
                  <w:tcW w:w="1171" w:type="pct"/>
                  <w:gridSpan w:val="2"/>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W2</w:t>
                  </w:r>
                  <w:r>
                    <w:rPr>
                      <w:rStyle w:val="51"/>
                      <w:rFonts w:hint="default" w:ascii="Times New Roman" w:hAnsi="Times New Roman" w:cs="Times New Roman"/>
                      <w:sz w:val="21"/>
                      <w:szCs w:val="21"/>
                      <w:lang w:bidi="ar"/>
                    </w:rPr>
                    <w:t>赤坎水质净化厂出水口下游</w:t>
                  </w:r>
                  <w:r>
                    <w:rPr>
                      <w:rStyle w:val="52"/>
                      <w:rFonts w:eastAsia="宋体"/>
                      <w:sz w:val="21"/>
                      <w:szCs w:val="21"/>
                      <w:lang w:bidi="ar"/>
                    </w:rPr>
                    <w:t>1000m</w:t>
                  </w:r>
                  <w:r>
                    <w:rPr>
                      <w:rStyle w:val="51"/>
                      <w:rFonts w:hint="default" w:ascii="Times New Roman" w:hAnsi="Times New Roman" w:cs="Times New Roman"/>
                      <w:sz w:val="21"/>
                      <w:szCs w:val="21"/>
                      <w:lang w:bidi="ar"/>
                    </w:rPr>
                    <w:t>（左中右混合样）</w:t>
                  </w:r>
                </w:p>
              </w:tc>
              <w:tc>
                <w:tcPr>
                  <w:tcW w:w="1197" w:type="pct"/>
                  <w:gridSpan w:val="2"/>
                  <w:tcBorders>
                    <w:top w:val="nil"/>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W3</w:t>
                  </w:r>
                  <w:r>
                    <w:rPr>
                      <w:rStyle w:val="51"/>
                      <w:rFonts w:hint="default" w:ascii="Times New Roman" w:hAnsi="Times New Roman" w:cs="Times New Roman"/>
                      <w:sz w:val="21"/>
                      <w:szCs w:val="21"/>
                      <w:lang w:bidi="ar"/>
                    </w:rPr>
                    <w:t>赤坎水质净化厂出水口下游</w:t>
                  </w:r>
                  <w:r>
                    <w:rPr>
                      <w:rStyle w:val="52"/>
                      <w:rFonts w:eastAsia="宋体"/>
                      <w:sz w:val="21"/>
                      <w:szCs w:val="21"/>
                      <w:lang w:bidi="ar"/>
                    </w:rPr>
                    <w:t>1500m</w:t>
                  </w:r>
                  <w:r>
                    <w:rPr>
                      <w:rStyle w:val="51"/>
                      <w:rFonts w:hint="default" w:ascii="Times New Roman" w:hAnsi="Times New Roman" w:cs="Times New Roman"/>
                      <w:sz w:val="21"/>
                      <w:szCs w:val="21"/>
                      <w:lang w:bidi="ar"/>
                    </w:rPr>
                    <w:t>（左中右混合样）</w:t>
                  </w:r>
                </w:p>
              </w:tc>
            </w:tr>
            <w:tr>
              <w:tblPrEx>
                <w:tblCellMar>
                  <w:top w:w="0" w:type="dxa"/>
                  <w:left w:w="108" w:type="dxa"/>
                  <w:bottom w:w="0" w:type="dxa"/>
                  <w:right w:w="108" w:type="dxa"/>
                </w:tblCellMar>
              </w:tblPrEx>
              <w:trPr>
                <w:trHeight w:val="285" w:hRule="atLeast"/>
                <w:jc w:val="center"/>
              </w:trPr>
              <w:tc>
                <w:tcPr>
                  <w:tcW w:w="1307" w:type="pct"/>
                  <w:vMerge w:val="continue"/>
                  <w:tcBorders>
                    <w:top w:val="single" w:color="000000" w:sz="4" w:space="0"/>
                    <w:bottom w:val="single" w:color="000000" w:sz="4" w:space="0"/>
                    <w:right w:val="single" w:color="000000" w:sz="4" w:space="0"/>
                  </w:tcBorders>
                  <w:shd w:val="clear" w:color="auto" w:fill="auto"/>
                  <w:vAlign w:val="center"/>
                </w:tcPr>
                <w:p>
                  <w:pPr>
                    <w:jc w:val="center"/>
                    <w:rPr>
                      <w:rFonts w:ascii="Times New Roman" w:hAnsi="Times New Roman" w:eastAsia="宋体" w:cs="Times New Roman"/>
                      <w:color w:val="000000"/>
                      <w:szCs w:val="21"/>
                    </w:rPr>
                  </w:pPr>
                </w:p>
              </w:tc>
              <w:tc>
                <w:tcPr>
                  <w:tcW w:w="3692" w:type="pct"/>
                  <w:gridSpan w:val="6"/>
                  <w:tcBorders>
                    <w:top w:val="single" w:color="000000" w:sz="4" w:space="0"/>
                    <w:left w:val="nil"/>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监测日期：</w:t>
                  </w:r>
                  <w:r>
                    <w:rPr>
                      <w:rStyle w:val="52"/>
                      <w:rFonts w:eastAsia="宋体"/>
                      <w:sz w:val="21"/>
                      <w:szCs w:val="21"/>
                      <w:lang w:bidi="ar"/>
                    </w:rPr>
                    <w:t>2021.02.25</w:t>
                  </w:r>
                </w:p>
              </w:tc>
            </w:tr>
            <w:tr>
              <w:tblPrEx>
                <w:tblCellMar>
                  <w:top w:w="0" w:type="dxa"/>
                  <w:left w:w="108" w:type="dxa"/>
                  <w:bottom w:w="0" w:type="dxa"/>
                  <w:right w:w="108" w:type="dxa"/>
                </w:tblCellMar>
              </w:tblPrEx>
              <w:trPr>
                <w:trHeight w:val="285" w:hRule="atLeast"/>
                <w:jc w:val="center"/>
              </w:trPr>
              <w:tc>
                <w:tcPr>
                  <w:tcW w:w="1307" w:type="pct"/>
                  <w:vMerge w:val="continue"/>
                  <w:tcBorders>
                    <w:top w:val="single" w:color="000000" w:sz="4" w:space="0"/>
                    <w:bottom w:val="single" w:color="000000" w:sz="4" w:space="0"/>
                    <w:right w:val="single" w:color="000000" w:sz="4" w:space="0"/>
                  </w:tcBorders>
                  <w:shd w:val="clear" w:color="auto" w:fill="auto"/>
                  <w:vAlign w:val="center"/>
                </w:tcPr>
                <w:p>
                  <w:pPr>
                    <w:jc w:val="center"/>
                    <w:rPr>
                      <w:rFonts w:ascii="Times New Roman" w:hAnsi="Times New Roman" w:eastAsia="宋体" w:cs="Times New Roman"/>
                      <w:color w:val="000000"/>
                      <w:szCs w:val="21"/>
                    </w:rPr>
                  </w:pPr>
                </w:p>
              </w:tc>
              <w:tc>
                <w:tcPr>
                  <w:tcW w:w="733" w:type="pct"/>
                  <w:tcBorders>
                    <w:top w:val="single" w:color="000000" w:sz="4" w:space="0"/>
                    <w:left w:val="nil"/>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第一次</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第二次</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第一次</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第二次</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第一次</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第二次</w:t>
                  </w:r>
                </w:p>
              </w:tc>
            </w:tr>
            <w:tr>
              <w:tblPrEx>
                <w:tblCellMar>
                  <w:top w:w="0" w:type="dxa"/>
                  <w:left w:w="108" w:type="dxa"/>
                  <w:bottom w:w="0" w:type="dxa"/>
                  <w:right w:w="108" w:type="dxa"/>
                </w:tblCellMar>
              </w:tblPrEx>
              <w:trPr>
                <w:trHeight w:val="400" w:hRule="atLeast"/>
                <w:jc w:val="center"/>
              </w:trPr>
              <w:tc>
                <w:tcPr>
                  <w:tcW w:w="1307" w:type="pct"/>
                  <w:tcBorders>
                    <w:top w:val="nil"/>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水温（</w:t>
                  </w:r>
                  <w:r>
                    <w:rPr>
                      <w:rStyle w:val="52"/>
                      <w:rFonts w:eastAsia="宋体"/>
                      <w:sz w:val="21"/>
                      <w:szCs w:val="21"/>
                      <w:lang w:bidi="ar"/>
                    </w:rPr>
                    <w:t>℃)</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23.1</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21.8</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23.5</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21.5</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22.7</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20.9</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pH</w:t>
                  </w:r>
                  <w:r>
                    <w:rPr>
                      <w:rStyle w:val="51"/>
                      <w:rFonts w:hint="default" w:ascii="Times New Roman" w:hAnsi="Times New Roman" w:cs="Times New Roman"/>
                      <w:sz w:val="21"/>
                      <w:szCs w:val="21"/>
                      <w:lang w:bidi="ar"/>
                    </w:rPr>
                    <w:t>值（无量纲）</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7.35</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7.35</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7.43</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7.43</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7.31</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7.32</w:t>
                  </w:r>
                </w:p>
              </w:tc>
            </w:tr>
            <w:tr>
              <w:tblPrEx>
                <w:tblCellMar>
                  <w:top w:w="0" w:type="dxa"/>
                  <w:left w:w="108" w:type="dxa"/>
                  <w:bottom w:w="0" w:type="dxa"/>
                  <w:right w:w="108" w:type="dxa"/>
                </w:tblCellMar>
              </w:tblPrEx>
              <w:trPr>
                <w:trHeight w:val="360"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化学需氧量</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20</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21</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29</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33</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25</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27</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五日生化需氧量</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4.5</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4.44</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6.4</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7.4</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5.2</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6.2</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悬浮物</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92</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87</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126</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113</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130</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117</w:t>
                  </w:r>
                </w:p>
              </w:tc>
            </w:tr>
            <w:tr>
              <w:tblPrEx>
                <w:tblCellMar>
                  <w:top w:w="0" w:type="dxa"/>
                  <w:left w:w="108" w:type="dxa"/>
                  <w:bottom w:w="0" w:type="dxa"/>
                  <w:right w:w="108" w:type="dxa"/>
                </w:tblCellMar>
              </w:tblPrEx>
              <w:trPr>
                <w:trHeight w:val="300"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氨氮</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0.494</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0.388</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0.622</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0.652</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0.502</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0.499</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总磷</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0.08</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0.07</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0.23</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0.19</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0.21</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0.24</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石油类</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0.19</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0.23</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0.22</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0.27</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0.30</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0.32</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jc w:val="center"/>
                    <w:rPr>
                      <w:rFonts w:ascii="Times New Roman" w:hAnsi="Times New Roman" w:eastAsia="宋体" w:cs="Times New Roman"/>
                      <w:color w:val="000000"/>
                      <w:szCs w:val="21"/>
                    </w:rPr>
                  </w:pPr>
                </w:p>
              </w:tc>
              <w:tc>
                <w:tcPr>
                  <w:tcW w:w="3692" w:type="pct"/>
                  <w:gridSpan w:val="6"/>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监测日期：</w:t>
                  </w:r>
                  <w:r>
                    <w:rPr>
                      <w:rStyle w:val="52"/>
                      <w:rFonts w:eastAsia="宋体"/>
                      <w:sz w:val="21"/>
                      <w:szCs w:val="21"/>
                      <w:lang w:bidi="ar"/>
                    </w:rPr>
                    <w:t>2021.02.26</w:t>
                  </w:r>
                </w:p>
              </w:tc>
            </w:tr>
            <w:tr>
              <w:tblPrEx>
                <w:tblCellMar>
                  <w:top w:w="0" w:type="dxa"/>
                  <w:left w:w="108" w:type="dxa"/>
                  <w:bottom w:w="0" w:type="dxa"/>
                  <w:right w:w="108" w:type="dxa"/>
                </w:tblCellMar>
              </w:tblPrEx>
              <w:trPr>
                <w:trHeight w:val="28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监测项目</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第一次</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第二次</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第一次</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第二次</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第一次</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第二次</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水温（</w:t>
                  </w:r>
                  <w:r>
                    <w:rPr>
                      <w:rStyle w:val="52"/>
                      <w:rFonts w:eastAsia="宋体"/>
                      <w:sz w:val="21"/>
                      <w:szCs w:val="21"/>
                      <w:lang w:bidi="ar"/>
                    </w:rPr>
                    <w:t>℃)</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19.7</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20.9</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20.2</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20.5</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21.3</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20.4</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pH</w:t>
                  </w:r>
                  <w:r>
                    <w:rPr>
                      <w:rStyle w:val="51"/>
                      <w:rFonts w:hint="default" w:ascii="Times New Roman" w:hAnsi="Times New Roman" w:cs="Times New Roman"/>
                      <w:sz w:val="21"/>
                      <w:szCs w:val="21"/>
                      <w:lang w:bidi="ar"/>
                    </w:rPr>
                    <w:t>值（无量纲）</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7.37</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7.32</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7.48</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7.46</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7.35</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7.34</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化学需氧量</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17</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18</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25</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27</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23</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22</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五日生化需氧量</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3.6</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4.0</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5.6</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6.2</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5.3</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5.2</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悬浮物</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103</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90</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127</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116</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132</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123</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氨氮</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0.498</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0.392</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0.644</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0.710</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0.558</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0.622</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总磷</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0.06</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0.03</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0.15</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0.24</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0.17</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0.23</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石油类</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0.22</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0.24</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0.20</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0.22</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0.14</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0.17</w:t>
                  </w:r>
                </w:p>
              </w:tc>
            </w:tr>
            <w:tr>
              <w:tblPrEx>
                <w:tblCellMar>
                  <w:top w:w="0" w:type="dxa"/>
                  <w:left w:w="108" w:type="dxa"/>
                  <w:bottom w:w="0" w:type="dxa"/>
                  <w:right w:w="108" w:type="dxa"/>
                </w:tblCellMar>
              </w:tblPrEx>
              <w:trPr>
                <w:trHeight w:val="28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p>
              </w:tc>
              <w:tc>
                <w:tcPr>
                  <w:tcW w:w="3692" w:type="pct"/>
                  <w:gridSpan w:val="6"/>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监测日期：</w:t>
                  </w:r>
                  <w:r>
                    <w:rPr>
                      <w:rStyle w:val="52"/>
                      <w:rFonts w:eastAsia="宋体"/>
                      <w:sz w:val="21"/>
                      <w:szCs w:val="21"/>
                      <w:lang w:bidi="ar"/>
                    </w:rPr>
                    <w:t>2021.02.27</w:t>
                  </w:r>
                </w:p>
              </w:tc>
            </w:tr>
            <w:tr>
              <w:tblPrEx>
                <w:tblCellMar>
                  <w:top w:w="0" w:type="dxa"/>
                  <w:left w:w="108" w:type="dxa"/>
                  <w:bottom w:w="0" w:type="dxa"/>
                  <w:right w:w="108" w:type="dxa"/>
                </w:tblCellMar>
              </w:tblPrEx>
              <w:trPr>
                <w:trHeight w:val="28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监测项目</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第一次</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第二次</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第一次</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第二次</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第一次</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第二次</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水温（</w:t>
                  </w:r>
                  <w:r>
                    <w:rPr>
                      <w:rStyle w:val="52"/>
                      <w:rFonts w:eastAsia="宋体"/>
                      <w:sz w:val="21"/>
                      <w:szCs w:val="21"/>
                      <w:lang w:bidi="ar"/>
                    </w:rPr>
                    <w:t>℃)</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21.1</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21.7</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22.3</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21.5</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22.6</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21.8</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pH</w:t>
                  </w:r>
                  <w:r>
                    <w:rPr>
                      <w:rStyle w:val="51"/>
                      <w:rFonts w:hint="default" w:ascii="Times New Roman" w:hAnsi="Times New Roman" w:cs="Times New Roman"/>
                      <w:sz w:val="21"/>
                      <w:szCs w:val="21"/>
                      <w:lang w:bidi="ar"/>
                    </w:rPr>
                    <w:t>值（无量纲</w:t>
                  </w:r>
                  <w:r>
                    <w:rPr>
                      <w:rStyle w:val="52"/>
                      <w:rFonts w:eastAsia="宋体"/>
                      <w:sz w:val="21"/>
                      <w:szCs w:val="21"/>
                      <w:lang w:bidi="ar"/>
                    </w:rPr>
                    <w:t>)</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7.29</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7.35</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7.38</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7.44</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7.26</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7.48</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nil"/>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化学需氧量</w:t>
                  </w:r>
                </w:p>
              </w:tc>
              <w:tc>
                <w:tcPr>
                  <w:tcW w:w="733" w:type="pct"/>
                  <w:tcBorders>
                    <w:top w:val="single" w:color="000000" w:sz="4" w:space="0"/>
                    <w:left w:val="single" w:color="000000" w:sz="4" w:space="0"/>
                    <w:bottom w:val="nil"/>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14</w:t>
                  </w:r>
                </w:p>
              </w:tc>
              <w:tc>
                <w:tcPr>
                  <w:tcW w:w="588" w:type="pct"/>
                  <w:tcBorders>
                    <w:top w:val="single" w:color="000000" w:sz="4" w:space="0"/>
                    <w:left w:val="single" w:color="000000" w:sz="4" w:space="0"/>
                    <w:bottom w:val="nil"/>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16</w:t>
                  </w:r>
                </w:p>
              </w:tc>
              <w:tc>
                <w:tcPr>
                  <w:tcW w:w="583" w:type="pct"/>
                  <w:tcBorders>
                    <w:top w:val="single" w:color="000000" w:sz="4" w:space="0"/>
                    <w:left w:val="single" w:color="000000" w:sz="4" w:space="0"/>
                    <w:bottom w:val="nil"/>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23</w:t>
                  </w:r>
                </w:p>
              </w:tc>
              <w:tc>
                <w:tcPr>
                  <w:tcW w:w="588" w:type="pct"/>
                  <w:tcBorders>
                    <w:top w:val="single" w:color="000000" w:sz="4" w:space="0"/>
                    <w:left w:val="single" w:color="000000" w:sz="4" w:space="0"/>
                    <w:bottom w:val="nil"/>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27</w:t>
                  </w:r>
                </w:p>
              </w:tc>
              <w:tc>
                <w:tcPr>
                  <w:tcW w:w="586" w:type="pct"/>
                  <w:tcBorders>
                    <w:top w:val="single" w:color="000000" w:sz="4" w:space="0"/>
                    <w:left w:val="single" w:color="000000" w:sz="4" w:space="0"/>
                    <w:bottom w:val="nil"/>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20</w:t>
                  </w:r>
                </w:p>
              </w:tc>
              <w:tc>
                <w:tcPr>
                  <w:tcW w:w="611" w:type="pct"/>
                  <w:tcBorders>
                    <w:top w:val="single" w:color="000000" w:sz="4" w:space="0"/>
                    <w:left w:val="single" w:color="000000" w:sz="4" w:space="0"/>
                    <w:bottom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24</w:t>
                  </w:r>
                </w:p>
              </w:tc>
            </w:tr>
            <w:tr>
              <w:tblPrEx>
                <w:tblCellMar>
                  <w:top w:w="0" w:type="dxa"/>
                  <w:left w:w="108" w:type="dxa"/>
                  <w:bottom w:w="0" w:type="dxa"/>
                  <w:right w:w="108" w:type="dxa"/>
                </w:tblCellMar>
              </w:tblPrEx>
              <w:trPr>
                <w:trHeight w:val="360"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五日生化需氧量</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3.2</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3.6</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5.2</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6.1</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4.3</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5.6</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悬浮物</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89</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104</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110</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116</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115</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124</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氨氮</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0.316</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0.508</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0.490</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0.708</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0.392</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0.650</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总磷</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0.03</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0.06</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0.19</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0.23</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0.22</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0.26</w:t>
                  </w:r>
                </w:p>
              </w:tc>
            </w:tr>
            <w:tr>
              <w:tblPrEx>
                <w:tblCellMar>
                  <w:top w:w="0" w:type="dxa"/>
                  <w:left w:w="108" w:type="dxa"/>
                  <w:bottom w:w="0" w:type="dxa"/>
                  <w:right w:w="108" w:type="dxa"/>
                </w:tblCellMar>
              </w:tblPrEx>
              <w:trPr>
                <w:trHeight w:val="315" w:hRule="atLeast"/>
                <w:jc w:val="center"/>
              </w:trPr>
              <w:tc>
                <w:tcPr>
                  <w:tcW w:w="1307" w:type="pct"/>
                  <w:tcBorders>
                    <w:top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石油类</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0.27</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0.26</w:t>
                  </w:r>
                </w:p>
              </w:tc>
              <w:tc>
                <w:tcPr>
                  <w:tcW w:w="58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0.22</w:t>
                  </w:r>
                </w:p>
              </w:tc>
              <w:tc>
                <w:tcPr>
                  <w:tcW w:w="58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0.21</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0.19</w:t>
                  </w:r>
                </w:p>
              </w:tc>
              <w:tc>
                <w:tcPr>
                  <w:tcW w:w="611" w:type="pct"/>
                  <w:tcBorders>
                    <w:top w:val="single" w:color="000000" w:sz="4" w:space="0"/>
                    <w:left w:val="single" w:color="000000" w:sz="4" w:space="0"/>
                    <w:bottom w:val="single" w:color="000000" w:sz="4"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0.17</w:t>
                  </w:r>
                </w:p>
              </w:tc>
            </w:tr>
          </w:tbl>
          <w:p>
            <w:pPr>
              <w:pStyle w:val="2"/>
              <w:spacing w:line="360" w:lineRule="auto"/>
              <w:ind w:firstLine="480" w:firstLineChars="200"/>
              <w:rPr>
                <w:rFonts w:ascii="Times New Roman" w:eastAsia="宋体" w:cs="Times New Roman"/>
              </w:rPr>
            </w:pPr>
            <w:r>
              <w:rPr>
                <w:rFonts w:ascii="Times New Roman" w:eastAsia="宋体" w:cs="Times New Roman"/>
              </w:rPr>
              <w:t>从监测数据可知，滨湖的各项指标均符合《地表水环境质量标准》(GB3838-2002)Ⅴ类标准要求，说明滨湖水质良好。</w:t>
            </w:r>
          </w:p>
          <w:p>
            <w:pPr>
              <w:spacing w:line="360" w:lineRule="auto"/>
              <w:ind w:firstLine="482" w:firstLineChars="200"/>
              <w:rPr>
                <w:rFonts w:ascii="Times New Roman" w:hAnsi="Times New Roman" w:eastAsia="宋体" w:cs="Times New Roman"/>
                <w:b/>
                <w:sz w:val="24"/>
              </w:rPr>
            </w:pPr>
            <w:r>
              <w:rPr>
                <w:rFonts w:ascii="Times New Roman" w:hAnsi="Times New Roman" w:eastAsia="宋体" w:cs="Times New Roman"/>
                <w:b/>
                <w:sz w:val="24"/>
              </w:rPr>
              <w:t>3、声环境质量现状</w:t>
            </w:r>
          </w:p>
          <w:p>
            <w:pPr>
              <w:pStyle w:val="2"/>
              <w:spacing w:line="360" w:lineRule="auto"/>
              <w:ind w:firstLine="480" w:firstLineChars="200"/>
              <w:rPr>
                <w:rFonts w:ascii="Times New Roman" w:eastAsia="宋体" w:cs="Times New Roman"/>
              </w:rPr>
            </w:pPr>
            <w:r>
              <w:rPr>
                <w:rFonts w:ascii="Times New Roman" w:eastAsia="宋体" w:cs="Times New Roman"/>
              </w:rPr>
              <w:t>本项目位于湛江市赤坎区农林一路14号1-2楼CD区、4楼D区，</w:t>
            </w:r>
            <w:r>
              <w:rPr>
                <w:rFonts w:hint="eastAsia" w:ascii="Times New Roman" w:eastAsia="宋体" w:cs="Times New Roman"/>
              </w:rPr>
              <w:t>根据《湛江市城市声环境功能区划分</w:t>
            </w:r>
            <w:r>
              <w:rPr>
                <w:rFonts w:hint="eastAsia" w:ascii="Times New Roman" w:eastAsia="宋体" w:cs="Times New Roman"/>
                <w:lang w:val="en-US" w:eastAsia="zh-CN"/>
              </w:rPr>
              <w:t>图（主城区）</w:t>
            </w:r>
            <w:r>
              <w:rPr>
                <w:rFonts w:hint="eastAsia" w:ascii="Times New Roman" w:eastAsia="宋体" w:cs="Times New Roman"/>
              </w:rPr>
              <w:t>》（详见附图</w:t>
            </w:r>
            <w:r>
              <w:rPr>
                <w:rFonts w:hint="eastAsia" w:ascii="Times New Roman" w:eastAsia="宋体" w:cs="Times New Roman"/>
                <w:lang w:val="en-US" w:eastAsia="zh-CN"/>
              </w:rPr>
              <w:t>6</w:t>
            </w:r>
            <w:r>
              <w:rPr>
                <w:rFonts w:hint="eastAsia" w:ascii="Times New Roman" w:eastAsia="宋体" w:cs="Times New Roman"/>
              </w:rPr>
              <w:t>），</w:t>
            </w:r>
            <w:r>
              <w:rPr>
                <w:rFonts w:ascii="Times New Roman" w:eastAsia="宋体" w:cs="Times New Roman"/>
              </w:rPr>
              <w:t>项目</w:t>
            </w:r>
            <w:r>
              <w:rPr>
                <w:rFonts w:hint="eastAsia" w:ascii="Times New Roman" w:eastAsia="宋体" w:cs="Times New Roman"/>
                <w:lang w:val="en-US" w:eastAsia="zh-CN"/>
              </w:rPr>
              <w:t>所在地</w:t>
            </w:r>
            <w:r>
              <w:rPr>
                <w:rFonts w:hint="eastAsia" w:ascii="Times New Roman" w:eastAsia="宋体" w:cs="Times New Roman"/>
              </w:rPr>
              <w:t>属于2类功能区</w:t>
            </w:r>
            <w:r>
              <w:rPr>
                <w:rFonts w:hint="eastAsia" w:ascii="Times New Roman" w:eastAsia="宋体" w:cs="Times New Roman"/>
                <w:lang w:eastAsia="zh-CN"/>
              </w:rPr>
              <w:t>，</w:t>
            </w:r>
            <w:r>
              <w:rPr>
                <w:rFonts w:hint="eastAsia" w:ascii="Times New Roman" w:eastAsia="宋体" w:cs="Times New Roman"/>
                <w:lang w:val="en-US" w:eastAsia="zh-CN"/>
              </w:rPr>
              <w:t>故项目</w:t>
            </w:r>
            <w:r>
              <w:rPr>
                <w:rFonts w:ascii="Times New Roman" w:eastAsia="宋体" w:cs="Times New Roman"/>
              </w:rPr>
              <w:t>东厂界N1、南厂界N2、西厂界N3、北厂界N4、农林二路公租房N5、第二机械厂宿舍楼N6执行《声环境质量标准》（GB3096-2008）中的2类标准。</w:t>
            </w:r>
          </w:p>
          <w:p>
            <w:pPr>
              <w:pStyle w:val="2"/>
              <w:spacing w:line="360" w:lineRule="auto"/>
              <w:ind w:firstLine="480" w:firstLineChars="200"/>
              <w:rPr>
                <w:rFonts w:ascii="Times New Roman" w:eastAsia="宋体" w:cs="Times New Roman"/>
              </w:rPr>
            </w:pPr>
            <w:r>
              <w:rPr>
                <w:rFonts w:ascii="Times New Roman" w:eastAsia="宋体" w:cs="Times New Roman"/>
              </w:rPr>
              <w:t>为了了解项目所在地噪声环境质量现状，委托广东乾达检测技术有限公司于2022年11月2</w:t>
            </w:r>
            <w:r>
              <w:rPr>
                <w:rFonts w:hint="eastAsia" w:ascii="Times New Roman" w:eastAsia="宋体" w:cs="Times New Roman"/>
              </w:rPr>
              <w:t>3</w:t>
            </w:r>
            <w:r>
              <w:rPr>
                <w:rFonts w:ascii="Times New Roman" w:eastAsia="宋体" w:cs="Times New Roman"/>
              </w:rPr>
              <w:t>日~</w:t>
            </w:r>
            <w:r>
              <w:rPr>
                <w:rFonts w:hint="eastAsia" w:ascii="Times New Roman" w:eastAsia="宋体" w:cs="Times New Roman"/>
                <w:lang w:val="en-US" w:eastAsia="zh-CN"/>
              </w:rPr>
              <w:t>11月24日</w:t>
            </w:r>
            <w:r>
              <w:rPr>
                <w:rFonts w:ascii="Times New Roman" w:eastAsia="宋体" w:cs="Times New Roman"/>
              </w:rPr>
              <w:t>在项目周围设6个监测点进行监测（报告编号：QD（综）2022112804）。项目6个环境噪声测点为</w:t>
            </w:r>
            <w:r>
              <w:rPr>
                <w:rFonts w:hint="eastAsia" w:ascii="Times New Roman" w:eastAsia="宋体" w:cs="Times New Roman"/>
              </w:rPr>
              <w:t>项目东边界外1米处</w:t>
            </w:r>
            <w:r>
              <w:rPr>
                <w:rFonts w:ascii="Times New Roman" w:eastAsia="宋体" w:cs="Times New Roman"/>
              </w:rPr>
              <w:t>N1、</w:t>
            </w:r>
            <w:r>
              <w:rPr>
                <w:rFonts w:hint="eastAsia" w:ascii="Times New Roman" w:eastAsia="宋体" w:cs="Times New Roman"/>
              </w:rPr>
              <w:t>南边界外1米处</w:t>
            </w:r>
            <w:r>
              <w:rPr>
                <w:rFonts w:ascii="Times New Roman" w:eastAsia="宋体" w:cs="Times New Roman"/>
              </w:rPr>
              <w:t>N2、</w:t>
            </w:r>
            <w:r>
              <w:rPr>
                <w:rFonts w:ascii="Times New Roman" w:hAnsi="Times New Roman" w:eastAsia="宋体" w:cs="Times New Roman"/>
                <w:szCs w:val="21"/>
              </w:rPr>
              <w:t>西</w:t>
            </w:r>
            <w:r>
              <w:rPr>
                <w:rFonts w:hint="eastAsia" w:ascii="Times New Roman" w:hAnsi="Times New Roman" w:eastAsia="宋体" w:cs="Times New Roman"/>
                <w:szCs w:val="21"/>
                <w:lang w:val="en-US" w:eastAsia="zh-CN"/>
              </w:rPr>
              <w:t>边界</w:t>
            </w:r>
            <w:r>
              <w:rPr>
                <w:rFonts w:ascii="Times New Roman" w:hAnsi="Times New Roman" w:eastAsia="宋体" w:cs="Times New Roman"/>
                <w:szCs w:val="21"/>
              </w:rPr>
              <w:t>外1</w:t>
            </w:r>
            <w:r>
              <w:rPr>
                <w:rFonts w:hint="eastAsia" w:ascii="Times New Roman" w:hAnsi="Times New Roman" w:eastAsia="宋体" w:cs="Times New Roman"/>
                <w:szCs w:val="21"/>
                <w:lang w:val="en-US" w:eastAsia="zh-CN"/>
              </w:rPr>
              <w:t>米</w:t>
            </w:r>
            <w:r>
              <w:rPr>
                <w:rFonts w:ascii="Times New Roman" w:hAnsi="Times New Roman" w:eastAsia="宋体" w:cs="Times New Roman"/>
                <w:szCs w:val="21"/>
              </w:rPr>
              <w:t>处</w:t>
            </w:r>
            <w:r>
              <w:rPr>
                <w:rFonts w:ascii="Times New Roman" w:eastAsia="宋体" w:cs="Times New Roman"/>
              </w:rPr>
              <w:t>N3、</w:t>
            </w:r>
            <w:r>
              <w:rPr>
                <w:rFonts w:hint="eastAsia" w:ascii="Times New Roman" w:eastAsia="宋体" w:cs="Times New Roman"/>
              </w:rPr>
              <w:t>北边界外1米处</w:t>
            </w:r>
            <w:r>
              <w:rPr>
                <w:rFonts w:ascii="Times New Roman" w:eastAsia="宋体" w:cs="Times New Roman"/>
              </w:rPr>
              <w:t>N4、</w:t>
            </w:r>
            <w:r>
              <w:rPr>
                <w:rFonts w:hint="eastAsia" w:ascii="Times New Roman" w:eastAsia="宋体" w:cs="Times New Roman"/>
              </w:rPr>
              <w:t>东北面农林二路公租房</w:t>
            </w:r>
            <w:r>
              <w:rPr>
                <w:rFonts w:ascii="Times New Roman" w:eastAsia="宋体" w:cs="Times New Roman"/>
              </w:rPr>
              <w:t>N5、</w:t>
            </w:r>
            <w:r>
              <w:rPr>
                <w:rFonts w:hint="eastAsia" w:ascii="Times New Roman" w:eastAsia="宋体" w:cs="Times New Roman"/>
              </w:rPr>
              <w:t>东南面第二机械厂宿舍楼</w:t>
            </w:r>
            <w:r>
              <w:rPr>
                <w:rFonts w:ascii="Times New Roman" w:eastAsia="宋体" w:cs="Times New Roman"/>
              </w:rPr>
              <w:t>N6，分昼、夜间监测边界噪声，监测采用等效连续A声级Leq作为评价量。监测结果统计见表3-3，监测报告见附件</w:t>
            </w:r>
            <w:r>
              <w:rPr>
                <w:rFonts w:hint="eastAsia" w:ascii="Times New Roman" w:eastAsia="宋体" w:cs="Times New Roman"/>
                <w:lang w:val="en-US" w:eastAsia="zh-CN"/>
              </w:rPr>
              <w:t>12</w:t>
            </w:r>
            <w:r>
              <w:rPr>
                <w:rFonts w:ascii="Times New Roman" w:eastAsia="宋体" w:cs="Times New Roman"/>
              </w:rPr>
              <w:t>。</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表3-3声环境监测结果 单位：dB(A)</w:t>
            </w:r>
          </w:p>
          <w:tbl>
            <w:tblPr>
              <w:tblStyle w:val="2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91"/>
              <w:gridCol w:w="2687"/>
              <w:gridCol w:w="761"/>
              <w:gridCol w:w="777"/>
              <w:gridCol w:w="728"/>
              <w:gridCol w:w="788"/>
              <w:gridCol w:w="96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54"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检测日期</w:t>
                  </w:r>
                </w:p>
              </w:tc>
              <w:tc>
                <w:tcPr>
                  <w:tcW w:w="1701"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检测点位</w:t>
                  </w:r>
                </w:p>
              </w:tc>
              <w:tc>
                <w:tcPr>
                  <w:tcW w:w="1934" w:type="pct"/>
                  <w:gridSpan w:val="4"/>
                  <w:vAlign w:val="center"/>
                </w:tcPr>
                <w:p>
                  <w:pPr>
                    <w:jc w:val="center"/>
                    <w:rPr>
                      <w:rFonts w:ascii="Times New Roman" w:hAnsi="Times New Roman" w:eastAsia="宋体" w:cs="Times New Roman"/>
                      <w:szCs w:val="21"/>
                    </w:rPr>
                  </w:pPr>
                  <w:r>
                    <w:rPr>
                      <w:rFonts w:ascii="Times New Roman" w:hAnsi="Times New Roman" w:eastAsia="宋体" w:cs="Times New Roman"/>
                      <w:szCs w:val="21"/>
                    </w:rPr>
                    <w:t>Leq值[dB(A)]</w:t>
                  </w:r>
                </w:p>
              </w:tc>
              <w:tc>
                <w:tcPr>
                  <w:tcW w:w="609"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54" w:type="pct"/>
                  <w:vMerge w:val="continue"/>
                  <w:vAlign w:val="center"/>
                </w:tcPr>
                <w:p>
                  <w:pPr>
                    <w:jc w:val="center"/>
                    <w:rPr>
                      <w:rFonts w:ascii="Times New Roman" w:hAnsi="Times New Roman" w:eastAsia="宋体" w:cs="Times New Roman"/>
                      <w:szCs w:val="21"/>
                    </w:rPr>
                  </w:pPr>
                </w:p>
              </w:tc>
              <w:tc>
                <w:tcPr>
                  <w:tcW w:w="1701" w:type="pct"/>
                  <w:vMerge w:val="continue"/>
                  <w:vAlign w:val="center"/>
                </w:tcPr>
                <w:p>
                  <w:pPr>
                    <w:jc w:val="center"/>
                    <w:rPr>
                      <w:rFonts w:ascii="Times New Roman" w:hAnsi="Times New Roman" w:eastAsia="宋体" w:cs="Times New Roman"/>
                      <w:szCs w:val="21"/>
                    </w:rPr>
                  </w:pPr>
                </w:p>
              </w:tc>
              <w:tc>
                <w:tcPr>
                  <w:tcW w:w="974" w:type="pct"/>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昼间</w:t>
                  </w:r>
                </w:p>
              </w:tc>
              <w:tc>
                <w:tcPr>
                  <w:tcW w:w="959" w:type="pct"/>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夜间</w:t>
                  </w:r>
                </w:p>
              </w:tc>
              <w:tc>
                <w:tcPr>
                  <w:tcW w:w="609" w:type="pct"/>
                  <w:vMerge w:val="continue"/>
                  <w:vAlign w:val="center"/>
                </w:tcPr>
                <w:p>
                  <w:pPr>
                    <w:jc w:val="center"/>
                    <w:rPr>
                      <w:rFonts w:ascii="Times New Roman" w:hAnsi="Times New Roman" w:eastAsia="宋体"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54" w:type="pct"/>
                  <w:vMerge w:val="continue"/>
                  <w:vAlign w:val="center"/>
                </w:tcPr>
                <w:p>
                  <w:pPr>
                    <w:jc w:val="center"/>
                    <w:rPr>
                      <w:rFonts w:ascii="Times New Roman" w:hAnsi="Times New Roman" w:eastAsia="宋体" w:cs="Times New Roman"/>
                      <w:szCs w:val="21"/>
                    </w:rPr>
                  </w:pPr>
                </w:p>
              </w:tc>
              <w:tc>
                <w:tcPr>
                  <w:tcW w:w="1701" w:type="pct"/>
                  <w:vMerge w:val="continue"/>
                  <w:vAlign w:val="center"/>
                </w:tcPr>
                <w:p>
                  <w:pPr>
                    <w:jc w:val="center"/>
                    <w:rPr>
                      <w:rFonts w:ascii="Times New Roman" w:hAnsi="Times New Roman" w:eastAsia="宋体" w:cs="Times New Roman"/>
                      <w:szCs w:val="21"/>
                    </w:rPr>
                  </w:pPr>
                </w:p>
              </w:tc>
              <w:tc>
                <w:tcPr>
                  <w:tcW w:w="482"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测量值</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标准值</w:t>
                  </w:r>
                </w:p>
              </w:tc>
              <w:tc>
                <w:tcPr>
                  <w:tcW w:w="4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测量值</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标准值</w:t>
                  </w:r>
                </w:p>
              </w:tc>
              <w:tc>
                <w:tcPr>
                  <w:tcW w:w="609" w:type="pct"/>
                  <w:vMerge w:val="continue"/>
                  <w:vAlign w:val="center"/>
                </w:tcPr>
                <w:p>
                  <w:pPr>
                    <w:jc w:val="center"/>
                    <w:rPr>
                      <w:rFonts w:ascii="Times New Roman" w:hAnsi="Times New Roman" w:eastAsia="宋体"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54" w:type="pct"/>
                  <w:vMerge w:val="restart"/>
                  <w:vAlign w:val="center"/>
                </w:tcPr>
                <w:p>
                  <w:pPr>
                    <w:widowControl/>
                    <w:rPr>
                      <w:rFonts w:ascii="Times New Roman" w:hAnsi="Times New Roman" w:eastAsia="宋体" w:cs="Times New Roman"/>
                      <w:szCs w:val="21"/>
                    </w:rPr>
                  </w:pPr>
                  <w:r>
                    <w:rPr>
                      <w:rFonts w:ascii="Times New Roman" w:hAnsi="Times New Roman" w:eastAsia="宋体" w:cs="Times New Roman"/>
                      <w:szCs w:val="21"/>
                    </w:rPr>
                    <w:t>2022</w:t>
                  </w:r>
                  <w:r>
                    <w:rPr>
                      <w:rFonts w:hint="eastAsia" w:ascii="Times New Roman" w:hAnsi="Times New Roman" w:eastAsia="宋体" w:cs="Times New Roman"/>
                      <w:szCs w:val="21"/>
                      <w:lang w:val="en-US" w:eastAsia="zh-CN"/>
                    </w:rPr>
                    <w:t>.</w:t>
                  </w:r>
                  <w:r>
                    <w:rPr>
                      <w:rFonts w:ascii="Times New Roman" w:hAnsi="Times New Roman" w:eastAsia="宋体" w:cs="Times New Roman"/>
                      <w:szCs w:val="21"/>
                    </w:rPr>
                    <w:t>11</w:t>
                  </w:r>
                  <w:r>
                    <w:rPr>
                      <w:rFonts w:hint="eastAsia" w:ascii="Times New Roman" w:hAnsi="Times New Roman" w:eastAsia="宋体" w:cs="Times New Roman"/>
                      <w:szCs w:val="21"/>
                      <w:lang w:val="en-US" w:eastAsia="zh-CN"/>
                    </w:rPr>
                    <w:t>.</w:t>
                  </w:r>
                  <w:r>
                    <w:rPr>
                      <w:rFonts w:ascii="Times New Roman" w:hAnsi="Times New Roman" w:eastAsia="宋体" w:cs="Times New Roman"/>
                      <w:szCs w:val="21"/>
                    </w:rPr>
                    <w:t>23</w:t>
                  </w:r>
                </w:p>
              </w:tc>
              <w:tc>
                <w:tcPr>
                  <w:tcW w:w="1701" w:type="pct"/>
                  <w:vAlign w:val="center"/>
                </w:tcPr>
                <w:p>
                  <w:pPr>
                    <w:rPr>
                      <w:rFonts w:ascii="Times New Roman" w:hAnsi="Times New Roman" w:eastAsia="宋体" w:cs="Times New Roman"/>
                      <w:szCs w:val="21"/>
                    </w:rPr>
                  </w:pPr>
                  <w:r>
                    <w:rPr>
                      <w:rFonts w:ascii="Times New Roman" w:hAnsi="Times New Roman" w:eastAsia="宋体" w:cs="Times New Roman"/>
                      <w:szCs w:val="21"/>
                    </w:rPr>
                    <w:t>N1：项目东</w:t>
                  </w:r>
                  <w:r>
                    <w:rPr>
                      <w:rFonts w:hint="eastAsia" w:ascii="Times New Roman" w:hAnsi="Times New Roman" w:eastAsia="宋体" w:cs="Times New Roman"/>
                      <w:szCs w:val="21"/>
                      <w:lang w:val="en-US" w:eastAsia="zh-CN"/>
                    </w:rPr>
                    <w:t>边界</w:t>
                  </w:r>
                  <w:r>
                    <w:rPr>
                      <w:rFonts w:ascii="Times New Roman" w:hAnsi="Times New Roman" w:eastAsia="宋体" w:cs="Times New Roman"/>
                      <w:szCs w:val="21"/>
                    </w:rPr>
                    <w:t>外1</w:t>
                  </w:r>
                  <w:r>
                    <w:rPr>
                      <w:rFonts w:hint="eastAsia" w:ascii="Times New Roman" w:hAnsi="Times New Roman" w:eastAsia="宋体" w:cs="Times New Roman"/>
                      <w:szCs w:val="21"/>
                      <w:lang w:val="en-US" w:eastAsia="zh-CN"/>
                    </w:rPr>
                    <w:t>米</w:t>
                  </w:r>
                  <w:r>
                    <w:rPr>
                      <w:rFonts w:ascii="Times New Roman" w:hAnsi="Times New Roman" w:eastAsia="宋体" w:cs="Times New Roman"/>
                      <w:szCs w:val="21"/>
                    </w:rPr>
                    <w:t>处</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eastAsia="zh-CN"/>
                    </w:rPr>
                    <w:t>5</w:t>
                  </w:r>
                  <w:r>
                    <w:rPr>
                      <w:rFonts w:hint="eastAsia" w:ascii="Times New Roman" w:hAnsi="Times New Roman" w:eastAsia="宋体" w:cs="Times New Roman"/>
                      <w:szCs w:val="21"/>
                      <w:lang w:val="en-US" w:eastAsia="zh-CN"/>
                    </w:rPr>
                    <w:t>3</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44</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54" w:type="pct"/>
                  <w:vMerge w:val="continue"/>
                  <w:vAlign w:val="center"/>
                </w:tcPr>
                <w:p>
                  <w:pPr>
                    <w:jc w:val="center"/>
                    <w:rPr>
                      <w:rFonts w:ascii="Times New Roman" w:hAnsi="Times New Roman" w:eastAsia="宋体" w:cs="Times New Roman"/>
                      <w:szCs w:val="21"/>
                    </w:rPr>
                  </w:pPr>
                </w:p>
              </w:tc>
              <w:tc>
                <w:tcPr>
                  <w:tcW w:w="1701" w:type="pct"/>
                  <w:vAlign w:val="center"/>
                </w:tcPr>
                <w:p>
                  <w:pPr>
                    <w:rPr>
                      <w:rFonts w:ascii="Times New Roman" w:hAnsi="Times New Roman" w:eastAsia="宋体" w:cs="Times New Roman"/>
                      <w:szCs w:val="21"/>
                    </w:rPr>
                  </w:pPr>
                  <w:r>
                    <w:rPr>
                      <w:rFonts w:ascii="Times New Roman" w:hAnsi="Times New Roman" w:eastAsia="宋体" w:cs="Times New Roman"/>
                      <w:szCs w:val="21"/>
                    </w:rPr>
                    <w:t>N2：项目南</w:t>
                  </w:r>
                  <w:r>
                    <w:rPr>
                      <w:rFonts w:hint="eastAsia" w:ascii="Times New Roman" w:hAnsi="Times New Roman" w:eastAsia="宋体" w:cs="Times New Roman"/>
                      <w:szCs w:val="21"/>
                      <w:lang w:val="en-US" w:eastAsia="zh-CN"/>
                    </w:rPr>
                    <w:t>边界</w:t>
                  </w:r>
                  <w:r>
                    <w:rPr>
                      <w:rFonts w:ascii="Times New Roman" w:hAnsi="Times New Roman" w:eastAsia="宋体" w:cs="Times New Roman"/>
                      <w:szCs w:val="21"/>
                    </w:rPr>
                    <w:t>外1</w:t>
                  </w:r>
                  <w:r>
                    <w:rPr>
                      <w:rFonts w:hint="eastAsia" w:ascii="Times New Roman" w:hAnsi="Times New Roman" w:eastAsia="宋体" w:cs="Times New Roman"/>
                      <w:szCs w:val="21"/>
                      <w:lang w:val="en-US" w:eastAsia="zh-CN"/>
                    </w:rPr>
                    <w:t>米</w:t>
                  </w:r>
                  <w:r>
                    <w:rPr>
                      <w:rFonts w:ascii="Times New Roman" w:hAnsi="Times New Roman" w:eastAsia="宋体" w:cs="Times New Roman"/>
                      <w:szCs w:val="21"/>
                    </w:rPr>
                    <w:t>处</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55</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45</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54" w:type="pct"/>
                  <w:vMerge w:val="continue"/>
                  <w:vAlign w:val="center"/>
                </w:tcPr>
                <w:p>
                  <w:pPr>
                    <w:widowControl/>
                    <w:jc w:val="center"/>
                    <w:rPr>
                      <w:rFonts w:ascii="Times New Roman" w:hAnsi="Times New Roman" w:eastAsia="宋体" w:cs="Times New Roman"/>
                      <w:szCs w:val="21"/>
                    </w:rPr>
                  </w:pPr>
                </w:p>
              </w:tc>
              <w:tc>
                <w:tcPr>
                  <w:tcW w:w="1701" w:type="pct"/>
                  <w:vAlign w:val="center"/>
                </w:tcPr>
                <w:p>
                  <w:pPr>
                    <w:rPr>
                      <w:rFonts w:ascii="Times New Roman" w:hAnsi="Times New Roman" w:eastAsia="宋体" w:cs="Times New Roman"/>
                      <w:szCs w:val="21"/>
                    </w:rPr>
                  </w:pPr>
                  <w:r>
                    <w:rPr>
                      <w:rFonts w:ascii="Times New Roman" w:hAnsi="Times New Roman" w:eastAsia="宋体" w:cs="Times New Roman"/>
                      <w:szCs w:val="21"/>
                    </w:rPr>
                    <w:t>N3：项目西</w:t>
                  </w:r>
                  <w:r>
                    <w:rPr>
                      <w:rFonts w:hint="eastAsia" w:ascii="Times New Roman" w:hAnsi="Times New Roman" w:eastAsia="宋体" w:cs="Times New Roman"/>
                      <w:szCs w:val="21"/>
                      <w:lang w:val="en-US" w:eastAsia="zh-CN"/>
                    </w:rPr>
                    <w:t>边界</w:t>
                  </w:r>
                  <w:r>
                    <w:rPr>
                      <w:rFonts w:ascii="Times New Roman" w:hAnsi="Times New Roman" w:eastAsia="宋体" w:cs="Times New Roman"/>
                      <w:szCs w:val="21"/>
                    </w:rPr>
                    <w:t>外1</w:t>
                  </w:r>
                  <w:r>
                    <w:rPr>
                      <w:rFonts w:hint="eastAsia" w:ascii="Times New Roman" w:hAnsi="Times New Roman" w:eastAsia="宋体" w:cs="Times New Roman"/>
                      <w:szCs w:val="21"/>
                      <w:lang w:val="en-US" w:eastAsia="zh-CN"/>
                    </w:rPr>
                    <w:t>米</w:t>
                  </w:r>
                  <w:r>
                    <w:rPr>
                      <w:rFonts w:ascii="Times New Roman" w:hAnsi="Times New Roman" w:eastAsia="宋体" w:cs="Times New Roman"/>
                      <w:szCs w:val="21"/>
                    </w:rPr>
                    <w:t>处</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54</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43</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54" w:type="pct"/>
                  <w:vMerge w:val="continue"/>
                  <w:vAlign w:val="center"/>
                </w:tcPr>
                <w:p>
                  <w:pPr>
                    <w:widowControl/>
                    <w:jc w:val="center"/>
                    <w:rPr>
                      <w:rFonts w:ascii="Times New Roman" w:hAnsi="Times New Roman" w:eastAsia="宋体" w:cs="Times New Roman"/>
                      <w:szCs w:val="21"/>
                    </w:rPr>
                  </w:pPr>
                </w:p>
              </w:tc>
              <w:tc>
                <w:tcPr>
                  <w:tcW w:w="1701" w:type="pct"/>
                  <w:vAlign w:val="center"/>
                </w:tcPr>
                <w:p>
                  <w:pPr>
                    <w:rPr>
                      <w:rFonts w:ascii="Times New Roman" w:hAnsi="Times New Roman" w:eastAsia="宋体" w:cs="Times New Roman"/>
                      <w:szCs w:val="21"/>
                    </w:rPr>
                  </w:pPr>
                  <w:r>
                    <w:rPr>
                      <w:rFonts w:ascii="Times New Roman" w:hAnsi="Times New Roman" w:eastAsia="宋体" w:cs="Times New Roman"/>
                      <w:szCs w:val="21"/>
                    </w:rPr>
                    <w:t>N4：项目北</w:t>
                  </w:r>
                  <w:r>
                    <w:rPr>
                      <w:rFonts w:hint="eastAsia" w:ascii="Times New Roman" w:hAnsi="Times New Roman" w:eastAsia="宋体" w:cs="Times New Roman"/>
                      <w:szCs w:val="21"/>
                      <w:lang w:val="en-US" w:eastAsia="zh-CN"/>
                    </w:rPr>
                    <w:t>边界</w:t>
                  </w:r>
                  <w:r>
                    <w:rPr>
                      <w:rFonts w:ascii="Times New Roman" w:hAnsi="Times New Roman" w:eastAsia="宋体" w:cs="Times New Roman"/>
                      <w:szCs w:val="21"/>
                    </w:rPr>
                    <w:t>外1</w:t>
                  </w:r>
                  <w:r>
                    <w:rPr>
                      <w:rFonts w:hint="eastAsia" w:ascii="Times New Roman" w:hAnsi="Times New Roman" w:eastAsia="宋体" w:cs="Times New Roman"/>
                      <w:szCs w:val="21"/>
                      <w:lang w:val="en-US" w:eastAsia="zh-CN"/>
                    </w:rPr>
                    <w:t>米</w:t>
                  </w:r>
                  <w:r>
                    <w:rPr>
                      <w:rFonts w:ascii="Times New Roman" w:hAnsi="Times New Roman" w:eastAsia="宋体" w:cs="Times New Roman"/>
                      <w:szCs w:val="21"/>
                    </w:rPr>
                    <w:t>处</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54</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45</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54" w:type="pct"/>
                  <w:vMerge w:val="continue"/>
                  <w:vAlign w:val="center"/>
                </w:tcPr>
                <w:p>
                  <w:pPr>
                    <w:widowControl/>
                    <w:jc w:val="center"/>
                    <w:rPr>
                      <w:rFonts w:ascii="Times New Roman" w:hAnsi="Times New Roman" w:eastAsia="宋体" w:cs="Times New Roman"/>
                      <w:szCs w:val="21"/>
                    </w:rPr>
                  </w:pPr>
                </w:p>
              </w:tc>
              <w:tc>
                <w:tcPr>
                  <w:tcW w:w="1701" w:type="pct"/>
                  <w:vAlign w:val="center"/>
                </w:tcPr>
                <w:p>
                  <w:pPr>
                    <w:rPr>
                      <w:rFonts w:hint="eastAsia" w:ascii="Times New Roman" w:hAnsi="Times New Roman" w:eastAsia="宋体" w:cs="Times New Roman"/>
                      <w:szCs w:val="21"/>
                      <w:lang w:eastAsia="zh-CN"/>
                    </w:rPr>
                  </w:pPr>
                  <w:r>
                    <w:rPr>
                      <w:rFonts w:ascii="Times New Roman" w:hAnsi="Times New Roman" w:eastAsia="宋体" w:cs="Times New Roman"/>
                      <w:szCs w:val="21"/>
                    </w:rPr>
                    <w:t>N5：项目东北面</w:t>
                  </w:r>
                  <w:r>
                    <w:rPr>
                      <w:rFonts w:hint="eastAsia" w:ascii="Times New Roman" w:hAnsi="Times New Roman" w:eastAsia="宋体" w:cs="Times New Roman"/>
                      <w:szCs w:val="21"/>
                      <w:lang w:val="en-US" w:eastAsia="zh-CN"/>
                    </w:rPr>
                    <w:t>农林二路公租房</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55</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46</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4" w:type="pct"/>
                  <w:vMerge w:val="continue"/>
                  <w:vAlign w:val="center"/>
                </w:tcPr>
                <w:p>
                  <w:pPr>
                    <w:widowControl/>
                    <w:jc w:val="center"/>
                    <w:rPr>
                      <w:rFonts w:ascii="Times New Roman" w:hAnsi="Times New Roman" w:eastAsia="宋体" w:cs="Times New Roman"/>
                      <w:szCs w:val="21"/>
                    </w:rPr>
                  </w:pPr>
                </w:p>
              </w:tc>
              <w:tc>
                <w:tcPr>
                  <w:tcW w:w="1701" w:type="pct"/>
                  <w:vAlign w:val="center"/>
                </w:tcPr>
                <w:p>
                  <w:pPr>
                    <w:rPr>
                      <w:rFonts w:hint="default" w:ascii="Times New Roman" w:hAnsi="Times New Roman" w:eastAsia="宋体" w:cs="Times New Roman"/>
                      <w:szCs w:val="21"/>
                      <w:lang w:val="en-US" w:eastAsia="zh-CN"/>
                    </w:rPr>
                  </w:pPr>
                  <w:r>
                    <w:rPr>
                      <w:rFonts w:ascii="Times New Roman" w:hAnsi="Times New Roman" w:eastAsia="宋体" w:cs="Times New Roman"/>
                      <w:szCs w:val="21"/>
                    </w:rPr>
                    <w:t>N6：项目东南面</w:t>
                  </w:r>
                  <w:r>
                    <w:rPr>
                      <w:rFonts w:hint="eastAsia" w:ascii="Times New Roman" w:hAnsi="Times New Roman" w:eastAsia="宋体" w:cs="Times New Roman"/>
                      <w:szCs w:val="21"/>
                      <w:lang w:val="en-US" w:eastAsia="zh-CN"/>
                    </w:rPr>
                    <w:t>第二机械厂宿舍楼</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56</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46</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4" w:type="pct"/>
                  <w:vMerge w:val="restart"/>
                  <w:vAlign w:val="center"/>
                </w:tcPr>
                <w:p>
                  <w:pPr>
                    <w:widowControl/>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2022.11.24</w:t>
                  </w:r>
                </w:p>
              </w:tc>
              <w:tc>
                <w:tcPr>
                  <w:tcW w:w="1701" w:type="pct"/>
                  <w:vAlign w:val="center"/>
                </w:tcPr>
                <w:p>
                  <w:pPr>
                    <w:rPr>
                      <w:rFonts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N1：项目东</w:t>
                  </w:r>
                  <w:r>
                    <w:rPr>
                      <w:rFonts w:hint="eastAsia" w:ascii="Times New Roman" w:hAnsi="Times New Roman" w:eastAsia="宋体" w:cs="Times New Roman"/>
                      <w:szCs w:val="21"/>
                      <w:lang w:val="en-US" w:eastAsia="zh-CN"/>
                    </w:rPr>
                    <w:t>边界</w:t>
                  </w:r>
                  <w:r>
                    <w:rPr>
                      <w:rFonts w:ascii="Times New Roman" w:hAnsi="Times New Roman" w:eastAsia="宋体" w:cs="Times New Roman"/>
                      <w:szCs w:val="21"/>
                    </w:rPr>
                    <w:t>外1</w:t>
                  </w:r>
                  <w:r>
                    <w:rPr>
                      <w:rFonts w:hint="eastAsia" w:ascii="Times New Roman" w:hAnsi="Times New Roman" w:eastAsia="宋体" w:cs="Times New Roman"/>
                      <w:szCs w:val="21"/>
                      <w:lang w:val="en-US" w:eastAsia="zh-CN"/>
                    </w:rPr>
                    <w:t>米</w:t>
                  </w:r>
                  <w:r>
                    <w:rPr>
                      <w:rFonts w:ascii="Times New Roman" w:hAnsi="Times New Roman" w:eastAsia="宋体" w:cs="Times New Roman"/>
                      <w:szCs w:val="21"/>
                    </w:rPr>
                    <w:t>处</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52</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43</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4" w:type="pct"/>
                  <w:vMerge w:val="continue"/>
                  <w:vAlign w:val="center"/>
                </w:tcPr>
                <w:p>
                  <w:pPr>
                    <w:widowControl/>
                    <w:jc w:val="center"/>
                    <w:rPr>
                      <w:rFonts w:ascii="Times New Roman" w:hAnsi="Times New Roman" w:eastAsia="宋体" w:cs="Times New Roman"/>
                      <w:szCs w:val="21"/>
                    </w:rPr>
                  </w:pPr>
                </w:p>
              </w:tc>
              <w:tc>
                <w:tcPr>
                  <w:tcW w:w="1701" w:type="pct"/>
                  <w:vAlign w:val="center"/>
                </w:tcPr>
                <w:p>
                  <w:pPr>
                    <w:rPr>
                      <w:rFonts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N2：项目南</w:t>
                  </w:r>
                  <w:r>
                    <w:rPr>
                      <w:rFonts w:hint="eastAsia" w:ascii="Times New Roman" w:hAnsi="Times New Roman" w:eastAsia="宋体" w:cs="Times New Roman"/>
                      <w:szCs w:val="21"/>
                      <w:lang w:val="en-US" w:eastAsia="zh-CN"/>
                    </w:rPr>
                    <w:t>边界</w:t>
                  </w:r>
                  <w:r>
                    <w:rPr>
                      <w:rFonts w:ascii="Times New Roman" w:hAnsi="Times New Roman" w:eastAsia="宋体" w:cs="Times New Roman"/>
                      <w:szCs w:val="21"/>
                    </w:rPr>
                    <w:t>外1</w:t>
                  </w:r>
                  <w:r>
                    <w:rPr>
                      <w:rFonts w:hint="eastAsia" w:ascii="Times New Roman" w:hAnsi="Times New Roman" w:eastAsia="宋体" w:cs="Times New Roman"/>
                      <w:szCs w:val="21"/>
                      <w:lang w:val="en-US" w:eastAsia="zh-CN"/>
                    </w:rPr>
                    <w:t>米</w:t>
                  </w:r>
                  <w:r>
                    <w:rPr>
                      <w:rFonts w:ascii="Times New Roman" w:hAnsi="Times New Roman" w:eastAsia="宋体" w:cs="Times New Roman"/>
                      <w:szCs w:val="21"/>
                    </w:rPr>
                    <w:t>处</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54</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44</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4" w:type="pct"/>
                  <w:vMerge w:val="continue"/>
                  <w:vAlign w:val="center"/>
                </w:tcPr>
                <w:p>
                  <w:pPr>
                    <w:widowControl/>
                    <w:jc w:val="center"/>
                    <w:rPr>
                      <w:rFonts w:ascii="Times New Roman" w:hAnsi="Times New Roman" w:eastAsia="宋体" w:cs="Times New Roman"/>
                      <w:szCs w:val="21"/>
                    </w:rPr>
                  </w:pPr>
                </w:p>
              </w:tc>
              <w:tc>
                <w:tcPr>
                  <w:tcW w:w="1701" w:type="pct"/>
                  <w:vAlign w:val="center"/>
                </w:tcPr>
                <w:p>
                  <w:pPr>
                    <w:rPr>
                      <w:rFonts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N3：项目西</w:t>
                  </w:r>
                  <w:r>
                    <w:rPr>
                      <w:rFonts w:hint="eastAsia" w:ascii="Times New Roman" w:hAnsi="Times New Roman" w:eastAsia="宋体" w:cs="Times New Roman"/>
                      <w:szCs w:val="21"/>
                      <w:lang w:val="en-US" w:eastAsia="zh-CN"/>
                    </w:rPr>
                    <w:t>边界</w:t>
                  </w:r>
                  <w:r>
                    <w:rPr>
                      <w:rFonts w:ascii="Times New Roman" w:hAnsi="Times New Roman" w:eastAsia="宋体" w:cs="Times New Roman"/>
                      <w:szCs w:val="21"/>
                    </w:rPr>
                    <w:t>外1</w:t>
                  </w:r>
                  <w:r>
                    <w:rPr>
                      <w:rFonts w:hint="eastAsia" w:ascii="Times New Roman" w:hAnsi="Times New Roman" w:eastAsia="宋体" w:cs="Times New Roman"/>
                      <w:szCs w:val="21"/>
                      <w:lang w:val="en-US" w:eastAsia="zh-CN"/>
                    </w:rPr>
                    <w:t>米</w:t>
                  </w:r>
                  <w:r>
                    <w:rPr>
                      <w:rFonts w:ascii="Times New Roman" w:hAnsi="Times New Roman" w:eastAsia="宋体" w:cs="Times New Roman"/>
                      <w:szCs w:val="21"/>
                    </w:rPr>
                    <w:t>处</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53</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43</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4" w:type="pct"/>
                  <w:vMerge w:val="continue"/>
                  <w:vAlign w:val="center"/>
                </w:tcPr>
                <w:p>
                  <w:pPr>
                    <w:widowControl/>
                    <w:jc w:val="center"/>
                    <w:rPr>
                      <w:rFonts w:ascii="Times New Roman" w:hAnsi="Times New Roman" w:eastAsia="宋体" w:cs="Times New Roman"/>
                      <w:szCs w:val="21"/>
                    </w:rPr>
                  </w:pPr>
                </w:p>
              </w:tc>
              <w:tc>
                <w:tcPr>
                  <w:tcW w:w="1701" w:type="pct"/>
                  <w:vAlign w:val="center"/>
                </w:tcPr>
                <w:p>
                  <w:pPr>
                    <w:rPr>
                      <w:rFonts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N4：项目北</w:t>
                  </w:r>
                  <w:r>
                    <w:rPr>
                      <w:rFonts w:hint="eastAsia" w:ascii="Times New Roman" w:hAnsi="Times New Roman" w:eastAsia="宋体" w:cs="Times New Roman"/>
                      <w:szCs w:val="21"/>
                      <w:lang w:val="en-US" w:eastAsia="zh-CN"/>
                    </w:rPr>
                    <w:t>边界</w:t>
                  </w:r>
                  <w:r>
                    <w:rPr>
                      <w:rFonts w:ascii="Times New Roman" w:hAnsi="Times New Roman" w:eastAsia="宋体" w:cs="Times New Roman"/>
                      <w:szCs w:val="21"/>
                    </w:rPr>
                    <w:t>外1</w:t>
                  </w:r>
                  <w:r>
                    <w:rPr>
                      <w:rFonts w:hint="eastAsia" w:ascii="Times New Roman" w:hAnsi="Times New Roman" w:eastAsia="宋体" w:cs="Times New Roman"/>
                      <w:szCs w:val="21"/>
                      <w:lang w:val="en-US" w:eastAsia="zh-CN"/>
                    </w:rPr>
                    <w:t>米</w:t>
                  </w:r>
                  <w:r>
                    <w:rPr>
                      <w:rFonts w:ascii="Times New Roman" w:hAnsi="Times New Roman" w:eastAsia="宋体" w:cs="Times New Roman"/>
                      <w:szCs w:val="21"/>
                    </w:rPr>
                    <w:t>处</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55</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45</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4" w:type="pct"/>
                  <w:vMerge w:val="continue"/>
                  <w:vAlign w:val="center"/>
                </w:tcPr>
                <w:p>
                  <w:pPr>
                    <w:widowControl/>
                    <w:jc w:val="center"/>
                    <w:rPr>
                      <w:rFonts w:ascii="Times New Roman" w:hAnsi="Times New Roman" w:eastAsia="宋体" w:cs="Times New Roman"/>
                      <w:szCs w:val="21"/>
                    </w:rPr>
                  </w:pPr>
                </w:p>
              </w:tc>
              <w:tc>
                <w:tcPr>
                  <w:tcW w:w="1701" w:type="pct"/>
                  <w:vAlign w:val="center"/>
                </w:tcPr>
                <w:p>
                  <w:pPr>
                    <w:rPr>
                      <w:rFonts w:hint="eastAsia"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N5：项目东北面</w:t>
                  </w:r>
                  <w:r>
                    <w:rPr>
                      <w:rFonts w:hint="eastAsia" w:ascii="Times New Roman" w:hAnsi="Times New Roman" w:eastAsia="宋体" w:cs="Times New Roman"/>
                      <w:szCs w:val="21"/>
                      <w:lang w:val="en-US" w:eastAsia="zh-CN"/>
                    </w:rPr>
                    <w:t>农林二路公租房</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54</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46</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4" w:type="pct"/>
                  <w:vMerge w:val="continue"/>
                  <w:vAlign w:val="center"/>
                </w:tcPr>
                <w:p>
                  <w:pPr>
                    <w:widowControl/>
                    <w:jc w:val="center"/>
                    <w:rPr>
                      <w:rFonts w:ascii="Times New Roman" w:hAnsi="Times New Roman" w:eastAsia="宋体" w:cs="Times New Roman"/>
                      <w:szCs w:val="21"/>
                    </w:rPr>
                  </w:pPr>
                </w:p>
              </w:tc>
              <w:tc>
                <w:tcPr>
                  <w:tcW w:w="1701" w:type="pct"/>
                  <w:vAlign w:val="center"/>
                </w:tcPr>
                <w:p>
                  <w:pPr>
                    <w:rPr>
                      <w:rFonts w:hint="default"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N6：项目东南面</w:t>
                  </w:r>
                  <w:r>
                    <w:rPr>
                      <w:rFonts w:hint="eastAsia" w:ascii="Times New Roman" w:hAnsi="Times New Roman" w:eastAsia="宋体" w:cs="Times New Roman"/>
                      <w:szCs w:val="21"/>
                      <w:lang w:val="en-US" w:eastAsia="zh-CN"/>
                    </w:rPr>
                    <w:t>第二机械厂宿舍楼</w:t>
                  </w:r>
                </w:p>
              </w:tc>
              <w:tc>
                <w:tcPr>
                  <w:tcW w:w="482"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57</w:t>
                  </w:r>
                </w:p>
              </w:tc>
              <w:tc>
                <w:tcPr>
                  <w:tcW w:w="49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60</w:t>
                  </w:r>
                </w:p>
              </w:tc>
              <w:tc>
                <w:tcPr>
                  <w:tcW w:w="461"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47</w:t>
                  </w:r>
                </w:p>
              </w:tc>
              <w:tc>
                <w:tcPr>
                  <w:tcW w:w="49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50</w:t>
                  </w:r>
                </w:p>
              </w:tc>
              <w:tc>
                <w:tcPr>
                  <w:tcW w:w="60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达标</w:t>
                  </w:r>
                </w:p>
              </w:tc>
            </w:tr>
          </w:tbl>
          <w:p>
            <w:pPr>
              <w:pStyle w:val="2"/>
              <w:spacing w:line="360" w:lineRule="auto"/>
              <w:ind w:firstLine="480" w:firstLineChars="200"/>
              <w:rPr>
                <w:rFonts w:ascii="Times New Roman" w:eastAsia="宋体" w:cs="Times New Roman"/>
              </w:rPr>
            </w:pPr>
            <w:r>
              <w:rPr>
                <w:rFonts w:ascii="Times New Roman" w:eastAsia="宋体" w:cs="Times New Roman"/>
              </w:rPr>
              <w:t>根据监测结果可知，本项目东厂界、南厂界、西厂界、北厂界、农林二路公租房、第二机械厂宿舍楼厂界噪声满足《声环境质量标准》（GB3096-2008）中的2类标准。</w:t>
            </w:r>
          </w:p>
          <w:p>
            <w:pPr>
              <w:tabs>
                <w:tab w:val="left" w:pos="6618"/>
              </w:tabs>
              <w:spacing w:line="360" w:lineRule="auto"/>
              <w:ind w:firstLine="482" w:firstLineChars="200"/>
              <w:jc w:val="left"/>
              <w:rPr>
                <w:rFonts w:ascii="Times New Roman" w:hAnsi="Times New Roman" w:eastAsia="宋体" w:cs="Times New Roman"/>
                <w:b/>
                <w:bCs/>
                <w:sz w:val="24"/>
              </w:rPr>
            </w:pPr>
            <w:r>
              <w:rPr>
                <w:rFonts w:ascii="Times New Roman" w:hAnsi="Times New Roman" w:eastAsia="宋体" w:cs="Times New Roman"/>
                <w:b/>
                <w:bCs/>
                <w:sz w:val="24"/>
              </w:rPr>
              <w:t>4、生态环境质量现状</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color w:val="000000"/>
                <w:kern w:val="0"/>
                <w:sz w:val="24"/>
              </w:rPr>
              <w:t>本项目用地范围内没有生态环境保护目标，根据要求可不进行生态现状调查。</w:t>
            </w:r>
          </w:p>
          <w:p>
            <w:pPr>
              <w:spacing w:line="360" w:lineRule="auto"/>
              <w:ind w:firstLine="482" w:firstLineChars="200"/>
              <w:jc w:val="left"/>
              <w:rPr>
                <w:rFonts w:ascii="Times New Roman" w:hAnsi="Times New Roman" w:eastAsia="宋体" w:cs="Times New Roman"/>
                <w:b/>
                <w:bCs/>
                <w:sz w:val="24"/>
              </w:rPr>
            </w:pPr>
            <w:r>
              <w:rPr>
                <w:rFonts w:ascii="Times New Roman" w:hAnsi="Times New Roman" w:eastAsia="宋体" w:cs="Times New Roman"/>
                <w:b/>
                <w:bCs/>
                <w:sz w:val="24"/>
              </w:rPr>
              <w:t>5、电磁辐射</w:t>
            </w:r>
          </w:p>
          <w:p>
            <w:pPr>
              <w:adjustRightInd w:val="0"/>
              <w:snapToGrid w:val="0"/>
              <w:spacing w:line="360" w:lineRule="auto"/>
              <w:ind w:firstLine="480" w:firstLineChars="200"/>
              <w:jc w:val="left"/>
              <w:rPr>
                <w:rFonts w:ascii="Times New Roman" w:hAnsi="Times New Roman" w:eastAsia="宋体" w:cs="Times New Roman"/>
                <w:b/>
                <w:bCs/>
                <w:sz w:val="24"/>
              </w:rPr>
            </w:pPr>
            <w:r>
              <w:rPr>
                <w:rFonts w:hint="eastAsia" w:ascii="Times New Roman" w:hAnsi="Times New Roman" w:eastAsia="宋体" w:cs="Times New Roman"/>
                <w:color w:val="000000"/>
                <w:kern w:val="0"/>
                <w:sz w:val="24"/>
              </w:rPr>
              <w:t>如果有</w:t>
            </w:r>
            <w:r>
              <w:rPr>
                <w:rFonts w:hint="eastAsia"/>
                <w:sz w:val="24"/>
              </w:rPr>
              <w:t>涉及</w:t>
            </w:r>
            <w:r>
              <w:rPr>
                <w:rFonts w:hint="eastAsia" w:ascii="Times New Roman" w:hAnsi="Times New Roman" w:eastAsia="宋体" w:cs="Times New Roman"/>
                <w:color w:val="000000"/>
                <w:kern w:val="0"/>
                <w:sz w:val="24"/>
              </w:rPr>
              <w:t>辐射的建设内容需要另做环评，</w:t>
            </w:r>
            <w:r>
              <w:rPr>
                <w:rFonts w:hint="eastAsia"/>
                <w:sz w:val="24"/>
              </w:rPr>
              <w:t>辐射相关建设内容</w:t>
            </w:r>
            <w:r>
              <w:rPr>
                <w:rFonts w:hint="eastAsia" w:ascii="Times New Roman" w:hAnsi="Times New Roman" w:eastAsia="宋体" w:cs="Times New Roman"/>
                <w:color w:val="000000"/>
                <w:kern w:val="0"/>
                <w:sz w:val="24"/>
              </w:rPr>
              <w:t>不在本评价范围内。</w:t>
            </w:r>
          </w:p>
          <w:p>
            <w:pPr>
              <w:spacing w:line="360" w:lineRule="auto"/>
              <w:ind w:firstLine="482" w:firstLineChars="200"/>
              <w:jc w:val="left"/>
              <w:rPr>
                <w:rFonts w:ascii="Times New Roman" w:hAnsi="Times New Roman" w:eastAsia="宋体" w:cs="Times New Roman"/>
                <w:b/>
                <w:bCs/>
                <w:sz w:val="24"/>
              </w:rPr>
            </w:pPr>
            <w:r>
              <w:rPr>
                <w:rFonts w:ascii="Times New Roman" w:hAnsi="Times New Roman" w:eastAsia="宋体" w:cs="Times New Roman"/>
                <w:b/>
                <w:bCs/>
                <w:sz w:val="24"/>
              </w:rPr>
              <w:t>6、地下水、土壤环境现状</w:t>
            </w:r>
          </w:p>
          <w:p>
            <w:pPr>
              <w:adjustRightInd w:val="0"/>
              <w:snapToGrid w:val="0"/>
              <w:spacing w:line="360" w:lineRule="auto"/>
              <w:ind w:firstLine="480" w:firstLineChars="200"/>
              <w:jc w:val="left"/>
              <w:rPr>
                <w:rFonts w:ascii="Times New Roman" w:hAnsi="Times New Roman" w:eastAsia="宋体" w:cs="Times New Roman"/>
                <w:kern w:val="0"/>
                <w:szCs w:val="21"/>
              </w:rPr>
            </w:pPr>
            <w:r>
              <w:rPr>
                <w:rFonts w:ascii="Times New Roman" w:hAnsi="Times New Roman" w:eastAsia="宋体" w:cs="Times New Roman"/>
                <w:color w:val="000000"/>
                <w:kern w:val="0"/>
                <w:sz w:val="24"/>
              </w:rPr>
              <w:t>本项目区域内除绿化用地外已全部硬化，采取分区防控措施后，项目不存在地下水、土壤环境污染途径，根据要求可不开展地下水、土壤环境现状调查。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822" w:hRule="atLeast"/>
          <w:jc w:val="center"/>
        </w:trPr>
        <w:tc>
          <w:tcPr>
            <w:tcW w:w="243" w:type="pct"/>
            <w:vAlign w:val="center"/>
          </w:tcPr>
          <w:p>
            <w:pPr>
              <w:adjustRightInd w:val="0"/>
              <w:snapToGrid w:val="0"/>
              <w:jc w:val="center"/>
              <w:rPr>
                <w:rFonts w:ascii="Times New Roman" w:hAnsi="Times New Roman" w:eastAsia="宋体" w:cs="Times New Roman"/>
                <w:kern w:val="0"/>
                <w:szCs w:val="21"/>
              </w:rPr>
            </w:pPr>
            <w:r>
              <w:rPr>
                <w:rFonts w:ascii="Times New Roman" w:hAnsi="Times New Roman" w:eastAsia="宋体" w:cs="Times New Roman"/>
                <w:kern w:val="0"/>
                <w:szCs w:val="21"/>
              </w:rPr>
              <w:t>环境</w:t>
            </w:r>
          </w:p>
          <w:p>
            <w:pPr>
              <w:adjustRightInd w:val="0"/>
              <w:snapToGrid w:val="0"/>
              <w:jc w:val="center"/>
              <w:rPr>
                <w:rFonts w:ascii="Times New Roman" w:hAnsi="Times New Roman" w:eastAsia="宋体" w:cs="Times New Roman"/>
                <w:kern w:val="0"/>
                <w:szCs w:val="21"/>
              </w:rPr>
            </w:pPr>
            <w:r>
              <w:rPr>
                <w:rFonts w:ascii="Times New Roman" w:hAnsi="Times New Roman" w:eastAsia="宋体" w:cs="Times New Roman"/>
                <w:kern w:val="0"/>
                <w:szCs w:val="21"/>
              </w:rPr>
              <w:t>保护</w:t>
            </w:r>
          </w:p>
          <w:p>
            <w:pPr>
              <w:adjustRightInd w:val="0"/>
              <w:snapToGrid w:val="0"/>
              <w:jc w:val="center"/>
              <w:rPr>
                <w:rFonts w:ascii="Times New Roman" w:hAnsi="Times New Roman" w:eastAsia="宋体" w:cs="Times New Roman"/>
                <w:kern w:val="0"/>
                <w:szCs w:val="21"/>
              </w:rPr>
            </w:pPr>
            <w:r>
              <w:rPr>
                <w:rFonts w:ascii="Times New Roman" w:hAnsi="Times New Roman" w:eastAsia="宋体" w:cs="Times New Roman"/>
                <w:kern w:val="0"/>
                <w:szCs w:val="21"/>
              </w:rPr>
              <w:t>目标</w:t>
            </w:r>
          </w:p>
        </w:tc>
        <w:tc>
          <w:tcPr>
            <w:tcW w:w="4756" w:type="pct"/>
          </w:tcPr>
          <w:p>
            <w:pPr>
              <w:widowControl/>
              <w:spacing w:line="360" w:lineRule="auto"/>
              <w:ind w:firstLine="482" w:firstLineChars="200"/>
              <w:rPr>
                <w:rFonts w:ascii="Times New Roman" w:hAnsi="Times New Roman" w:eastAsia="宋体" w:cs="Times New Roman"/>
                <w:b/>
                <w:bCs/>
                <w:sz w:val="24"/>
              </w:rPr>
            </w:pPr>
            <w:r>
              <w:rPr>
                <w:rFonts w:ascii="Times New Roman" w:hAnsi="Times New Roman" w:eastAsia="宋体" w:cs="Times New Roman"/>
                <w:b/>
                <w:bCs/>
                <w:sz w:val="24"/>
              </w:rPr>
              <w:t>1、大气环境保护目标</w:t>
            </w:r>
          </w:p>
          <w:p>
            <w:pPr>
              <w:pStyle w:val="2"/>
              <w:spacing w:line="360" w:lineRule="auto"/>
              <w:ind w:firstLine="480" w:firstLineChars="200"/>
              <w:rPr>
                <w:rFonts w:ascii="Times New Roman" w:eastAsia="宋体" w:cs="Times New Roman"/>
              </w:rPr>
            </w:pPr>
            <w:r>
              <w:rPr>
                <w:rFonts w:ascii="Times New Roman" w:eastAsia="宋体" w:cs="Times New Roman"/>
              </w:rPr>
              <w:t>本项目厂界外500米范围内大气环境保护目标主要为居民点、学校、村庄，详见下表3-4，敏感点分布情况详见附图3。</w:t>
            </w:r>
          </w:p>
          <w:p>
            <w:pPr>
              <w:widowControl/>
              <w:adjustRightInd w:val="0"/>
              <w:snapToGrid w:val="0"/>
              <w:spacing w:line="360" w:lineRule="auto"/>
              <w:ind w:firstLine="482" w:firstLineChars="200"/>
              <w:rPr>
                <w:rFonts w:ascii="Times New Roman" w:hAnsi="Times New Roman" w:eastAsia="宋体" w:cs="Times New Roman"/>
                <w:b/>
                <w:bCs/>
                <w:sz w:val="24"/>
              </w:rPr>
            </w:pPr>
            <w:r>
              <w:rPr>
                <w:rFonts w:ascii="Times New Roman" w:hAnsi="Times New Roman" w:eastAsia="宋体" w:cs="Times New Roman"/>
                <w:b/>
                <w:bCs/>
                <w:sz w:val="24"/>
              </w:rPr>
              <w:t>2、声环境保护目标</w:t>
            </w:r>
          </w:p>
          <w:p>
            <w:pPr>
              <w:pStyle w:val="2"/>
              <w:spacing w:line="360" w:lineRule="auto"/>
              <w:ind w:firstLine="480" w:firstLineChars="200"/>
              <w:rPr>
                <w:rFonts w:ascii="Times New Roman" w:eastAsia="宋体" w:cs="Times New Roman"/>
              </w:rPr>
            </w:pPr>
            <w:r>
              <w:rPr>
                <w:rFonts w:ascii="Times New Roman" w:eastAsia="宋体" w:cs="Times New Roman"/>
              </w:rPr>
              <w:t>本项目厂界外50m范围内有7个声环境保护目标。详见附图</w:t>
            </w:r>
            <w:r>
              <w:rPr>
                <w:rFonts w:hint="eastAsia" w:ascii="Times New Roman" w:eastAsia="宋体" w:cs="Times New Roman"/>
              </w:rPr>
              <w:t>3</w:t>
            </w:r>
            <w:r>
              <w:rPr>
                <w:rFonts w:ascii="Times New Roman" w:eastAsia="宋体" w:cs="Times New Roman"/>
              </w:rPr>
              <w:t>。</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表3-4环境保护目标一览表</w:t>
            </w:r>
          </w:p>
          <w:tbl>
            <w:tblPr>
              <w:tblStyle w:val="30"/>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1998"/>
              <w:gridCol w:w="1109"/>
              <w:gridCol w:w="1172"/>
              <w:gridCol w:w="1133"/>
              <w:gridCol w:w="994"/>
              <w:gridCol w:w="106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8" w:hRule="atLeast"/>
              </w:trPr>
              <w:tc>
                <w:tcPr>
                  <w:tcW w:w="270"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1265"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名称</w:t>
                  </w:r>
                </w:p>
              </w:tc>
              <w:tc>
                <w:tcPr>
                  <w:tcW w:w="70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保护对象</w:t>
                  </w:r>
                </w:p>
              </w:tc>
              <w:tc>
                <w:tcPr>
                  <w:tcW w:w="74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人口规模</w:t>
                  </w:r>
                </w:p>
              </w:tc>
              <w:tc>
                <w:tcPr>
                  <w:tcW w:w="717"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保护内容</w:t>
                  </w:r>
                </w:p>
              </w:tc>
              <w:tc>
                <w:tcPr>
                  <w:tcW w:w="629"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相对厂址方位</w:t>
                  </w:r>
                </w:p>
              </w:tc>
              <w:tc>
                <w:tcPr>
                  <w:tcW w:w="67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相对厂界距离/m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0"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1265"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农林二路公租房</w:t>
                  </w:r>
                </w:p>
              </w:tc>
              <w:tc>
                <w:tcPr>
                  <w:tcW w:w="70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居民点</w:t>
                  </w:r>
                </w:p>
              </w:tc>
              <w:tc>
                <w:tcPr>
                  <w:tcW w:w="74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约300人</w:t>
                  </w:r>
                </w:p>
              </w:tc>
              <w:tc>
                <w:tcPr>
                  <w:tcW w:w="717"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大气环境、声环境</w:t>
                  </w:r>
                </w:p>
              </w:tc>
              <w:tc>
                <w:tcPr>
                  <w:tcW w:w="629"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东北面</w:t>
                  </w:r>
                </w:p>
              </w:tc>
              <w:tc>
                <w:tcPr>
                  <w:tcW w:w="67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25m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0"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w:t>
                  </w:r>
                </w:p>
              </w:tc>
              <w:tc>
                <w:tcPr>
                  <w:tcW w:w="1265"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第二机械厂宿舍楼</w:t>
                  </w:r>
                </w:p>
              </w:tc>
              <w:tc>
                <w:tcPr>
                  <w:tcW w:w="70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居民点</w:t>
                  </w:r>
                </w:p>
              </w:tc>
              <w:tc>
                <w:tcPr>
                  <w:tcW w:w="74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约350人</w:t>
                  </w:r>
                </w:p>
              </w:tc>
              <w:tc>
                <w:tcPr>
                  <w:tcW w:w="717"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大气环境、声环境</w:t>
                  </w:r>
                </w:p>
              </w:tc>
              <w:tc>
                <w:tcPr>
                  <w:tcW w:w="629"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东南面</w:t>
                  </w:r>
                </w:p>
              </w:tc>
              <w:tc>
                <w:tcPr>
                  <w:tcW w:w="67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27m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0"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3</w:t>
                  </w:r>
                </w:p>
              </w:tc>
              <w:tc>
                <w:tcPr>
                  <w:tcW w:w="1265"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金田小区</w:t>
                  </w:r>
                </w:p>
              </w:tc>
              <w:tc>
                <w:tcPr>
                  <w:tcW w:w="70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居民点</w:t>
                  </w:r>
                </w:p>
              </w:tc>
              <w:tc>
                <w:tcPr>
                  <w:tcW w:w="74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约700人</w:t>
                  </w:r>
                </w:p>
              </w:tc>
              <w:tc>
                <w:tcPr>
                  <w:tcW w:w="717"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大气环境</w:t>
                  </w:r>
                </w:p>
              </w:tc>
              <w:tc>
                <w:tcPr>
                  <w:tcW w:w="629"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东</w:t>
                  </w:r>
                  <w:r>
                    <w:rPr>
                      <w:rFonts w:hint="eastAsia" w:ascii="Times New Roman" w:hAnsi="Times New Roman" w:eastAsia="宋体" w:cs="Times New Roman"/>
                      <w:szCs w:val="21"/>
                      <w:lang w:val="en-US" w:eastAsia="zh-CN"/>
                    </w:rPr>
                    <w:t>南</w:t>
                  </w:r>
                  <w:r>
                    <w:rPr>
                      <w:rFonts w:ascii="Times New Roman" w:hAnsi="Times New Roman" w:eastAsia="宋体" w:cs="Times New Roman"/>
                      <w:szCs w:val="21"/>
                    </w:rPr>
                    <w:t>面</w:t>
                  </w:r>
                </w:p>
              </w:tc>
              <w:tc>
                <w:tcPr>
                  <w:tcW w:w="67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322m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0"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4</w:t>
                  </w:r>
                </w:p>
              </w:tc>
              <w:tc>
                <w:tcPr>
                  <w:tcW w:w="1265" w:type="pct"/>
                  <w:tcBorders>
                    <w:tl2br w:val="nil"/>
                    <w:tr2bl w:val="nil"/>
                  </w:tcBorders>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居民区</w:t>
                  </w:r>
                </w:p>
              </w:tc>
              <w:tc>
                <w:tcPr>
                  <w:tcW w:w="70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居民点</w:t>
                  </w:r>
                </w:p>
              </w:tc>
              <w:tc>
                <w:tcPr>
                  <w:tcW w:w="74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约3000人</w:t>
                  </w:r>
                </w:p>
              </w:tc>
              <w:tc>
                <w:tcPr>
                  <w:tcW w:w="717"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大气环境</w:t>
                  </w:r>
                </w:p>
              </w:tc>
              <w:tc>
                <w:tcPr>
                  <w:tcW w:w="629"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西</w:t>
                  </w:r>
                  <w:r>
                    <w:rPr>
                      <w:rFonts w:hint="eastAsia" w:ascii="Times New Roman" w:hAnsi="Times New Roman" w:eastAsia="宋体" w:cs="Times New Roman"/>
                      <w:szCs w:val="21"/>
                      <w:lang w:val="en-US" w:eastAsia="zh-CN"/>
                    </w:rPr>
                    <w:t>南</w:t>
                  </w:r>
                  <w:r>
                    <w:rPr>
                      <w:rFonts w:ascii="Times New Roman" w:hAnsi="Times New Roman" w:eastAsia="宋体" w:cs="Times New Roman"/>
                      <w:szCs w:val="21"/>
                    </w:rPr>
                    <w:t>面</w:t>
                  </w:r>
                </w:p>
              </w:tc>
              <w:tc>
                <w:tcPr>
                  <w:tcW w:w="672" w:type="pct"/>
                  <w:tcBorders>
                    <w:tl2br w:val="nil"/>
                    <w:tr2bl w:val="nil"/>
                  </w:tcBorders>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87</w:t>
                  </w:r>
                  <w:r>
                    <w:rPr>
                      <w:rFonts w:ascii="Times New Roman" w:hAnsi="Times New Roman" w:eastAsia="宋体" w:cs="Times New Roman"/>
                      <w:szCs w:val="21"/>
                    </w:rPr>
                    <w:t>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0"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w:t>
                  </w:r>
                </w:p>
              </w:tc>
              <w:tc>
                <w:tcPr>
                  <w:tcW w:w="1265"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湛江市社会福利院</w:t>
                  </w:r>
                </w:p>
              </w:tc>
              <w:tc>
                <w:tcPr>
                  <w:tcW w:w="70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福利机构</w:t>
                  </w:r>
                </w:p>
              </w:tc>
              <w:tc>
                <w:tcPr>
                  <w:tcW w:w="74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约80人</w:t>
                  </w:r>
                </w:p>
              </w:tc>
              <w:tc>
                <w:tcPr>
                  <w:tcW w:w="717"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大气环境</w:t>
                  </w:r>
                </w:p>
              </w:tc>
              <w:tc>
                <w:tcPr>
                  <w:tcW w:w="629"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东南面</w:t>
                  </w:r>
                </w:p>
              </w:tc>
              <w:tc>
                <w:tcPr>
                  <w:tcW w:w="67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364m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0"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6</w:t>
                  </w:r>
                </w:p>
              </w:tc>
              <w:tc>
                <w:tcPr>
                  <w:tcW w:w="1265"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湛江市第三中学（美术中学）</w:t>
                  </w:r>
                </w:p>
              </w:tc>
              <w:tc>
                <w:tcPr>
                  <w:tcW w:w="70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学校</w:t>
                  </w:r>
                </w:p>
              </w:tc>
              <w:tc>
                <w:tcPr>
                  <w:tcW w:w="74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约1900人</w:t>
                  </w:r>
                </w:p>
              </w:tc>
              <w:tc>
                <w:tcPr>
                  <w:tcW w:w="717"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大气环境</w:t>
                  </w:r>
                </w:p>
              </w:tc>
              <w:tc>
                <w:tcPr>
                  <w:tcW w:w="629"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西面</w:t>
                  </w:r>
                </w:p>
              </w:tc>
              <w:tc>
                <w:tcPr>
                  <w:tcW w:w="67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99m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0"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7</w:t>
                  </w:r>
                </w:p>
              </w:tc>
              <w:tc>
                <w:tcPr>
                  <w:tcW w:w="1265"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北面居民房</w:t>
                  </w:r>
                </w:p>
              </w:tc>
              <w:tc>
                <w:tcPr>
                  <w:tcW w:w="70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居民点</w:t>
                  </w:r>
                </w:p>
              </w:tc>
              <w:tc>
                <w:tcPr>
                  <w:tcW w:w="742"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约350人</w:t>
                  </w:r>
                </w:p>
              </w:tc>
              <w:tc>
                <w:tcPr>
                  <w:tcW w:w="717"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大气环境</w:t>
                  </w:r>
                </w:p>
              </w:tc>
              <w:tc>
                <w:tcPr>
                  <w:tcW w:w="629" w:type="pct"/>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北面</w:t>
                  </w:r>
                </w:p>
              </w:tc>
              <w:tc>
                <w:tcPr>
                  <w:tcW w:w="672" w:type="pct"/>
                  <w:tcBorders>
                    <w:tl2br w:val="nil"/>
                    <w:tr2bl w:val="nil"/>
                  </w:tcBorders>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140</w:t>
                  </w:r>
                  <w:r>
                    <w:rPr>
                      <w:rFonts w:ascii="Times New Roman" w:hAnsi="Times New Roman" w:eastAsia="宋体" w:cs="Times New Roman"/>
                      <w:szCs w:val="21"/>
                    </w:rPr>
                    <w:t>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0" w:type="pct"/>
                  <w:tcBorders>
                    <w:tl2br w:val="nil"/>
                    <w:tr2bl w:val="nil"/>
                  </w:tcBorders>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8</w:t>
                  </w:r>
                </w:p>
              </w:tc>
              <w:tc>
                <w:tcPr>
                  <w:tcW w:w="1265" w:type="pct"/>
                  <w:tcBorders>
                    <w:tl2br w:val="nil"/>
                    <w:tr2bl w:val="nil"/>
                  </w:tcBorders>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文章村</w:t>
                  </w:r>
                </w:p>
              </w:tc>
              <w:tc>
                <w:tcPr>
                  <w:tcW w:w="702" w:type="pct"/>
                  <w:tcBorders>
                    <w:tl2br w:val="nil"/>
                    <w:tr2bl w:val="nil"/>
                  </w:tcBorders>
                  <w:vAlign w:val="center"/>
                </w:tcPr>
                <w:p>
                  <w:pPr>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居民点</w:t>
                  </w:r>
                </w:p>
              </w:tc>
              <w:tc>
                <w:tcPr>
                  <w:tcW w:w="742" w:type="pct"/>
                  <w:tcBorders>
                    <w:tl2br w:val="nil"/>
                    <w:tr2bl w:val="nil"/>
                  </w:tcBorders>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约300人</w:t>
                  </w:r>
                </w:p>
              </w:tc>
              <w:tc>
                <w:tcPr>
                  <w:tcW w:w="717" w:type="pct"/>
                  <w:tcBorders>
                    <w:tl2br w:val="nil"/>
                    <w:tr2bl w:val="nil"/>
                  </w:tcBorders>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大气环境</w:t>
                  </w:r>
                </w:p>
              </w:tc>
              <w:tc>
                <w:tcPr>
                  <w:tcW w:w="629" w:type="pct"/>
                  <w:tcBorders>
                    <w:tl2br w:val="nil"/>
                    <w:tr2bl w:val="nil"/>
                  </w:tcBorders>
                  <w:vAlign w:val="center"/>
                </w:tcPr>
                <w:p>
                  <w:pPr>
                    <w:jc w:val="center"/>
                    <w:rPr>
                      <w:rFonts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西</w:t>
                  </w:r>
                  <w:r>
                    <w:rPr>
                      <w:rFonts w:hint="eastAsia" w:ascii="Times New Roman" w:hAnsi="Times New Roman" w:eastAsia="宋体" w:cs="Times New Roman"/>
                      <w:szCs w:val="21"/>
                      <w:lang w:val="en-US" w:eastAsia="zh-CN"/>
                    </w:rPr>
                    <w:t>北</w:t>
                  </w:r>
                  <w:r>
                    <w:rPr>
                      <w:rFonts w:ascii="Times New Roman" w:hAnsi="Times New Roman" w:eastAsia="宋体" w:cs="Times New Roman"/>
                      <w:szCs w:val="21"/>
                    </w:rPr>
                    <w:t>面</w:t>
                  </w:r>
                </w:p>
              </w:tc>
              <w:tc>
                <w:tcPr>
                  <w:tcW w:w="672" w:type="pct"/>
                  <w:tcBorders>
                    <w:tl2br w:val="nil"/>
                    <w:tr2bl w:val="nil"/>
                  </w:tcBorders>
                  <w:vAlign w:val="center"/>
                </w:tcPr>
                <w:p>
                  <w:pPr>
                    <w:jc w:val="center"/>
                    <w:rPr>
                      <w:rFonts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152</w:t>
                  </w:r>
                  <w:r>
                    <w:rPr>
                      <w:rFonts w:ascii="Times New Roman" w:hAnsi="Times New Roman" w:eastAsia="宋体" w:cs="Times New Roman"/>
                      <w:szCs w:val="21"/>
                    </w:rPr>
                    <w:t>m</w:t>
                  </w:r>
                </w:p>
              </w:tc>
            </w:tr>
          </w:tbl>
          <w:p>
            <w:pPr>
              <w:widowControl/>
              <w:spacing w:line="360" w:lineRule="auto"/>
              <w:ind w:firstLine="482" w:firstLineChars="200"/>
              <w:jc w:val="left"/>
              <w:rPr>
                <w:rFonts w:ascii="Times New Roman" w:hAnsi="Times New Roman" w:eastAsia="宋体" w:cs="Times New Roman"/>
                <w:b/>
                <w:bCs/>
                <w:sz w:val="24"/>
              </w:rPr>
            </w:pPr>
            <w:r>
              <w:rPr>
                <w:rFonts w:ascii="Times New Roman" w:hAnsi="Times New Roman" w:eastAsia="宋体" w:cs="Times New Roman"/>
                <w:b/>
                <w:bCs/>
                <w:sz w:val="24"/>
              </w:rPr>
              <w:t>3、地下水环境保护目标</w:t>
            </w:r>
          </w:p>
          <w:p>
            <w:pPr>
              <w:pStyle w:val="2"/>
              <w:spacing w:line="360" w:lineRule="auto"/>
              <w:ind w:firstLine="480" w:firstLineChars="200"/>
              <w:rPr>
                <w:rFonts w:ascii="Times New Roman" w:eastAsia="宋体" w:cs="Times New Roman"/>
              </w:rPr>
            </w:pPr>
            <w:r>
              <w:rPr>
                <w:rFonts w:ascii="Times New Roman" w:eastAsia="宋体" w:cs="Times New Roman"/>
              </w:rPr>
              <w:t>本项目厂界外500米范围内无地下水集中式饮用水水源和热水、矿泉水、温泉等特殊地下水资源。</w:t>
            </w:r>
          </w:p>
          <w:p>
            <w:pPr>
              <w:widowControl/>
              <w:spacing w:line="360" w:lineRule="auto"/>
              <w:ind w:firstLine="482" w:firstLineChars="200"/>
              <w:jc w:val="left"/>
              <w:rPr>
                <w:rFonts w:ascii="Times New Roman" w:hAnsi="Times New Roman" w:eastAsia="宋体" w:cs="Times New Roman"/>
                <w:b/>
                <w:bCs/>
                <w:sz w:val="24"/>
              </w:rPr>
            </w:pPr>
            <w:r>
              <w:rPr>
                <w:rFonts w:ascii="Times New Roman" w:hAnsi="Times New Roman" w:eastAsia="宋体" w:cs="Times New Roman"/>
                <w:b/>
                <w:bCs/>
                <w:sz w:val="24"/>
              </w:rPr>
              <w:t>4、生态环境保护目标</w:t>
            </w:r>
          </w:p>
          <w:p>
            <w:pPr>
              <w:widowControl/>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color w:val="000000"/>
                <w:kern w:val="0"/>
                <w:sz w:val="24"/>
              </w:rPr>
              <w:t>本项目区域绿化用地外已全部硬化，用地范围内无生态环境保护目标。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3" w:type="pct"/>
            <w:tcMar>
              <w:left w:w="28" w:type="dxa"/>
              <w:right w:w="28" w:type="dxa"/>
            </w:tcMar>
            <w:vAlign w:val="center"/>
          </w:tcPr>
          <w:p>
            <w:pPr>
              <w:adjustRightInd w:val="0"/>
              <w:snapToGrid w:val="0"/>
              <w:jc w:val="center"/>
              <w:rPr>
                <w:rFonts w:ascii="Times New Roman" w:hAnsi="Times New Roman" w:eastAsia="宋体" w:cs="Times New Roman"/>
              </w:rPr>
            </w:pPr>
            <w:r>
              <w:rPr>
                <w:rFonts w:ascii="Times New Roman" w:hAnsi="Times New Roman" w:eastAsia="宋体" w:cs="Times New Roman"/>
              </w:rPr>
              <w:t>污染</w:t>
            </w:r>
          </w:p>
          <w:p>
            <w:pPr>
              <w:adjustRightInd w:val="0"/>
              <w:snapToGrid w:val="0"/>
              <w:jc w:val="center"/>
              <w:rPr>
                <w:rFonts w:ascii="Times New Roman" w:hAnsi="Times New Roman" w:eastAsia="宋体" w:cs="Times New Roman"/>
              </w:rPr>
            </w:pPr>
            <w:r>
              <w:rPr>
                <w:rFonts w:ascii="Times New Roman" w:hAnsi="Times New Roman" w:eastAsia="宋体" w:cs="Times New Roman"/>
              </w:rPr>
              <w:t>物排</w:t>
            </w:r>
          </w:p>
          <w:p>
            <w:pPr>
              <w:adjustRightInd w:val="0"/>
              <w:snapToGrid w:val="0"/>
              <w:jc w:val="center"/>
              <w:rPr>
                <w:rFonts w:ascii="Times New Roman" w:hAnsi="Times New Roman" w:eastAsia="宋体" w:cs="Times New Roman"/>
              </w:rPr>
            </w:pPr>
            <w:r>
              <w:rPr>
                <w:rFonts w:ascii="Times New Roman" w:hAnsi="Times New Roman" w:eastAsia="宋体" w:cs="Times New Roman"/>
              </w:rPr>
              <w:t>放控</w:t>
            </w:r>
          </w:p>
          <w:p>
            <w:pPr>
              <w:adjustRightInd w:val="0"/>
              <w:snapToGrid w:val="0"/>
              <w:jc w:val="center"/>
              <w:rPr>
                <w:rFonts w:ascii="Times New Roman" w:hAnsi="Times New Roman" w:eastAsia="宋体" w:cs="Times New Roman"/>
              </w:rPr>
            </w:pPr>
            <w:r>
              <w:rPr>
                <w:rFonts w:ascii="Times New Roman" w:hAnsi="Times New Roman" w:eastAsia="宋体" w:cs="Times New Roman"/>
              </w:rPr>
              <w:t>制标</w:t>
            </w:r>
          </w:p>
          <w:p>
            <w:pPr>
              <w:adjustRightInd w:val="0"/>
              <w:snapToGrid w:val="0"/>
              <w:jc w:val="center"/>
              <w:rPr>
                <w:rFonts w:ascii="Times New Roman" w:hAnsi="Times New Roman" w:eastAsia="宋体" w:cs="Times New Roman"/>
              </w:rPr>
            </w:pPr>
            <w:r>
              <w:rPr>
                <w:rFonts w:ascii="Times New Roman" w:hAnsi="Times New Roman" w:eastAsia="宋体" w:cs="Times New Roman"/>
              </w:rPr>
              <w:t>准</w:t>
            </w:r>
          </w:p>
          <w:p>
            <w:pPr>
              <w:pStyle w:val="18"/>
              <w:rPr>
                <w:rFonts w:ascii="Times New Roman" w:hAnsi="Times New Roman" w:eastAsia="宋体" w:cs="Times New Roman"/>
              </w:rPr>
            </w:pPr>
          </w:p>
        </w:tc>
        <w:tc>
          <w:tcPr>
            <w:tcW w:w="4756" w:type="pct"/>
            <w:vAlign w:val="center"/>
          </w:tcPr>
          <w:p>
            <w:pPr>
              <w:numPr>
                <w:ilvl w:val="0"/>
                <w:numId w:val="6"/>
              </w:numPr>
              <w:adjustRightInd w:val="0"/>
              <w:snapToGrid w:val="0"/>
              <w:spacing w:line="360" w:lineRule="auto"/>
              <w:ind w:firstLine="482" w:firstLineChars="200"/>
              <w:rPr>
                <w:rFonts w:ascii="Times New Roman" w:hAnsi="Times New Roman" w:eastAsia="宋体" w:cs="Times New Roman"/>
                <w:b/>
                <w:bCs/>
                <w:sz w:val="24"/>
              </w:rPr>
            </w:pPr>
            <w:r>
              <w:rPr>
                <w:rFonts w:ascii="Times New Roman" w:hAnsi="Times New Roman" w:eastAsia="宋体" w:cs="Times New Roman"/>
                <w:b/>
                <w:bCs/>
                <w:sz w:val="24"/>
              </w:rPr>
              <w:t>废气</w:t>
            </w:r>
          </w:p>
          <w:p>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color w:val="000000"/>
                <w:kern w:val="0"/>
                <w:sz w:val="24"/>
              </w:rPr>
              <w:t>项目食堂油烟废气执行《饮食业油烟排放标准（试行）》（GB18483-2001）规定的最高允许排放浓度（2mg/m</w:t>
            </w:r>
            <w:r>
              <w:rPr>
                <w:rFonts w:ascii="Times New Roman" w:hAnsi="Times New Roman" w:eastAsia="宋体" w:cs="Times New Roman"/>
                <w:color w:val="000000"/>
                <w:kern w:val="0"/>
                <w:sz w:val="24"/>
                <w:vertAlign w:val="superscript"/>
              </w:rPr>
              <w:t>3</w:t>
            </w:r>
            <w:r>
              <w:rPr>
                <w:rFonts w:ascii="Times New Roman" w:hAnsi="Times New Roman" w:eastAsia="宋体" w:cs="Times New Roman"/>
                <w:color w:val="000000"/>
                <w:kern w:val="0"/>
                <w:sz w:val="24"/>
              </w:rPr>
              <w:t>）要求；</w:t>
            </w:r>
          </w:p>
          <w:p>
            <w:pPr>
              <w:pStyle w:val="2"/>
              <w:spacing w:line="360" w:lineRule="auto"/>
              <w:jc w:val="center"/>
              <w:rPr>
                <w:rFonts w:ascii="Times New Roman" w:eastAsia="宋体" w:cs="Times New Roman"/>
                <w:b/>
                <w:bCs/>
                <w:color w:val="auto"/>
              </w:rPr>
            </w:pPr>
            <w:r>
              <w:rPr>
                <w:rFonts w:ascii="Times New Roman" w:eastAsia="宋体" w:cs="Times New Roman"/>
                <w:b/>
                <w:bCs/>
                <w:kern w:val="2"/>
              </w:rPr>
              <w:t>表3-5《饮食业油烟排放标准（试行）》（GB18483-2001）（摘录）</w:t>
            </w:r>
          </w:p>
          <w:tbl>
            <w:tblPr>
              <w:tblStyle w:val="2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398"/>
              <w:gridCol w:w="1497"/>
              <w:gridCol w:w="1499"/>
              <w:gridCol w:w="150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152"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规模</w:t>
                  </w:r>
                </w:p>
              </w:tc>
              <w:tc>
                <w:tcPr>
                  <w:tcW w:w="948"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小型</w:t>
                  </w:r>
                </w:p>
              </w:tc>
              <w:tc>
                <w:tcPr>
                  <w:tcW w:w="949"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中型</w:t>
                  </w:r>
                </w:p>
              </w:tc>
              <w:tc>
                <w:tcPr>
                  <w:tcW w:w="950"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大型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152"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最高允许排放浓度（mg/m</w:t>
                  </w:r>
                  <w:r>
                    <w:rPr>
                      <w:rFonts w:ascii="Times New Roman" w:eastAsia="宋体" w:cs="Times New Roman"/>
                      <w:color w:val="auto"/>
                      <w:sz w:val="21"/>
                      <w:szCs w:val="21"/>
                      <w:vertAlign w:val="superscript"/>
                    </w:rPr>
                    <w:t>3</w:t>
                  </w:r>
                  <w:r>
                    <w:rPr>
                      <w:rFonts w:ascii="Times New Roman" w:eastAsia="宋体" w:cs="Times New Roman"/>
                      <w:color w:val="auto"/>
                      <w:sz w:val="21"/>
                      <w:szCs w:val="21"/>
                    </w:rPr>
                    <w:t>）</w:t>
                  </w:r>
                </w:p>
              </w:tc>
              <w:tc>
                <w:tcPr>
                  <w:tcW w:w="2847" w:type="pct"/>
                  <w:gridSpan w:val="3"/>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2152"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净化设施最低去除效率(%)</w:t>
                  </w:r>
                </w:p>
              </w:tc>
              <w:tc>
                <w:tcPr>
                  <w:tcW w:w="948"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60</w:t>
                  </w:r>
                </w:p>
              </w:tc>
              <w:tc>
                <w:tcPr>
                  <w:tcW w:w="949"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75</w:t>
                  </w:r>
                </w:p>
              </w:tc>
              <w:tc>
                <w:tcPr>
                  <w:tcW w:w="950"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85</w:t>
                  </w:r>
                </w:p>
              </w:tc>
            </w:tr>
          </w:tbl>
          <w:p>
            <w:pPr>
              <w:pStyle w:val="2"/>
              <w:spacing w:line="360" w:lineRule="auto"/>
              <w:ind w:firstLine="480" w:firstLineChars="200"/>
              <w:rPr>
                <w:rFonts w:ascii="Times New Roman" w:eastAsia="宋体" w:cs="Times New Roman"/>
              </w:rPr>
            </w:pPr>
            <w:r>
              <w:rPr>
                <w:rFonts w:ascii="Times New Roman" w:eastAsia="宋体" w:cs="Times New Roman"/>
              </w:rPr>
              <w:t>项目污水处理站恶臭气体执行《医疗机构水污染物排放标准》（GB18466-2005）中表3污水处理站周边大气污染物最高允许浓度，具体见下表：</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表3-6《医疗机构水污染物排放标准》（GB18466-2005）表3污水处理站周边大气污染物最高允许浓度</w:t>
            </w:r>
          </w:p>
          <w:tbl>
            <w:tblPr>
              <w:tblStyle w:val="29"/>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43"/>
              <w:gridCol w:w="1923"/>
              <w:gridCol w:w="402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1167"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标准</w:t>
                  </w:r>
                </w:p>
              </w:tc>
              <w:tc>
                <w:tcPr>
                  <w:tcW w:w="1249"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污染物</w:t>
                  </w:r>
                </w:p>
              </w:tc>
              <w:tc>
                <w:tcPr>
                  <w:tcW w:w="2582"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污水处理站周边大气污染物最高允许浓度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67" w:type="pct"/>
                  <w:vMerge w:val="restar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《医疗机构水污染物排放标准》（GB18466-2005）</w:t>
                  </w:r>
                </w:p>
              </w:tc>
              <w:tc>
                <w:tcPr>
                  <w:tcW w:w="1249"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氨</w:t>
                  </w:r>
                </w:p>
              </w:tc>
              <w:tc>
                <w:tcPr>
                  <w:tcW w:w="2582"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1.0mg/m</w:t>
                  </w:r>
                  <w:r>
                    <w:rPr>
                      <w:rFonts w:ascii="Times New Roman" w:eastAsia="宋体" w:cs="Times New Roman"/>
                      <w:color w:val="auto"/>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67" w:type="pct"/>
                  <w:vMerge w:val="continue"/>
                  <w:vAlign w:val="center"/>
                </w:tcPr>
                <w:p>
                  <w:pPr>
                    <w:pStyle w:val="2"/>
                    <w:jc w:val="center"/>
                    <w:rPr>
                      <w:rFonts w:ascii="Times New Roman" w:eastAsia="宋体" w:cs="Times New Roman"/>
                      <w:color w:val="auto"/>
                      <w:sz w:val="21"/>
                      <w:szCs w:val="21"/>
                    </w:rPr>
                  </w:pPr>
                </w:p>
              </w:tc>
              <w:tc>
                <w:tcPr>
                  <w:tcW w:w="1249"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硫化氢</w:t>
                  </w:r>
                </w:p>
              </w:tc>
              <w:tc>
                <w:tcPr>
                  <w:tcW w:w="2582"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0.03mg/m</w:t>
                  </w:r>
                  <w:r>
                    <w:rPr>
                      <w:rFonts w:ascii="Times New Roman" w:eastAsia="宋体" w:cs="Times New Roman"/>
                      <w:color w:val="auto"/>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67" w:type="pct"/>
                  <w:vMerge w:val="continue"/>
                  <w:vAlign w:val="center"/>
                </w:tcPr>
                <w:p>
                  <w:pPr>
                    <w:pStyle w:val="2"/>
                    <w:jc w:val="center"/>
                    <w:rPr>
                      <w:rFonts w:ascii="Times New Roman" w:eastAsia="宋体" w:cs="Times New Roman"/>
                      <w:color w:val="auto"/>
                      <w:sz w:val="21"/>
                      <w:szCs w:val="21"/>
                    </w:rPr>
                  </w:pPr>
                </w:p>
              </w:tc>
              <w:tc>
                <w:tcPr>
                  <w:tcW w:w="1249"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臭气浓度</w:t>
                  </w:r>
                </w:p>
              </w:tc>
              <w:tc>
                <w:tcPr>
                  <w:tcW w:w="2582"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10（无量纲）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67" w:type="pct"/>
                  <w:vMerge w:val="continue"/>
                  <w:vAlign w:val="center"/>
                </w:tcPr>
                <w:p>
                  <w:pPr>
                    <w:pStyle w:val="2"/>
                    <w:jc w:val="center"/>
                    <w:rPr>
                      <w:rFonts w:ascii="Times New Roman" w:eastAsia="宋体" w:cs="Times New Roman"/>
                      <w:color w:val="auto"/>
                      <w:sz w:val="21"/>
                      <w:szCs w:val="21"/>
                    </w:rPr>
                  </w:pPr>
                </w:p>
              </w:tc>
              <w:tc>
                <w:tcPr>
                  <w:tcW w:w="1249"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氯气</w:t>
                  </w:r>
                </w:p>
              </w:tc>
              <w:tc>
                <w:tcPr>
                  <w:tcW w:w="2582"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0.1mg/m</w:t>
                  </w:r>
                  <w:r>
                    <w:rPr>
                      <w:rFonts w:ascii="Times New Roman" w:eastAsia="宋体" w:cs="Times New Roman"/>
                      <w:color w:val="auto"/>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67" w:type="pct"/>
                  <w:vMerge w:val="continue"/>
                  <w:vAlign w:val="center"/>
                </w:tcPr>
                <w:p>
                  <w:pPr>
                    <w:pStyle w:val="2"/>
                    <w:jc w:val="center"/>
                    <w:rPr>
                      <w:rFonts w:ascii="Times New Roman" w:eastAsia="宋体" w:cs="Times New Roman"/>
                      <w:color w:val="auto"/>
                      <w:sz w:val="21"/>
                      <w:szCs w:val="21"/>
                    </w:rPr>
                  </w:pPr>
                </w:p>
              </w:tc>
              <w:tc>
                <w:tcPr>
                  <w:tcW w:w="1249"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甲烷</w:t>
                  </w:r>
                </w:p>
              </w:tc>
              <w:tc>
                <w:tcPr>
                  <w:tcW w:w="2582" w:type="pct"/>
                  <w:vAlign w:val="center"/>
                </w:tcPr>
                <w:p>
                  <w:pPr>
                    <w:pStyle w:val="2"/>
                    <w:jc w:val="center"/>
                    <w:rPr>
                      <w:rFonts w:ascii="Times New Roman" w:eastAsia="宋体" w:cs="Times New Roman"/>
                      <w:color w:val="auto"/>
                      <w:sz w:val="21"/>
                      <w:szCs w:val="21"/>
                    </w:rPr>
                  </w:pPr>
                  <w:r>
                    <w:rPr>
                      <w:rFonts w:ascii="Times New Roman" w:eastAsia="宋体" w:cs="Times New Roman"/>
                      <w:color w:val="auto"/>
                      <w:sz w:val="21"/>
                      <w:szCs w:val="21"/>
                    </w:rPr>
                    <w:t>1（指处理站内最高体积百分数%）</w:t>
                  </w:r>
                </w:p>
              </w:tc>
            </w:tr>
          </w:tbl>
          <w:p>
            <w:pPr>
              <w:pStyle w:val="2"/>
              <w:spacing w:line="360" w:lineRule="auto"/>
              <w:ind w:firstLine="480" w:firstLineChars="200"/>
              <w:rPr>
                <w:rFonts w:ascii="Times New Roman" w:eastAsia="宋体" w:cs="Times New Roman"/>
              </w:rPr>
            </w:pPr>
            <w:r>
              <w:rPr>
                <w:rFonts w:ascii="Times New Roman" w:eastAsia="宋体" w:cs="Times New Roman"/>
              </w:rPr>
              <w:t>项目备用柴油发电机排放废气执行广东省《大气污染物排放限值》（DB44/27-2001）表2工艺废气大气污染物排放限值第二时段最高允许排放浓度限值，具体排放标准见下表。</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表3-7广东省《大气污染物排放限值》（DB44/27-2001）表2工艺废气大气污染物排放限值第二时段最高允许排放浓度限值</w:t>
            </w:r>
          </w:p>
          <w:tbl>
            <w:tblPr>
              <w:tblStyle w:val="29"/>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224"/>
              <w:gridCol w:w="382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70" w:type="pct"/>
                  <w:vMerge w:val="restart"/>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r>
                    <w:rPr>
                      <w:rFonts w:ascii="Times New Roman" w:eastAsia="宋体" w:cs="Times New Roman"/>
                      <w:color w:val="auto"/>
                      <w:sz w:val="21"/>
                      <w:szCs w:val="21"/>
                    </w:rPr>
                    <w:t>污染源</w:t>
                  </w:r>
                </w:p>
              </w:tc>
              <w:tc>
                <w:tcPr>
                  <w:tcW w:w="1408" w:type="pct"/>
                  <w:vMerge w:val="restart"/>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r>
                    <w:rPr>
                      <w:rFonts w:ascii="Times New Roman" w:eastAsia="宋体" w:cs="Times New Roman"/>
                      <w:color w:val="auto"/>
                      <w:sz w:val="21"/>
                      <w:szCs w:val="21"/>
                    </w:rPr>
                    <w:t>污染物</w:t>
                  </w:r>
                </w:p>
              </w:tc>
              <w:tc>
                <w:tcPr>
                  <w:tcW w:w="2420" w:type="pct"/>
                  <w:vMerge w:val="restart"/>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r>
                    <w:rPr>
                      <w:rFonts w:ascii="Times New Roman" w:eastAsia="宋体" w:cs="Times New Roman"/>
                      <w:color w:val="auto"/>
                      <w:sz w:val="21"/>
                      <w:szCs w:val="21"/>
                    </w:rPr>
                    <w:t>最高允许排放浓度限值（mg/m</w:t>
                  </w:r>
                  <w:r>
                    <w:rPr>
                      <w:rFonts w:ascii="Times New Roman" w:eastAsia="宋体" w:cs="Times New Roman"/>
                      <w:color w:val="auto"/>
                      <w:sz w:val="21"/>
                      <w:szCs w:val="21"/>
                      <w:vertAlign w:val="superscript"/>
                    </w:rPr>
                    <w:t>3</w:t>
                  </w:r>
                  <w:r>
                    <w:rPr>
                      <w:rFonts w:ascii="Times New Roman" w:eastAsia="宋体" w:cs="Times New Roman"/>
                      <w:color w:val="auto"/>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170" w:type="pct"/>
                  <w:vMerge w:val="continue"/>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p>
              </w:tc>
              <w:tc>
                <w:tcPr>
                  <w:tcW w:w="1408" w:type="pct"/>
                  <w:vMerge w:val="continue"/>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p>
              </w:tc>
              <w:tc>
                <w:tcPr>
                  <w:tcW w:w="2420" w:type="pct"/>
                  <w:vMerge w:val="continue"/>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1170" w:type="pct"/>
                  <w:vMerge w:val="restart"/>
                  <w:tcMar>
                    <w:top w:w="0" w:type="dxa"/>
                    <w:left w:w="108" w:type="dxa"/>
                    <w:bottom w:w="0" w:type="dxa"/>
                    <w:right w:w="108" w:type="dxa"/>
                  </w:tcMar>
                  <w:vAlign w:val="center"/>
                </w:tcPr>
                <w:p>
                  <w:pPr>
                    <w:pStyle w:val="2"/>
                    <w:tabs>
                      <w:tab w:val="left" w:pos="573"/>
                    </w:tabs>
                    <w:snapToGrid w:val="0"/>
                    <w:jc w:val="center"/>
                    <w:rPr>
                      <w:rFonts w:ascii="Times New Roman" w:eastAsia="宋体" w:cs="Times New Roman"/>
                      <w:color w:val="auto"/>
                      <w:sz w:val="21"/>
                      <w:szCs w:val="21"/>
                    </w:rPr>
                  </w:pPr>
                  <w:r>
                    <w:rPr>
                      <w:rFonts w:ascii="Times New Roman" w:eastAsia="宋体" w:cs="Times New Roman"/>
                      <w:color w:val="auto"/>
                      <w:sz w:val="21"/>
                      <w:szCs w:val="21"/>
                    </w:rPr>
                    <w:t>备用发电机废气</w:t>
                  </w:r>
                </w:p>
              </w:tc>
              <w:tc>
                <w:tcPr>
                  <w:tcW w:w="1408" w:type="pct"/>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r>
                    <w:rPr>
                      <w:rFonts w:ascii="Times New Roman" w:eastAsia="宋体" w:cs="Times New Roman"/>
                      <w:color w:val="auto"/>
                      <w:sz w:val="21"/>
                      <w:szCs w:val="21"/>
                    </w:rPr>
                    <w:t>SO</w:t>
                  </w:r>
                  <w:r>
                    <w:rPr>
                      <w:rFonts w:ascii="Times New Roman" w:eastAsia="宋体" w:cs="Times New Roman"/>
                      <w:color w:val="auto"/>
                      <w:sz w:val="21"/>
                      <w:szCs w:val="21"/>
                      <w:vertAlign w:val="subscript"/>
                    </w:rPr>
                    <w:t>2</w:t>
                  </w:r>
                </w:p>
              </w:tc>
              <w:tc>
                <w:tcPr>
                  <w:tcW w:w="2420" w:type="pct"/>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r>
                    <w:rPr>
                      <w:rFonts w:ascii="Times New Roman" w:eastAsia="宋体" w:cs="Times New Roman"/>
                      <w:bCs/>
                      <w:color w:val="auto"/>
                      <w:sz w:val="21"/>
                      <w:szCs w:val="21"/>
                    </w:rPr>
                    <w:t>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1170" w:type="pct"/>
                  <w:vMerge w:val="continue"/>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p>
              </w:tc>
              <w:tc>
                <w:tcPr>
                  <w:tcW w:w="1408" w:type="pct"/>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r>
                    <w:rPr>
                      <w:rFonts w:ascii="Times New Roman" w:eastAsia="宋体" w:cs="Times New Roman"/>
                      <w:color w:val="auto"/>
                      <w:sz w:val="21"/>
                      <w:szCs w:val="21"/>
                    </w:rPr>
                    <w:t>NO</w:t>
                  </w:r>
                  <w:r>
                    <w:rPr>
                      <w:rFonts w:ascii="Times New Roman" w:eastAsia="宋体" w:cs="Times New Roman"/>
                      <w:color w:val="auto"/>
                      <w:sz w:val="21"/>
                      <w:szCs w:val="21"/>
                      <w:vertAlign w:val="subscript"/>
                    </w:rPr>
                    <w:t>x</w:t>
                  </w:r>
                </w:p>
              </w:tc>
              <w:tc>
                <w:tcPr>
                  <w:tcW w:w="2420" w:type="pct"/>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r>
                    <w:rPr>
                      <w:rFonts w:ascii="Times New Roman" w:eastAsia="宋体" w:cs="Times New Roman"/>
                      <w:bCs/>
                      <w:color w:val="auto"/>
                      <w:sz w:val="21"/>
                      <w:szCs w:val="21"/>
                    </w:rPr>
                    <w:t>120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1170" w:type="pct"/>
                  <w:vMerge w:val="continue"/>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p>
              </w:tc>
              <w:tc>
                <w:tcPr>
                  <w:tcW w:w="1408" w:type="pct"/>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r>
                    <w:rPr>
                      <w:rFonts w:ascii="Times New Roman" w:eastAsia="宋体" w:cs="Times New Roman"/>
                      <w:color w:val="auto"/>
                      <w:sz w:val="21"/>
                      <w:szCs w:val="21"/>
                    </w:rPr>
                    <w:t>颗粒物</w:t>
                  </w:r>
                </w:p>
              </w:tc>
              <w:tc>
                <w:tcPr>
                  <w:tcW w:w="2420" w:type="pct"/>
                  <w:tcMar>
                    <w:top w:w="0" w:type="dxa"/>
                    <w:left w:w="108" w:type="dxa"/>
                    <w:bottom w:w="0" w:type="dxa"/>
                    <w:right w:w="108" w:type="dxa"/>
                  </w:tcMar>
                  <w:vAlign w:val="center"/>
                </w:tcPr>
                <w:p>
                  <w:pPr>
                    <w:pStyle w:val="2"/>
                    <w:snapToGrid w:val="0"/>
                    <w:jc w:val="center"/>
                    <w:rPr>
                      <w:rFonts w:ascii="Times New Roman" w:eastAsia="宋体" w:cs="Times New Roman"/>
                      <w:color w:val="auto"/>
                      <w:sz w:val="21"/>
                      <w:szCs w:val="21"/>
                    </w:rPr>
                  </w:pPr>
                  <w:r>
                    <w:rPr>
                      <w:rFonts w:ascii="Times New Roman" w:eastAsia="宋体" w:cs="Times New Roman"/>
                      <w:bCs/>
                      <w:color w:val="auto"/>
                      <w:sz w:val="21"/>
                      <w:szCs w:val="21"/>
                    </w:rPr>
                    <w:t>120</w:t>
                  </w:r>
                </w:p>
              </w:tc>
            </w:tr>
          </w:tbl>
          <w:p>
            <w:pPr>
              <w:numPr>
                <w:ilvl w:val="0"/>
                <w:numId w:val="6"/>
              </w:numPr>
              <w:adjustRightInd w:val="0"/>
              <w:snapToGrid w:val="0"/>
              <w:spacing w:line="360" w:lineRule="auto"/>
              <w:ind w:firstLine="482" w:firstLineChars="200"/>
              <w:rPr>
                <w:rFonts w:ascii="Times New Roman" w:hAnsi="Times New Roman" w:eastAsia="宋体" w:cs="Times New Roman"/>
                <w:b/>
                <w:bCs/>
                <w:sz w:val="24"/>
              </w:rPr>
            </w:pPr>
            <w:r>
              <w:rPr>
                <w:rFonts w:ascii="Times New Roman" w:hAnsi="Times New Roman" w:eastAsia="宋体" w:cs="Times New Roman"/>
                <w:b/>
                <w:bCs/>
                <w:sz w:val="24"/>
              </w:rPr>
              <w:t>废水</w:t>
            </w:r>
          </w:p>
          <w:p>
            <w:pPr>
              <w:pStyle w:val="2"/>
              <w:spacing w:line="360" w:lineRule="auto"/>
              <w:ind w:firstLine="480" w:firstLineChars="200"/>
              <w:rPr>
                <w:rFonts w:hint="default" w:ascii="Times New Roman" w:eastAsia="宋体" w:cs="Times New Roman"/>
                <w:lang w:val="en-US" w:eastAsia="zh-CN"/>
              </w:rPr>
            </w:pPr>
            <w:r>
              <w:rPr>
                <w:rFonts w:hint="eastAsia" w:ascii="Times New Roman" w:eastAsia="宋体" w:cs="Times New Roman"/>
                <w:lang w:val="en-US" w:eastAsia="zh-CN"/>
              </w:rPr>
              <w:t>项目职工就餐依托湛江市养老服务中心的员工食堂，产生的食堂废水依托湛江市养老服务中心的三级化粪池、隔油池进行处理后，达到广东省《水污染物排放限值》（DB44/26-2001）第二时段三级标准，直接排入市政管网。</w:t>
            </w:r>
          </w:p>
          <w:p>
            <w:pPr>
              <w:pStyle w:val="2"/>
              <w:spacing w:line="360" w:lineRule="auto"/>
              <w:ind w:firstLine="480" w:firstLineChars="200"/>
              <w:rPr>
                <w:rFonts w:ascii="Times New Roman" w:eastAsia="宋体" w:cs="Times New Roman"/>
                <w:b/>
                <w:bCs/>
              </w:rPr>
            </w:pPr>
            <w:r>
              <w:rPr>
                <w:rFonts w:ascii="Times New Roman" w:eastAsia="宋体" w:cs="Times New Roman"/>
              </w:rPr>
              <w:t>项目</w:t>
            </w:r>
            <w:r>
              <w:rPr>
                <w:rFonts w:hint="eastAsia" w:ascii="Times New Roman" w:eastAsia="宋体" w:cs="Times New Roman"/>
                <w:lang w:val="en-US" w:eastAsia="zh-CN"/>
              </w:rPr>
              <w:t>综合</w:t>
            </w:r>
            <w:r>
              <w:rPr>
                <w:rFonts w:ascii="Times New Roman" w:eastAsia="宋体" w:cs="Times New Roman"/>
              </w:rPr>
              <w:t>废水经三级化粪池、</w:t>
            </w:r>
            <w:r>
              <w:rPr>
                <w:rFonts w:hint="eastAsia" w:ascii="Times New Roman" w:eastAsia="宋体" w:cs="Times New Roman"/>
              </w:rPr>
              <w:t>自建</w:t>
            </w:r>
            <w:r>
              <w:rPr>
                <w:rFonts w:ascii="Times New Roman" w:eastAsia="宋体" w:cs="Times New Roman"/>
              </w:rPr>
              <w:t>污水处理站处理达到《医疗机构水污染物排放标准》（GB18466-2005）中表2综合医疗机构和其他医疗机构水污染物排放限值（日均值）中的预处理标准、广东省《水污染物排放限值》（DB44/26-2001）第二时段三级标准及湛江市赤坎水质净化厂进水水质标准的较严值后，进入市政管网排入湛江市赤坎水质净化厂处理达到《城镇污水处理厂污染物排放标准》（GB18918-2002）一级A标准及广东省《水污染物排放限值》（DB44/26-2001）第二时段一级标准的较严值后最后进入滨湖。</w:t>
            </w:r>
          </w:p>
          <w:p>
            <w:pPr>
              <w:widowControl/>
              <w:spacing w:line="360" w:lineRule="auto"/>
              <w:jc w:val="center"/>
              <w:rPr>
                <w:rFonts w:ascii="Times New Roman" w:hAnsi="Times New Roman" w:eastAsia="宋体" w:cs="Times New Roman"/>
                <w:b/>
                <w:bCs/>
                <w:color w:val="000000"/>
                <w:sz w:val="24"/>
              </w:rPr>
            </w:pP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表3-8本项目废水排放标准（单位：mg/L）</w:t>
            </w:r>
          </w:p>
          <w:tbl>
            <w:tblPr>
              <w:tblStyle w:val="3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34" w:type="dxa"/>
                <w:bottom w:w="0" w:type="dxa"/>
                <w:right w:w="34" w:type="dxa"/>
              </w:tblCellMar>
            </w:tblPr>
            <w:tblGrid>
              <w:gridCol w:w="1348"/>
              <w:gridCol w:w="2153"/>
              <w:gridCol w:w="1752"/>
              <w:gridCol w:w="1289"/>
              <w:gridCol w:w="135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污染物</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《医疗机构水污染物排放标准》（GB18466-2005）表2综合医疗机构和其他医疗机构水污染物排放限值（日均值）中的预处理标准</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广东省《水污染物排放限值》（DB44/26-2001）第二时段三级标准</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湛江市赤坎水质净化厂进水水质标准</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项目执行标准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pH</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6~9</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6~9</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6~9</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COD</w:t>
                  </w:r>
                  <w:r>
                    <w:rPr>
                      <w:rFonts w:ascii="Times New Roman" w:hAnsi="Times New Roman" w:eastAsia="宋体" w:cs="Times New Roman"/>
                      <w:color w:val="000000"/>
                      <w:szCs w:val="21"/>
                      <w:vertAlign w:val="subscript"/>
                    </w:rPr>
                    <w:t>cr</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≤250</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≤500</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≤250</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BOD</w:t>
                  </w:r>
                  <w:r>
                    <w:rPr>
                      <w:rFonts w:ascii="Times New Roman" w:hAnsi="Times New Roman" w:eastAsia="宋体" w:cs="Times New Roman"/>
                      <w:color w:val="000000"/>
                      <w:szCs w:val="21"/>
                      <w:vertAlign w:val="subscript"/>
                    </w:rPr>
                    <w:t>5</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≤100</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≤300</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≤110</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SS</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≤60</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≤400</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≤90</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氨氮</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≤25</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挥发酚</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≤2.0</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石油类</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≤20</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≤20</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总氰化物</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≤0.5</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阴离子表面活性剂</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≤20</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六价铬</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≤0.5</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动植物油</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≤20</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≤100</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粪大肠菌群数</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≤5000（个/L）</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≤5000（个/L）</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≤5000（个/L）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总余氯</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2~8（接触时间≥1h）</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&gt;2（接触时间≥1h）</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2~8（接触时间≥1h）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总氮</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4" w:type="dxa"/>
                  <w:bottom w:w="0" w:type="dxa"/>
                  <w:right w:w="34" w:type="dxa"/>
                </w:tblCellMar>
              </w:tblPrEx>
              <w:trPr>
                <w:trHeight w:val="23" w:hRule="atLeast"/>
                <w:jc w:val="center"/>
              </w:trPr>
              <w:tc>
                <w:tcPr>
                  <w:tcW w:w="8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总磷</w:t>
                  </w:r>
                </w:p>
              </w:tc>
              <w:tc>
                <w:tcPr>
                  <w:tcW w:w="136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110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1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≦4</w:t>
                  </w:r>
                </w:p>
              </w:tc>
              <w:tc>
                <w:tcPr>
                  <w:tcW w:w="856"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≦4</w:t>
                  </w:r>
                </w:p>
              </w:tc>
            </w:tr>
          </w:tbl>
          <w:p>
            <w:pPr>
              <w:numPr>
                <w:ilvl w:val="0"/>
                <w:numId w:val="6"/>
              </w:numPr>
              <w:adjustRightInd w:val="0"/>
              <w:snapToGrid w:val="0"/>
              <w:spacing w:line="360" w:lineRule="auto"/>
              <w:ind w:firstLine="482" w:firstLineChars="200"/>
              <w:rPr>
                <w:rFonts w:ascii="Times New Roman" w:hAnsi="Times New Roman" w:eastAsia="宋体" w:cs="Times New Roman"/>
                <w:b/>
                <w:bCs/>
                <w:sz w:val="24"/>
              </w:rPr>
            </w:pPr>
            <w:r>
              <w:rPr>
                <w:rFonts w:ascii="Times New Roman" w:hAnsi="Times New Roman" w:eastAsia="宋体" w:cs="Times New Roman"/>
                <w:b/>
                <w:bCs/>
                <w:sz w:val="24"/>
              </w:rPr>
              <w:t>噪声</w:t>
            </w:r>
          </w:p>
          <w:p>
            <w:pPr>
              <w:pStyle w:val="2"/>
              <w:spacing w:line="360" w:lineRule="auto"/>
              <w:ind w:firstLine="480" w:firstLineChars="200"/>
              <w:rPr>
                <w:rFonts w:ascii="Times New Roman" w:eastAsia="宋体" w:cs="Times New Roman"/>
              </w:rPr>
            </w:pPr>
            <w:r>
              <w:rPr>
                <w:rFonts w:ascii="Times New Roman" w:eastAsia="宋体" w:cs="Times New Roman"/>
              </w:rPr>
              <w:t>本项目东厂界、南厂界、西厂界、北厂界、农林二路公租房、第二机械厂宿舍楼厂界执行《工业企业厂界环境噪声排放标准》（GB12348-2008）2类标准限值。</w:t>
            </w:r>
          </w:p>
          <w:p>
            <w:pPr>
              <w:pStyle w:val="2"/>
              <w:spacing w:line="360" w:lineRule="auto"/>
              <w:jc w:val="center"/>
              <w:rPr>
                <w:rFonts w:ascii="Times New Roman" w:eastAsia="宋体" w:cs="Times New Roman"/>
                <w:b/>
                <w:bCs/>
                <w:color w:val="auto"/>
              </w:rPr>
            </w:pPr>
            <w:r>
              <w:rPr>
                <w:rFonts w:ascii="Times New Roman" w:eastAsia="宋体" w:cs="Times New Roman"/>
                <w:b/>
                <w:bCs/>
                <w:kern w:val="2"/>
              </w:rPr>
              <w:t>表3-9《工业企业厂界环境噪声排放标准》（GB12348-2008）（节取）</w:t>
            </w:r>
          </w:p>
          <w:tbl>
            <w:tblPr>
              <w:tblStyle w:val="29"/>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626"/>
              <w:gridCol w:w="2626"/>
              <w:gridCol w:w="262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2626"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类别</w:t>
                  </w:r>
                </w:p>
              </w:tc>
              <w:tc>
                <w:tcPr>
                  <w:tcW w:w="2626"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昼间</w:t>
                  </w:r>
                </w:p>
              </w:tc>
              <w:tc>
                <w:tcPr>
                  <w:tcW w:w="2627"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夜间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2626"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2类</w:t>
                  </w:r>
                </w:p>
              </w:tc>
              <w:tc>
                <w:tcPr>
                  <w:tcW w:w="2626"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60</w:t>
                  </w:r>
                </w:p>
              </w:tc>
              <w:tc>
                <w:tcPr>
                  <w:tcW w:w="2627" w:type="dxa"/>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50</w:t>
                  </w:r>
                </w:p>
              </w:tc>
            </w:tr>
          </w:tbl>
          <w:p>
            <w:pPr>
              <w:numPr>
                <w:ilvl w:val="0"/>
                <w:numId w:val="6"/>
              </w:numPr>
              <w:adjustRightInd w:val="0"/>
              <w:snapToGrid w:val="0"/>
              <w:spacing w:line="360" w:lineRule="auto"/>
              <w:ind w:firstLine="482" w:firstLineChars="200"/>
              <w:rPr>
                <w:rFonts w:ascii="Times New Roman" w:hAnsi="Times New Roman" w:eastAsia="宋体" w:cs="Times New Roman"/>
                <w:b/>
                <w:bCs/>
                <w:sz w:val="24"/>
              </w:rPr>
            </w:pPr>
            <w:r>
              <w:rPr>
                <w:rFonts w:ascii="Times New Roman" w:hAnsi="Times New Roman" w:eastAsia="宋体" w:cs="Times New Roman"/>
                <w:b/>
                <w:bCs/>
                <w:sz w:val="24"/>
              </w:rPr>
              <w:t>固体废物</w:t>
            </w:r>
          </w:p>
          <w:p>
            <w:pPr>
              <w:pStyle w:val="2"/>
              <w:spacing w:line="360" w:lineRule="auto"/>
              <w:ind w:firstLine="480" w:firstLineChars="200"/>
              <w:rPr>
                <w:rFonts w:ascii="Times New Roman" w:eastAsia="宋体" w:cs="Times New Roman"/>
              </w:rPr>
            </w:pPr>
            <w:r>
              <w:rPr>
                <w:rFonts w:ascii="Times New Roman" w:eastAsia="宋体" w:cs="Times New Roman"/>
              </w:rPr>
              <w:t>项目排放的一般固体废弃物和危险废物执行《中华人民共和国固体废物污染环境防治法》（2020年04月29日发布，2020年09月01日实施）；一般固废执行《一般工业固体废物贮存和填埋污染控制标准》（GB18599-2020）；危险废物分类、暂存和处置执行《医疗卫生机构医疗废物管理办法》（2003年10月15日发布和实施）、《医疗废物分类目录（2021年版）》（国卫医函〔2021〕238号）、《医疗废物管理条例》（2011修订）、《医疗废物专用包装袋、容器和警示标志标准》（HJ421-2008）和《危险废物贮存污染控制标准》(GB18597-20</w:t>
            </w:r>
            <w:r>
              <w:rPr>
                <w:rFonts w:hint="eastAsia" w:ascii="Times New Roman" w:eastAsia="宋体" w:cs="Times New Roman"/>
                <w:lang w:val="en-US" w:eastAsia="zh-CN"/>
              </w:rPr>
              <w:t>23</w:t>
            </w:r>
            <w:r>
              <w:rPr>
                <w:rFonts w:ascii="Times New Roman" w:eastAsia="宋体" w:cs="Times New Roman"/>
              </w:rPr>
              <w:t>）的相关规定。</w:t>
            </w:r>
          </w:p>
          <w:p>
            <w:pPr>
              <w:pStyle w:val="2"/>
              <w:spacing w:line="360" w:lineRule="auto"/>
              <w:ind w:firstLine="480" w:firstLineChars="200"/>
              <w:rPr>
                <w:rFonts w:ascii="Times New Roman" w:eastAsia="宋体" w:cs="Times New Roman"/>
              </w:rPr>
            </w:pPr>
            <w:r>
              <w:rPr>
                <w:rFonts w:ascii="Times New Roman" w:eastAsia="宋体" w:cs="Times New Roman"/>
              </w:rPr>
              <w:t>污水处理站产生的污泥执行《医疗机构水污染物排放标准》（GB18466-2005）中的表4医疗机构污泥控制标准，详见下表。</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表3-10《医疗机构水污染物排放标准》（GB18466-2005）中的表4医疗机构污泥控制标准（节取）</w:t>
            </w:r>
          </w:p>
          <w:tbl>
            <w:tblPr>
              <w:tblStyle w:val="3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859"/>
              <w:gridCol w:w="1365"/>
              <w:gridCol w:w="875"/>
              <w:gridCol w:w="747"/>
              <w:gridCol w:w="660"/>
              <w:gridCol w:w="138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1810"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医疗机构类别</w:t>
                  </w:r>
                </w:p>
              </w:tc>
              <w:tc>
                <w:tcPr>
                  <w:tcW w:w="86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粪大肠菌群数（MPN/g）</w:t>
                  </w:r>
                </w:p>
              </w:tc>
              <w:tc>
                <w:tcPr>
                  <w:tcW w:w="5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肠道致病菌</w:t>
                  </w:r>
                </w:p>
              </w:tc>
              <w:tc>
                <w:tcPr>
                  <w:tcW w:w="47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肠道病毒</w:t>
                  </w:r>
                </w:p>
              </w:tc>
              <w:tc>
                <w:tcPr>
                  <w:tcW w:w="418"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结核杆菌</w:t>
                  </w:r>
                </w:p>
              </w:tc>
              <w:tc>
                <w:tcPr>
                  <w:tcW w:w="87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蛔虫卵死亡率（%）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810"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综合医疗机构和其他医疗机构</w:t>
                  </w:r>
                </w:p>
              </w:tc>
              <w:tc>
                <w:tcPr>
                  <w:tcW w:w="86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≦100</w:t>
                  </w:r>
                </w:p>
              </w:tc>
              <w:tc>
                <w:tcPr>
                  <w:tcW w:w="554"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473"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418"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79"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＞95</w:t>
                  </w:r>
                </w:p>
              </w:tc>
            </w:tr>
          </w:tbl>
          <w:p>
            <w:pPr>
              <w:pStyle w:val="2"/>
              <w:rPr>
                <w:rFonts w:ascii="Times New Roman" w:eastAsia="宋体" w:cs="Times New Roman"/>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30" w:hRule="atLeast"/>
          <w:jc w:val="center"/>
        </w:trPr>
        <w:tc>
          <w:tcPr>
            <w:tcW w:w="243" w:type="pct"/>
            <w:vAlign w:val="center"/>
          </w:tcPr>
          <w:p>
            <w:pPr>
              <w:adjustRightInd w:val="0"/>
              <w:snapToGrid w:val="0"/>
              <w:jc w:val="center"/>
              <w:rPr>
                <w:rFonts w:ascii="Times New Roman" w:hAnsi="Times New Roman" w:eastAsia="宋体" w:cs="Times New Roman"/>
                <w:kern w:val="0"/>
                <w:szCs w:val="21"/>
              </w:rPr>
            </w:pPr>
            <w:r>
              <w:rPr>
                <w:rFonts w:ascii="Times New Roman" w:hAnsi="Times New Roman" w:eastAsia="宋体" w:cs="Times New Roman"/>
                <w:kern w:val="0"/>
                <w:szCs w:val="21"/>
              </w:rPr>
              <w:t>总量</w:t>
            </w:r>
          </w:p>
          <w:p>
            <w:pPr>
              <w:adjustRightInd w:val="0"/>
              <w:snapToGrid w:val="0"/>
              <w:jc w:val="center"/>
              <w:rPr>
                <w:rFonts w:ascii="Times New Roman" w:hAnsi="Times New Roman" w:eastAsia="宋体" w:cs="Times New Roman"/>
                <w:kern w:val="0"/>
                <w:szCs w:val="21"/>
              </w:rPr>
            </w:pPr>
            <w:r>
              <w:rPr>
                <w:rFonts w:ascii="Times New Roman" w:hAnsi="Times New Roman" w:eastAsia="宋体" w:cs="Times New Roman"/>
                <w:kern w:val="0"/>
                <w:szCs w:val="21"/>
              </w:rPr>
              <w:t>控制</w:t>
            </w:r>
          </w:p>
          <w:p>
            <w:pPr>
              <w:adjustRightInd w:val="0"/>
              <w:snapToGrid w:val="0"/>
              <w:jc w:val="center"/>
              <w:rPr>
                <w:rFonts w:ascii="Times New Roman" w:hAnsi="Times New Roman" w:eastAsia="宋体" w:cs="Times New Roman"/>
                <w:kern w:val="0"/>
                <w:szCs w:val="21"/>
              </w:rPr>
            </w:pPr>
            <w:r>
              <w:rPr>
                <w:rFonts w:ascii="Times New Roman" w:hAnsi="Times New Roman" w:eastAsia="宋体" w:cs="Times New Roman"/>
                <w:kern w:val="0"/>
                <w:szCs w:val="21"/>
              </w:rPr>
              <w:t>指标</w:t>
            </w:r>
          </w:p>
        </w:tc>
        <w:tc>
          <w:tcPr>
            <w:tcW w:w="4756" w:type="pct"/>
            <w:vAlign w:val="center"/>
          </w:tcPr>
          <w:p>
            <w:pPr>
              <w:pStyle w:val="2"/>
              <w:spacing w:line="360" w:lineRule="auto"/>
              <w:ind w:firstLine="480" w:firstLineChars="200"/>
              <w:rPr>
                <w:rFonts w:ascii="Times New Roman" w:eastAsia="宋体" w:cs="Times New Roman"/>
              </w:rPr>
            </w:pPr>
            <w:r>
              <w:rPr>
                <w:rFonts w:ascii="Times New Roman" w:eastAsia="宋体" w:cs="Times New Roman"/>
              </w:rPr>
              <w:t>根据《广东省生态环境厅关于印发广东省生态环境保护“十四五”规划的通知》（粤环〔2021〕10号），纳入总量控制的污染物为化学需氧量、氨氮、氮氧化物、挥发性有机物。</w:t>
            </w:r>
          </w:p>
          <w:p>
            <w:pPr>
              <w:pStyle w:val="2"/>
              <w:spacing w:line="360" w:lineRule="auto"/>
              <w:ind w:firstLine="480" w:firstLineChars="200"/>
              <w:rPr>
                <w:rFonts w:ascii="Times New Roman" w:eastAsia="宋体" w:cs="Times New Roman"/>
              </w:rPr>
            </w:pPr>
            <w:r>
              <w:rPr>
                <w:rFonts w:ascii="Times New Roman" w:eastAsia="宋体" w:cs="Times New Roman"/>
              </w:rPr>
              <w:t>（1）废水污染物排放总量控制指标</w:t>
            </w:r>
          </w:p>
          <w:p>
            <w:pPr>
              <w:pStyle w:val="2"/>
              <w:spacing w:line="360" w:lineRule="auto"/>
              <w:ind w:firstLine="480" w:firstLineChars="200"/>
              <w:rPr>
                <w:rFonts w:hint="eastAsia" w:ascii="Times New Roman" w:eastAsia="宋体" w:cs="Times New Roman"/>
              </w:rPr>
            </w:pPr>
            <w:r>
              <w:rPr>
                <w:rFonts w:hint="eastAsia" w:ascii="Times New Roman" w:eastAsia="宋体" w:cs="Times New Roman"/>
              </w:rPr>
              <w:t>项目职工就餐依托湛江市养老服务中心的员工食堂，产生的食堂废水依托湛江市养老服务中心的三级化粪池、隔油池进行处理后，达到广东省《水污染物排放限值》（DB44/26-2001）第二时段三级标准，直接排入市政管网。</w:t>
            </w:r>
          </w:p>
          <w:p>
            <w:pPr>
              <w:pStyle w:val="2"/>
              <w:spacing w:line="360" w:lineRule="auto"/>
              <w:ind w:firstLine="480" w:firstLineChars="200"/>
              <w:rPr>
                <w:rFonts w:ascii="Times New Roman" w:eastAsia="宋体" w:cs="Times New Roman"/>
              </w:rPr>
            </w:pPr>
            <w:r>
              <w:rPr>
                <w:rFonts w:ascii="Times New Roman" w:eastAsia="宋体" w:cs="Times New Roman"/>
              </w:rPr>
              <w:t>项目废水经医院自建污水处理站处理达到《医疗机构水污染物排放标准》（GB18466-2005）中表2综合医疗机构和其他医疗机构水污染物排放限值（日均值）的预处理标准、广东省《水污染物排放限值》（DB44/26-2001）第二时段三级标准及湛江市赤坎水质净化厂处理进水水质标准的较严值后排入湛江市赤坎水质净化厂处理。总量控制指标纳入湛江市赤坎水质净化厂处理。因此本项目废水不需要申请污染物COD</w:t>
            </w:r>
            <w:r>
              <w:rPr>
                <w:rFonts w:ascii="Times New Roman" w:eastAsia="宋体" w:cs="Times New Roman"/>
                <w:vertAlign w:val="subscript"/>
              </w:rPr>
              <w:t>cr</w:t>
            </w:r>
            <w:r>
              <w:rPr>
                <w:rFonts w:ascii="Times New Roman" w:eastAsia="宋体" w:cs="Times New Roman"/>
              </w:rPr>
              <w:t>、NH</w:t>
            </w:r>
            <w:r>
              <w:rPr>
                <w:rFonts w:ascii="Times New Roman" w:eastAsia="宋体" w:cs="Times New Roman"/>
                <w:vertAlign w:val="subscript"/>
              </w:rPr>
              <w:t>3</w:t>
            </w:r>
            <w:r>
              <w:rPr>
                <w:rFonts w:ascii="Times New Roman" w:eastAsia="宋体" w:cs="Times New Roman"/>
              </w:rPr>
              <w:t>-N总量控制指标。</w:t>
            </w:r>
          </w:p>
          <w:p>
            <w:pPr>
              <w:pStyle w:val="2"/>
              <w:spacing w:line="360" w:lineRule="auto"/>
              <w:ind w:firstLine="480" w:firstLineChars="200"/>
              <w:rPr>
                <w:rFonts w:ascii="Times New Roman" w:eastAsia="宋体" w:cs="Times New Roman"/>
              </w:rPr>
            </w:pPr>
            <w:r>
              <w:rPr>
                <w:rFonts w:ascii="Times New Roman" w:eastAsia="宋体" w:cs="Times New Roman"/>
              </w:rPr>
              <w:t>（2）大气污染物排放总量控制指标</w:t>
            </w:r>
          </w:p>
          <w:p>
            <w:pPr>
              <w:pStyle w:val="2"/>
              <w:spacing w:line="360" w:lineRule="auto"/>
              <w:ind w:firstLine="480" w:firstLineChars="200"/>
              <w:rPr>
                <w:rFonts w:ascii="Times New Roman" w:eastAsia="宋体" w:cs="Times New Roman"/>
              </w:rPr>
            </w:pPr>
            <w:r>
              <w:rPr>
                <w:rFonts w:ascii="Times New Roman" w:eastAsia="宋体" w:cs="Times New Roman"/>
              </w:rPr>
              <w:t>本项目废气主要为污水处理站产生的恶臭，不产生挥发性有机物，备用发电机产生的氮氧化物的排放量很低，故而无需申请污染物氮氧化物、挥发性有机物总量控制指标。</w:t>
            </w:r>
          </w:p>
          <w:p>
            <w:pPr>
              <w:pStyle w:val="2"/>
              <w:spacing w:line="360" w:lineRule="auto"/>
              <w:ind w:firstLine="480" w:firstLineChars="200"/>
              <w:rPr>
                <w:rFonts w:ascii="Times New Roman" w:eastAsia="宋体" w:cs="Times New Roman"/>
                <w:color w:val="auto"/>
              </w:rPr>
            </w:pPr>
            <w:r>
              <w:rPr>
                <w:rFonts w:ascii="Times New Roman" w:eastAsia="宋体" w:cs="Times New Roman"/>
              </w:rPr>
              <w:t>综上，本项目不需申请污染物总量排放指标。</w:t>
            </w:r>
          </w:p>
        </w:tc>
      </w:tr>
    </w:tbl>
    <w:p>
      <w:pPr>
        <w:pStyle w:val="20"/>
        <w:rPr>
          <w:rFonts w:ascii="Times New Roman" w:hAnsi="Times New Roman" w:eastAsia="宋体" w:cs="Times New Roman"/>
        </w:rPr>
        <w:sectPr>
          <w:pgSz w:w="11906" w:h="16838"/>
          <w:pgMar w:top="1440" w:right="1800" w:bottom="1440" w:left="1800" w:header="851" w:footer="992" w:gutter="0"/>
          <w:cols w:space="425" w:num="1"/>
          <w:docGrid w:type="lines" w:linePitch="312" w:charSpace="0"/>
        </w:sectPr>
      </w:pPr>
    </w:p>
    <w:p>
      <w:pPr>
        <w:pStyle w:val="26"/>
        <w:jc w:val="center"/>
        <w:outlineLvl w:val="0"/>
        <w:rPr>
          <w:rFonts w:ascii="Times New Roman" w:hAnsi="Times New Roman" w:eastAsia="宋体" w:cs="Times New Roman"/>
          <w:snapToGrid w:val="0"/>
          <w:color w:val="000000"/>
          <w:sz w:val="30"/>
          <w:szCs w:val="30"/>
        </w:rPr>
      </w:pPr>
      <w:bookmarkStart w:id="26" w:name="_Toc8636"/>
      <w:bookmarkStart w:id="27" w:name="_Toc27322"/>
      <w:bookmarkStart w:id="28" w:name="_Toc1839"/>
      <w:bookmarkStart w:id="29" w:name="_Toc30871"/>
      <w:bookmarkStart w:id="30" w:name="_Toc22818"/>
      <w:r>
        <w:rPr>
          <w:rFonts w:ascii="Times New Roman" w:hAnsi="Times New Roman" w:eastAsia="宋体" w:cs="Times New Roman"/>
          <w:snapToGrid w:val="0"/>
          <w:color w:val="000000"/>
          <w:sz w:val="30"/>
          <w:szCs w:val="30"/>
        </w:rPr>
        <w:t>四、主要环境影响和保护措施</w:t>
      </w:r>
      <w:bookmarkEnd w:id="26"/>
      <w:bookmarkEnd w:id="27"/>
      <w:bookmarkEnd w:id="28"/>
      <w:bookmarkEnd w:id="29"/>
      <w:bookmarkEnd w:id="30"/>
    </w:p>
    <w:tbl>
      <w:tblPr>
        <w:tblStyle w:val="29"/>
        <w:tblW w:w="499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95"/>
        <w:gridCol w:w="891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560" w:hRule="atLeast"/>
          <w:jc w:val="center"/>
        </w:trPr>
        <w:tc>
          <w:tcPr>
            <w:tcW w:w="153" w:type="pct"/>
            <w:tcMar>
              <w:left w:w="28" w:type="dxa"/>
              <w:right w:w="28" w:type="dxa"/>
            </w:tcMar>
            <w:vAlign w:val="center"/>
          </w:tcPr>
          <w:p>
            <w:pPr>
              <w:pStyle w:val="26"/>
              <w:adjustRightInd w:val="0"/>
              <w:snapToGrid w:val="0"/>
              <w:spacing w:before="0" w:beforeAutospacing="0" w:after="0" w:afterAutospacing="0"/>
              <w:jc w:val="center"/>
              <w:rPr>
                <w:rFonts w:ascii="Times New Roman" w:hAnsi="Times New Roman" w:eastAsia="宋体" w:cs="Times New Roman"/>
                <w:color w:val="000000"/>
                <w:kern w:val="2"/>
                <w:szCs w:val="24"/>
              </w:rPr>
            </w:pPr>
            <w:r>
              <w:rPr>
                <w:rFonts w:ascii="Times New Roman" w:hAnsi="Times New Roman" w:eastAsia="宋体" w:cs="Times New Roman"/>
                <w:color w:val="000000"/>
                <w:kern w:val="2"/>
                <w:szCs w:val="24"/>
              </w:rPr>
              <w:t>施工</w:t>
            </w:r>
          </w:p>
          <w:p>
            <w:pPr>
              <w:pStyle w:val="26"/>
              <w:adjustRightInd w:val="0"/>
              <w:snapToGrid w:val="0"/>
              <w:spacing w:before="0" w:beforeAutospacing="0" w:after="0" w:afterAutospacing="0"/>
              <w:jc w:val="center"/>
              <w:rPr>
                <w:rFonts w:ascii="Times New Roman" w:hAnsi="Times New Roman" w:eastAsia="宋体" w:cs="Times New Roman"/>
                <w:color w:val="000000"/>
                <w:kern w:val="2"/>
                <w:szCs w:val="24"/>
              </w:rPr>
            </w:pPr>
            <w:r>
              <w:rPr>
                <w:rFonts w:ascii="Times New Roman" w:hAnsi="Times New Roman" w:eastAsia="宋体" w:cs="Times New Roman"/>
                <w:color w:val="000000"/>
                <w:kern w:val="2"/>
                <w:szCs w:val="24"/>
              </w:rPr>
              <w:t>期环</w:t>
            </w:r>
          </w:p>
          <w:p>
            <w:pPr>
              <w:pStyle w:val="26"/>
              <w:adjustRightInd w:val="0"/>
              <w:snapToGrid w:val="0"/>
              <w:spacing w:before="0" w:beforeAutospacing="0" w:after="0" w:afterAutospacing="0"/>
              <w:jc w:val="center"/>
              <w:rPr>
                <w:rFonts w:ascii="Times New Roman" w:hAnsi="Times New Roman" w:eastAsia="宋体" w:cs="Times New Roman"/>
                <w:color w:val="000000"/>
                <w:kern w:val="2"/>
                <w:szCs w:val="24"/>
              </w:rPr>
            </w:pPr>
            <w:r>
              <w:rPr>
                <w:rFonts w:ascii="Times New Roman" w:hAnsi="Times New Roman" w:eastAsia="宋体" w:cs="Times New Roman"/>
                <w:color w:val="000000"/>
                <w:kern w:val="2"/>
                <w:szCs w:val="24"/>
              </w:rPr>
              <w:t>境保</w:t>
            </w:r>
          </w:p>
          <w:p>
            <w:pPr>
              <w:pStyle w:val="26"/>
              <w:adjustRightInd w:val="0"/>
              <w:snapToGrid w:val="0"/>
              <w:spacing w:before="0" w:beforeAutospacing="0" w:after="0" w:afterAutospacing="0"/>
              <w:jc w:val="center"/>
              <w:rPr>
                <w:rFonts w:ascii="Times New Roman" w:hAnsi="Times New Roman" w:eastAsia="宋体" w:cs="Times New Roman"/>
                <w:color w:val="000000"/>
                <w:kern w:val="2"/>
                <w:szCs w:val="24"/>
              </w:rPr>
            </w:pPr>
            <w:r>
              <w:rPr>
                <w:rFonts w:ascii="Times New Roman" w:hAnsi="Times New Roman" w:eastAsia="宋体" w:cs="Times New Roman"/>
                <w:color w:val="000000"/>
                <w:kern w:val="2"/>
                <w:szCs w:val="24"/>
              </w:rPr>
              <w:t>护措</w:t>
            </w:r>
          </w:p>
          <w:p>
            <w:pPr>
              <w:pStyle w:val="26"/>
              <w:adjustRightInd w:val="0"/>
              <w:snapToGrid w:val="0"/>
              <w:spacing w:before="0" w:beforeAutospacing="0" w:after="0" w:afterAutospacing="0"/>
              <w:jc w:val="center"/>
              <w:rPr>
                <w:rFonts w:ascii="Times New Roman" w:hAnsi="Times New Roman" w:eastAsia="宋体" w:cs="Times New Roman"/>
                <w:color w:val="000000"/>
                <w:kern w:val="2"/>
                <w:szCs w:val="24"/>
              </w:rPr>
            </w:pPr>
            <w:r>
              <w:rPr>
                <w:rFonts w:ascii="Times New Roman" w:hAnsi="Times New Roman" w:eastAsia="宋体" w:cs="Times New Roman"/>
                <w:color w:val="000000"/>
                <w:kern w:val="2"/>
                <w:szCs w:val="24"/>
              </w:rPr>
              <w:t>施</w:t>
            </w:r>
          </w:p>
        </w:tc>
        <w:tc>
          <w:tcPr>
            <w:tcW w:w="4846" w:type="pct"/>
            <w:vAlign w:val="center"/>
          </w:tcPr>
          <w:p>
            <w:pPr>
              <w:pStyle w:val="2"/>
              <w:spacing w:line="360" w:lineRule="auto"/>
              <w:ind w:firstLine="480" w:firstLineChars="200"/>
              <w:rPr>
                <w:rFonts w:ascii="Times New Roman" w:eastAsia="宋体" w:cs="Times New Roman"/>
              </w:rPr>
            </w:pPr>
            <w:r>
              <w:rPr>
                <w:rFonts w:ascii="Times New Roman" w:eastAsia="宋体" w:cs="Times New Roman"/>
              </w:rPr>
              <w:t>本项目为租用湛江市养老服中心的一栋公寓大楼内1-2楼C、D区和4楼D区。施工期仅是对租用楼层进行场地装修，不涉及基础的土石方工程，因此施工范围较小，施工期时间较短。</w:t>
            </w:r>
          </w:p>
          <w:p>
            <w:pPr>
              <w:pStyle w:val="2"/>
              <w:spacing w:line="360" w:lineRule="auto"/>
              <w:ind w:firstLine="482" w:firstLineChars="200"/>
              <w:rPr>
                <w:rFonts w:ascii="Times New Roman" w:eastAsia="宋体" w:cs="Times New Roman"/>
              </w:rPr>
            </w:pPr>
            <w:r>
              <w:rPr>
                <w:rFonts w:ascii="Times New Roman" w:eastAsia="宋体" w:cs="Times New Roman"/>
                <w:b/>
                <w:bCs/>
              </w:rPr>
              <w:t>一、施工期大气环境影响和防治措施</w:t>
            </w:r>
          </w:p>
          <w:p>
            <w:pPr>
              <w:pStyle w:val="2"/>
              <w:spacing w:line="360" w:lineRule="auto"/>
              <w:ind w:firstLine="482" w:firstLineChars="200"/>
              <w:rPr>
                <w:rFonts w:ascii="Times New Roman" w:eastAsia="宋体" w:cs="Times New Roman"/>
                <w:b/>
                <w:bCs/>
              </w:rPr>
            </w:pPr>
            <w:r>
              <w:rPr>
                <w:rFonts w:ascii="Times New Roman" w:eastAsia="宋体" w:cs="Times New Roman"/>
                <w:b/>
                <w:bCs/>
              </w:rPr>
              <w:t>1、对大气环境的影响</w:t>
            </w:r>
          </w:p>
          <w:p>
            <w:pPr>
              <w:pStyle w:val="2"/>
              <w:spacing w:line="360" w:lineRule="auto"/>
              <w:ind w:firstLine="480" w:firstLineChars="200"/>
              <w:rPr>
                <w:rFonts w:ascii="Times New Roman" w:eastAsia="宋体" w:cs="Times New Roman"/>
              </w:rPr>
            </w:pPr>
            <w:r>
              <w:rPr>
                <w:rFonts w:ascii="Times New Roman" w:eastAsia="宋体" w:cs="Times New Roman"/>
              </w:rPr>
              <w:t>本项目施工期间对大气环境的影响主要包括装修施工粉尘和油漆、喷涂等产生的装修废气。</w:t>
            </w:r>
          </w:p>
          <w:p>
            <w:pPr>
              <w:pStyle w:val="2"/>
              <w:spacing w:line="360" w:lineRule="auto"/>
              <w:ind w:firstLine="482" w:firstLineChars="200"/>
              <w:rPr>
                <w:rFonts w:ascii="Times New Roman" w:eastAsia="宋体" w:cs="Times New Roman"/>
              </w:rPr>
            </w:pPr>
            <w:r>
              <w:rPr>
                <w:rFonts w:ascii="Times New Roman" w:eastAsia="宋体" w:cs="Times New Roman"/>
                <w:b/>
                <w:bCs/>
              </w:rPr>
              <w:t>2、防治措施</w:t>
            </w:r>
          </w:p>
          <w:p>
            <w:pPr>
              <w:pStyle w:val="2"/>
              <w:spacing w:line="360" w:lineRule="auto"/>
              <w:ind w:firstLine="480" w:firstLineChars="200"/>
              <w:rPr>
                <w:rFonts w:ascii="Times New Roman" w:eastAsia="宋体" w:cs="Times New Roman"/>
              </w:rPr>
            </w:pPr>
            <w:r>
              <w:rPr>
                <w:rFonts w:ascii="Times New Roman" w:eastAsia="宋体" w:cs="Times New Roman"/>
              </w:rPr>
              <w:t>（1）装修施工粉尘防治措施：由于装修工序均是在室内进行，产生的粉尘不会对区域环境产生大的影响。施工期间对项目场地进行临时封闭。</w:t>
            </w:r>
          </w:p>
          <w:p>
            <w:pPr>
              <w:pStyle w:val="2"/>
              <w:spacing w:line="360" w:lineRule="auto"/>
              <w:ind w:firstLine="480" w:firstLineChars="200"/>
              <w:rPr>
                <w:rFonts w:ascii="Times New Roman" w:eastAsia="宋体" w:cs="Times New Roman"/>
              </w:rPr>
            </w:pPr>
            <w:r>
              <w:rPr>
                <w:rFonts w:ascii="Times New Roman" w:eastAsia="宋体" w:cs="Times New Roman"/>
              </w:rPr>
              <w:t>（2）油漆、喷涂等产生的装修废气：</w:t>
            </w:r>
          </w:p>
          <w:p>
            <w:pPr>
              <w:pStyle w:val="2"/>
              <w:spacing w:line="360" w:lineRule="auto"/>
              <w:ind w:firstLine="480" w:firstLineChars="200"/>
              <w:rPr>
                <w:rFonts w:ascii="Times New Roman" w:eastAsia="宋体" w:cs="Times New Roman"/>
              </w:rPr>
            </w:pPr>
            <w:r>
              <w:rPr>
                <w:rFonts w:ascii="Times New Roman" w:eastAsia="宋体" w:cs="Times New Roman"/>
              </w:rPr>
              <w:t>①采用质量好，国家有关部门检验合格，有毒有害物质含量少的油漆和涂料产品；</w:t>
            </w:r>
          </w:p>
          <w:p>
            <w:pPr>
              <w:pStyle w:val="2"/>
              <w:spacing w:line="360" w:lineRule="auto"/>
              <w:ind w:firstLine="480" w:firstLineChars="200"/>
              <w:rPr>
                <w:rFonts w:ascii="Times New Roman" w:eastAsia="宋体" w:cs="Times New Roman"/>
              </w:rPr>
            </w:pPr>
            <w:r>
              <w:rPr>
                <w:rFonts w:ascii="Times New Roman" w:eastAsia="宋体" w:cs="Times New Roman"/>
              </w:rPr>
              <w:t>②施工作业场所加强通风，保证空气流通，降低污染物浓度；</w:t>
            </w:r>
          </w:p>
          <w:p>
            <w:pPr>
              <w:pStyle w:val="2"/>
              <w:spacing w:line="360" w:lineRule="auto"/>
              <w:ind w:firstLine="480" w:firstLineChars="200"/>
              <w:rPr>
                <w:rFonts w:ascii="Times New Roman" w:eastAsia="宋体" w:cs="Times New Roman"/>
              </w:rPr>
            </w:pPr>
            <w:r>
              <w:rPr>
                <w:rFonts w:ascii="Times New Roman" w:eastAsia="宋体" w:cs="Times New Roman"/>
              </w:rPr>
              <w:t>③施工作业人员配戴口罩，保证作业人员的身体健康；</w:t>
            </w:r>
          </w:p>
          <w:p>
            <w:pPr>
              <w:pStyle w:val="2"/>
              <w:spacing w:line="360" w:lineRule="auto"/>
              <w:ind w:firstLine="482" w:firstLineChars="200"/>
              <w:rPr>
                <w:rFonts w:ascii="Times New Roman" w:eastAsia="宋体" w:cs="Times New Roman"/>
                <w:b/>
                <w:bCs/>
              </w:rPr>
            </w:pPr>
            <w:r>
              <w:rPr>
                <w:rFonts w:hint="eastAsia" w:ascii="Times New Roman" w:eastAsia="宋体" w:cs="Times New Roman"/>
                <w:b/>
                <w:bCs/>
                <w:lang w:val="en-US" w:eastAsia="zh-CN"/>
              </w:rPr>
              <w:t>二、</w:t>
            </w:r>
            <w:r>
              <w:rPr>
                <w:rFonts w:ascii="Times New Roman" w:eastAsia="宋体" w:cs="Times New Roman"/>
                <w:b/>
                <w:bCs/>
              </w:rPr>
              <w:t>施工期</w:t>
            </w:r>
            <w:r>
              <w:rPr>
                <w:rFonts w:hint="eastAsia" w:ascii="Times New Roman" w:eastAsia="宋体" w:cs="Times New Roman"/>
                <w:b/>
                <w:bCs/>
                <w:lang w:val="en-US" w:eastAsia="zh-CN"/>
              </w:rPr>
              <w:t>水</w:t>
            </w:r>
            <w:r>
              <w:rPr>
                <w:rFonts w:ascii="Times New Roman" w:eastAsia="宋体" w:cs="Times New Roman"/>
                <w:b/>
                <w:bCs/>
              </w:rPr>
              <w:t>环境影响和防治措施</w:t>
            </w:r>
          </w:p>
          <w:p>
            <w:pPr>
              <w:pStyle w:val="2"/>
              <w:spacing w:line="360" w:lineRule="auto"/>
              <w:ind w:firstLine="482" w:firstLineChars="200"/>
              <w:rPr>
                <w:rFonts w:ascii="Times New Roman" w:eastAsia="宋体" w:cs="Times New Roman"/>
                <w:b/>
                <w:bCs/>
              </w:rPr>
            </w:pPr>
            <w:r>
              <w:rPr>
                <w:rFonts w:ascii="Times New Roman" w:eastAsia="宋体" w:cs="Times New Roman"/>
                <w:b/>
                <w:bCs/>
              </w:rPr>
              <w:t>1、对</w:t>
            </w:r>
            <w:r>
              <w:rPr>
                <w:rFonts w:hint="eastAsia" w:ascii="Times New Roman" w:eastAsia="宋体" w:cs="Times New Roman"/>
                <w:b/>
                <w:bCs/>
                <w:lang w:val="en-US" w:eastAsia="zh-CN"/>
              </w:rPr>
              <w:t>水</w:t>
            </w:r>
            <w:r>
              <w:rPr>
                <w:rFonts w:ascii="Times New Roman" w:eastAsia="宋体" w:cs="Times New Roman"/>
                <w:b/>
                <w:bCs/>
              </w:rPr>
              <w:t>环境的影响</w:t>
            </w:r>
          </w:p>
          <w:p>
            <w:pPr>
              <w:pStyle w:val="2"/>
              <w:spacing w:line="360" w:lineRule="auto"/>
              <w:ind w:firstLine="480" w:firstLineChars="200"/>
            </w:pPr>
            <w:r>
              <w:rPr>
                <w:rFonts w:hint="eastAsia" w:ascii="Times New Roman" w:eastAsia="宋体" w:cs="Times New Roman"/>
              </w:rPr>
              <w:t>本项目为租用</w:t>
            </w:r>
            <w:r>
              <w:rPr>
                <w:rFonts w:hint="eastAsia" w:ascii="Times New Roman" w:eastAsia="宋体" w:cs="Times New Roman"/>
                <w:lang w:val="en-US" w:eastAsia="zh-CN"/>
              </w:rPr>
              <w:t>已建成的楼层</w:t>
            </w:r>
            <w:r>
              <w:rPr>
                <w:rFonts w:hint="eastAsia" w:ascii="Times New Roman" w:eastAsia="宋体" w:cs="Times New Roman"/>
                <w:lang w:eastAsia="zh-CN"/>
              </w:rPr>
              <w:t>，</w:t>
            </w:r>
            <w:r>
              <w:rPr>
                <w:rFonts w:hint="eastAsia" w:ascii="Times New Roman" w:eastAsia="宋体" w:cs="Times New Roman"/>
              </w:rPr>
              <w:t>施工期仅是对租用楼层进行场地装修，</w:t>
            </w:r>
            <w:r>
              <w:rPr>
                <w:rFonts w:ascii="Times New Roman" w:eastAsia="宋体" w:cs="Times New Roman"/>
              </w:rPr>
              <w:t>项目施工期</w:t>
            </w:r>
            <w:r>
              <w:rPr>
                <w:rFonts w:hint="eastAsia" w:ascii="Times New Roman" w:eastAsia="宋体" w:cs="Times New Roman"/>
                <w:lang w:val="en-US" w:eastAsia="zh-CN"/>
              </w:rPr>
              <w:t>间</w:t>
            </w:r>
            <w:r>
              <w:rPr>
                <w:rFonts w:ascii="Times New Roman" w:eastAsia="宋体" w:cs="Times New Roman"/>
              </w:rPr>
              <w:t>主要</w:t>
            </w:r>
            <w:r>
              <w:rPr>
                <w:rFonts w:hint="eastAsia" w:ascii="Times New Roman" w:eastAsia="宋体" w:cs="Times New Roman"/>
                <w:lang w:val="en-US" w:eastAsia="zh-CN"/>
              </w:rPr>
              <w:t>产生的废水为施工人员的生活污水</w:t>
            </w:r>
            <w:r>
              <w:rPr>
                <w:rFonts w:ascii="Times New Roman" w:eastAsia="宋体" w:cs="Times New Roman"/>
              </w:rPr>
              <w:t>。</w:t>
            </w:r>
          </w:p>
          <w:p>
            <w:pPr>
              <w:pStyle w:val="2"/>
              <w:spacing w:line="360" w:lineRule="auto"/>
              <w:ind w:firstLine="482" w:firstLineChars="200"/>
              <w:rPr>
                <w:rFonts w:ascii="Times New Roman" w:eastAsia="宋体" w:cs="Times New Roman"/>
              </w:rPr>
            </w:pPr>
            <w:r>
              <w:rPr>
                <w:rFonts w:ascii="Times New Roman" w:eastAsia="宋体" w:cs="Times New Roman"/>
                <w:b/>
                <w:bCs/>
              </w:rPr>
              <w:t>2、防治措施</w:t>
            </w:r>
          </w:p>
          <w:p>
            <w:pPr>
              <w:pStyle w:val="2"/>
              <w:spacing w:line="360" w:lineRule="auto"/>
              <w:ind w:firstLine="480" w:firstLineChars="200"/>
              <w:rPr>
                <w:rFonts w:hint="default" w:ascii="Times New Roman" w:eastAsia="宋体" w:cs="Times New Roman"/>
                <w:lang w:val="en-US" w:eastAsia="zh-CN"/>
              </w:rPr>
            </w:pPr>
            <w:r>
              <w:rPr>
                <w:rFonts w:hint="eastAsia" w:ascii="Times New Roman" w:eastAsia="宋体" w:cs="Times New Roman"/>
                <w:lang w:val="en-US" w:eastAsia="zh-CN"/>
              </w:rPr>
              <w:t>项目施工人员的</w:t>
            </w:r>
            <w:r>
              <w:rPr>
                <w:rFonts w:hint="eastAsia" w:ascii="Times New Roman" w:eastAsia="宋体" w:cs="Times New Roman"/>
              </w:rPr>
              <w:t>生活污水经化粪池处理后</w:t>
            </w:r>
            <w:r>
              <w:rPr>
                <w:rFonts w:hint="eastAsia" w:ascii="Times New Roman" w:eastAsia="宋体" w:cs="Times New Roman"/>
                <w:lang w:val="en-US" w:eastAsia="zh-CN"/>
              </w:rPr>
              <w:t>排入</w:t>
            </w:r>
            <w:r>
              <w:rPr>
                <w:rFonts w:hint="eastAsia" w:ascii="Times New Roman" w:eastAsia="宋体" w:cs="Times New Roman"/>
              </w:rPr>
              <w:t>污水管网</w:t>
            </w:r>
            <w:r>
              <w:rPr>
                <w:rFonts w:hint="eastAsia" w:ascii="Times New Roman" w:eastAsia="宋体" w:cs="Times New Roman"/>
                <w:lang w:eastAsia="zh-CN"/>
              </w:rPr>
              <w:t>，</w:t>
            </w:r>
            <w:r>
              <w:rPr>
                <w:rFonts w:hint="eastAsia" w:ascii="Times New Roman" w:eastAsia="宋体" w:cs="Times New Roman"/>
                <w:lang w:val="en-US" w:eastAsia="zh-CN"/>
              </w:rPr>
              <w:t>对周围环境影响不大。</w:t>
            </w:r>
          </w:p>
          <w:p>
            <w:pPr>
              <w:pStyle w:val="2"/>
              <w:spacing w:line="360" w:lineRule="auto"/>
              <w:ind w:firstLine="482" w:firstLineChars="200"/>
              <w:rPr>
                <w:rFonts w:ascii="Times New Roman" w:eastAsia="宋体" w:cs="Times New Roman"/>
                <w:b/>
                <w:bCs/>
              </w:rPr>
            </w:pPr>
            <w:r>
              <w:rPr>
                <w:rFonts w:hint="eastAsia" w:ascii="Times New Roman" w:eastAsia="宋体" w:cs="Times New Roman"/>
                <w:b/>
                <w:bCs/>
                <w:lang w:val="en-US" w:eastAsia="zh-CN"/>
              </w:rPr>
              <w:t>三</w:t>
            </w:r>
            <w:r>
              <w:rPr>
                <w:rFonts w:ascii="Times New Roman" w:eastAsia="宋体" w:cs="Times New Roman"/>
                <w:b/>
                <w:bCs/>
              </w:rPr>
              <w:t>、施工期声环境影响和防治措施</w:t>
            </w:r>
          </w:p>
          <w:p>
            <w:pPr>
              <w:pStyle w:val="2"/>
              <w:spacing w:line="360" w:lineRule="auto"/>
              <w:ind w:firstLine="482" w:firstLineChars="200"/>
              <w:rPr>
                <w:rFonts w:ascii="Times New Roman" w:eastAsia="宋体" w:cs="Times New Roman"/>
                <w:b/>
                <w:bCs/>
              </w:rPr>
            </w:pPr>
            <w:r>
              <w:rPr>
                <w:rFonts w:ascii="Times New Roman" w:eastAsia="宋体" w:cs="Times New Roman"/>
                <w:b/>
                <w:bCs/>
              </w:rPr>
              <w:t>1、对声环境的影响</w:t>
            </w:r>
          </w:p>
          <w:p>
            <w:pPr>
              <w:pStyle w:val="2"/>
              <w:spacing w:line="360" w:lineRule="auto"/>
              <w:ind w:firstLine="480" w:firstLineChars="200"/>
              <w:rPr>
                <w:rFonts w:ascii="Times New Roman" w:eastAsia="宋体" w:cs="Times New Roman"/>
              </w:rPr>
            </w:pPr>
            <w:r>
              <w:rPr>
                <w:rFonts w:ascii="Times New Roman" w:eastAsia="宋体" w:cs="Times New Roman"/>
              </w:rPr>
              <w:t>项目施工期对声环境的影响主要是装修施工噪声。</w:t>
            </w:r>
          </w:p>
          <w:p>
            <w:pPr>
              <w:pStyle w:val="2"/>
              <w:spacing w:line="360" w:lineRule="auto"/>
              <w:ind w:firstLine="482" w:firstLineChars="200"/>
              <w:rPr>
                <w:rFonts w:ascii="Times New Roman" w:eastAsia="宋体" w:cs="Times New Roman"/>
                <w:b/>
                <w:bCs/>
              </w:rPr>
            </w:pPr>
            <w:r>
              <w:rPr>
                <w:rFonts w:ascii="Times New Roman" w:eastAsia="宋体" w:cs="Times New Roman"/>
                <w:b/>
                <w:bCs/>
              </w:rPr>
              <w:t>2、防治措施</w:t>
            </w:r>
          </w:p>
          <w:p>
            <w:pPr>
              <w:pStyle w:val="2"/>
              <w:spacing w:line="360" w:lineRule="auto"/>
              <w:ind w:firstLine="480" w:firstLineChars="200"/>
              <w:rPr>
                <w:rFonts w:ascii="Times New Roman" w:eastAsia="宋体" w:cs="Times New Roman"/>
              </w:rPr>
            </w:pPr>
            <w:r>
              <w:rPr>
                <w:rFonts w:ascii="Times New Roman" w:eastAsia="宋体" w:cs="Times New Roman"/>
              </w:rPr>
              <w:t>①要合理安排施工时间，注意避开人们正常休息时间，不得在午间以及夜间进行施工，施工人员要文明施工，不要大声喧哗，严禁随便抛掷产生不必要的噪声。</w:t>
            </w:r>
          </w:p>
          <w:p>
            <w:pPr>
              <w:pStyle w:val="2"/>
              <w:spacing w:line="360" w:lineRule="auto"/>
              <w:ind w:firstLine="480" w:firstLineChars="200"/>
              <w:rPr>
                <w:rFonts w:ascii="Times New Roman" w:eastAsia="宋体" w:cs="Times New Roman"/>
              </w:rPr>
            </w:pPr>
            <w:r>
              <w:rPr>
                <w:rFonts w:ascii="Times New Roman" w:eastAsia="宋体" w:cs="Times New Roman"/>
              </w:rPr>
              <w:t>②要加强对运输车辆运行时间和运行路线的管理。</w:t>
            </w:r>
          </w:p>
          <w:p>
            <w:pPr>
              <w:pStyle w:val="2"/>
              <w:spacing w:line="360" w:lineRule="auto"/>
              <w:ind w:firstLine="482" w:firstLineChars="200"/>
              <w:rPr>
                <w:rFonts w:ascii="Times New Roman" w:eastAsia="宋体" w:cs="Times New Roman"/>
                <w:b/>
                <w:bCs/>
              </w:rPr>
            </w:pPr>
            <w:r>
              <w:rPr>
                <w:rFonts w:hint="eastAsia" w:ascii="Times New Roman" w:eastAsia="宋体" w:cs="Times New Roman"/>
                <w:b/>
                <w:bCs/>
                <w:lang w:val="en-US" w:eastAsia="zh-CN"/>
              </w:rPr>
              <w:t>四</w:t>
            </w:r>
            <w:r>
              <w:rPr>
                <w:rFonts w:ascii="Times New Roman" w:eastAsia="宋体" w:cs="Times New Roman"/>
                <w:b/>
                <w:bCs/>
              </w:rPr>
              <w:t>、施工期固废环境影响和防治措施</w:t>
            </w:r>
          </w:p>
          <w:p>
            <w:pPr>
              <w:widowControl/>
              <w:spacing w:line="360" w:lineRule="auto"/>
              <w:ind w:firstLine="482" w:firstLineChars="200"/>
              <w:rPr>
                <w:rFonts w:ascii="Times New Roman" w:hAnsi="Times New Roman" w:eastAsia="宋体" w:cs="Times New Roman"/>
                <w:b/>
                <w:bCs/>
                <w:sz w:val="24"/>
              </w:rPr>
            </w:pPr>
            <w:r>
              <w:rPr>
                <w:rFonts w:ascii="Times New Roman" w:hAnsi="Times New Roman" w:eastAsia="宋体" w:cs="Times New Roman"/>
                <w:b/>
                <w:bCs/>
                <w:sz w:val="24"/>
              </w:rPr>
              <w:t>1、施工固废环境的影响</w:t>
            </w:r>
          </w:p>
          <w:p>
            <w:pPr>
              <w:pStyle w:val="2"/>
              <w:spacing w:line="360" w:lineRule="auto"/>
              <w:ind w:firstLine="480" w:firstLineChars="200"/>
              <w:rPr>
                <w:rFonts w:ascii="Times New Roman" w:eastAsia="宋体" w:cs="Times New Roman"/>
                <w:b/>
                <w:bCs/>
              </w:rPr>
            </w:pPr>
            <w:r>
              <w:rPr>
                <w:rFonts w:ascii="Times New Roman" w:eastAsia="宋体" w:cs="Times New Roman"/>
              </w:rPr>
              <w:t>本项目内不设施工人员居住场所。项目施工期主要固体废物是施工人员产生的生活垃圾、建筑垃圾、以及设备的废弃包装。</w:t>
            </w:r>
          </w:p>
          <w:p>
            <w:pPr>
              <w:pStyle w:val="2"/>
              <w:spacing w:line="360" w:lineRule="auto"/>
              <w:ind w:firstLine="482" w:firstLineChars="200"/>
              <w:rPr>
                <w:rFonts w:ascii="Times New Roman" w:eastAsia="宋体" w:cs="Times New Roman"/>
                <w:b/>
                <w:bCs/>
              </w:rPr>
            </w:pPr>
            <w:r>
              <w:rPr>
                <w:rFonts w:ascii="Times New Roman" w:eastAsia="宋体" w:cs="Times New Roman"/>
                <w:b/>
                <w:bCs/>
              </w:rPr>
              <w:t>2、防治措施</w:t>
            </w:r>
          </w:p>
          <w:p>
            <w:pPr>
              <w:pStyle w:val="2"/>
              <w:spacing w:line="360" w:lineRule="auto"/>
              <w:ind w:firstLine="480" w:firstLineChars="200"/>
              <w:rPr>
                <w:rFonts w:ascii="Times New Roman" w:eastAsia="宋体" w:cs="Times New Roman"/>
              </w:rPr>
            </w:pPr>
            <w:r>
              <w:rPr>
                <w:rFonts w:ascii="Times New Roman" w:eastAsia="宋体" w:cs="Times New Roman"/>
              </w:rPr>
              <w:t>（1）施工人员产生的生活垃圾：生活垃圾的主要成分有塑料饭盒和塑料袋等。所有生活垃圾必须集中投入到现有项目的垃圾箱中，最终交环卫公司清运和统一集中处置，日产日清由环卫部门进行统一清运处理。</w:t>
            </w:r>
          </w:p>
          <w:p>
            <w:pPr>
              <w:pStyle w:val="2"/>
              <w:spacing w:line="360" w:lineRule="auto"/>
              <w:ind w:firstLine="480" w:firstLineChars="200"/>
              <w:rPr>
                <w:rFonts w:ascii="Times New Roman" w:eastAsia="宋体" w:cs="Times New Roman"/>
              </w:rPr>
            </w:pPr>
            <w:r>
              <w:rPr>
                <w:rFonts w:ascii="Times New Roman" w:eastAsia="宋体" w:cs="Times New Roman"/>
              </w:rPr>
              <w:t>（2）建筑垃圾：妥善堆放，及时处理，运送到环卫部门指定的建筑垃圾堆埋场，严禁随意倾倒、填埋，造成二次污染。</w:t>
            </w:r>
          </w:p>
          <w:p>
            <w:pPr>
              <w:pStyle w:val="2"/>
              <w:spacing w:line="360" w:lineRule="auto"/>
              <w:ind w:firstLine="480" w:firstLineChars="200"/>
              <w:rPr>
                <w:rFonts w:ascii="Times New Roman" w:eastAsia="宋体" w:cs="Times New Roman"/>
              </w:rPr>
            </w:pPr>
            <w:r>
              <w:rPr>
                <w:rFonts w:ascii="Times New Roman" w:eastAsia="宋体" w:cs="Times New Roman"/>
              </w:rPr>
              <w:t>（3）设备的废弃包装：交由废物收购站处理。</w:t>
            </w:r>
          </w:p>
          <w:p>
            <w:pPr>
              <w:pStyle w:val="2"/>
              <w:spacing w:line="360" w:lineRule="auto"/>
              <w:ind w:firstLine="480" w:firstLineChars="200"/>
              <w:rPr>
                <w:rFonts w:ascii="Times New Roman" w:eastAsia="宋体" w:cs="Times New Roman"/>
              </w:rPr>
            </w:pPr>
            <w:r>
              <w:rPr>
                <w:rFonts w:ascii="Times New Roman" w:eastAsia="宋体" w:cs="Times New Roman"/>
              </w:rPr>
              <w:t>经以上综合分析，本项目施工期对环境的不利影响是局部的、暂时的，且相对较小，</w:t>
            </w:r>
            <w:r>
              <w:rPr>
                <w:rFonts w:hint="eastAsia" w:ascii="Times New Roman" w:eastAsia="宋体" w:cs="Times New Roman"/>
                <w:lang w:val="en-US" w:eastAsia="zh-CN"/>
              </w:rPr>
              <w:t>项目不涉及危废产生，</w:t>
            </w:r>
            <w:r>
              <w:rPr>
                <w:rFonts w:ascii="Times New Roman" w:eastAsia="宋体" w:cs="Times New Roman"/>
              </w:rPr>
              <w:t>在采取相应的环保措施以后可得到改善，且随施工期的结束，各种影响将随之消除。</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2224" w:hRule="atLeast"/>
          <w:jc w:val="center"/>
        </w:trPr>
        <w:tc>
          <w:tcPr>
            <w:tcW w:w="153" w:type="pct"/>
            <w:tcMar>
              <w:left w:w="28" w:type="dxa"/>
              <w:right w:w="28" w:type="dxa"/>
            </w:tcMar>
            <w:vAlign w:val="center"/>
          </w:tcPr>
          <w:p>
            <w:pPr>
              <w:adjustRightInd w:val="0"/>
              <w:snapToGrid w:val="0"/>
              <w:rPr>
                <w:rFonts w:ascii="Times New Roman" w:hAnsi="Times New Roman" w:eastAsia="宋体" w:cs="Times New Roman"/>
                <w:bCs/>
                <w:color w:val="000000"/>
                <w:sz w:val="24"/>
              </w:rPr>
            </w:pPr>
            <w:r>
              <w:rPr>
                <w:rFonts w:ascii="Times New Roman" w:hAnsi="Times New Roman" w:eastAsia="宋体" w:cs="Times New Roman"/>
                <w:bCs/>
                <w:color w:val="000000"/>
                <w:sz w:val="24"/>
              </w:rPr>
              <w:t>运营</w:t>
            </w:r>
          </w:p>
          <w:p>
            <w:pPr>
              <w:adjustRightInd w:val="0"/>
              <w:snapToGrid w:val="0"/>
              <w:jc w:val="center"/>
              <w:rPr>
                <w:rFonts w:ascii="Times New Roman" w:hAnsi="Times New Roman" w:eastAsia="宋体" w:cs="Times New Roman"/>
                <w:bCs/>
                <w:color w:val="000000"/>
                <w:sz w:val="24"/>
              </w:rPr>
            </w:pPr>
            <w:r>
              <w:rPr>
                <w:rFonts w:ascii="Times New Roman" w:hAnsi="Times New Roman" w:eastAsia="宋体" w:cs="Times New Roman"/>
                <w:bCs/>
                <w:color w:val="000000"/>
                <w:sz w:val="24"/>
              </w:rPr>
              <w:t>期环</w:t>
            </w:r>
          </w:p>
          <w:p>
            <w:pPr>
              <w:adjustRightInd w:val="0"/>
              <w:snapToGrid w:val="0"/>
              <w:jc w:val="center"/>
              <w:rPr>
                <w:rFonts w:ascii="Times New Roman" w:hAnsi="Times New Roman" w:eastAsia="宋体" w:cs="Times New Roman"/>
                <w:bCs/>
                <w:color w:val="000000"/>
                <w:sz w:val="24"/>
              </w:rPr>
            </w:pPr>
            <w:r>
              <w:rPr>
                <w:rFonts w:ascii="Times New Roman" w:hAnsi="Times New Roman" w:eastAsia="宋体" w:cs="Times New Roman"/>
                <w:bCs/>
                <w:color w:val="000000"/>
                <w:sz w:val="24"/>
              </w:rPr>
              <w:t>境影</w:t>
            </w:r>
          </w:p>
          <w:p>
            <w:pPr>
              <w:adjustRightInd w:val="0"/>
              <w:snapToGrid w:val="0"/>
              <w:jc w:val="center"/>
              <w:rPr>
                <w:rFonts w:ascii="Times New Roman" w:hAnsi="Times New Roman" w:eastAsia="宋体" w:cs="Times New Roman"/>
                <w:bCs/>
                <w:color w:val="000000"/>
                <w:sz w:val="24"/>
              </w:rPr>
            </w:pPr>
            <w:r>
              <w:rPr>
                <w:rFonts w:ascii="Times New Roman" w:hAnsi="Times New Roman" w:eastAsia="宋体" w:cs="Times New Roman"/>
                <w:bCs/>
                <w:color w:val="000000"/>
                <w:sz w:val="24"/>
              </w:rPr>
              <w:t>响和</w:t>
            </w:r>
          </w:p>
          <w:p>
            <w:pPr>
              <w:adjustRightInd w:val="0"/>
              <w:snapToGrid w:val="0"/>
              <w:jc w:val="center"/>
              <w:rPr>
                <w:rFonts w:ascii="Times New Roman" w:hAnsi="Times New Roman" w:eastAsia="宋体" w:cs="Times New Roman"/>
                <w:bCs/>
                <w:color w:val="000000"/>
                <w:sz w:val="24"/>
              </w:rPr>
            </w:pPr>
            <w:r>
              <w:rPr>
                <w:rFonts w:ascii="Times New Roman" w:hAnsi="Times New Roman" w:eastAsia="宋体" w:cs="Times New Roman"/>
                <w:bCs/>
                <w:color w:val="000000"/>
                <w:sz w:val="24"/>
              </w:rPr>
              <w:t>保护</w:t>
            </w:r>
          </w:p>
          <w:p>
            <w:pPr>
              <w:adjustRightInd w:val="0"/>
              <w:snapToGrid w:val="0"/>
              <w:jc w:val="center"/>
              <w:rPr>
                <w:rFonts w:ascii="Times New Roman" w:hAnsi="Times New Roman" w:eastAsia="宋体" w:cs="Times New Roman"/>
                <w:bCs/>
                <w:color w:val="000000"/>
                <w:sz w:val="24"/>
              </w:rPr>
            </w:pPr>
            <w:r>
              <w:rPr>
                <w:rFonts w:ascii="Times New Roman" w:hAnsi="Times New Roman" w:eastAsia="宋体" w:cs="Times New Roman"/>
                <w:bCs/>
                <w:color w:val="000000"/>
                <w:sz w:val="24"/>
              </w:rPr>
              <w:t>措施</w:t>
            </w:r>
          </w:p>
        </w:tc>
        <w:tc>
          <w:tcPr>
            <w:tcW w:w="4846" w:type="pct"/>
          </w:tcPr>
          <w:p>
            <w:pPr>
              <w:pStyle w:val="2"/>
              <w:spacing w:line="360" w:lineRule="auto"/>
              <w:ind w:firstLine="480" w:firstLineChars="200"/>
              <w:rPr>
                <w:rFonts w:ascii="Times New Roman" w:eastAsia="宋体" w:cs="Times New Roman"/>
              </w:rPr>
            </w:pPr>
            <w:r>
              <w:rPr>
                <w:rFonts w:ascii="Times New Roman" w:eastAsia="宋体" w:cs="Times New Roman"/>
              </w:rPr>
              <w:t>本项目运营过程中产生的污染源主要包括废气、废水、噪声、固体废物等，分析如下：</w:t>
            </w:r>
          </w:p>
          <w:p>
            <w:pPr>
              <w:widowControl/>
              <w:spacing w:line="360" w:lineRule="auto"/>
              <w:jc w:val="left"/>
              <w:rPr>
                <w:rFonts w:ascii="Times New Roman" w:hAnsi="Times New Roman" w:eastAsia="宋体" w:cs="Times New Roman"/>
                <w:b/>
                <w:bCs/>
                <w:color w:val="000000"/>
                <w:kern w:val="0"/>
                <w:sz w:val="24"/>
                <w:lang w:bidi="ar"/>
              </w:rPr>
            </w:pPr>
            <w:r>
              <w:rPr>
                <w:rFonts w:ascii="Times New Roman" w:hAnsi="Times New Roman" w:eastAsia="宋体" w:cs="Times New Roman"/>
                <w:b/>
                <w:bCs/>
                <w:color w:val="000000"/>
                <w:kern w:val="0"/>
                <w:sz w:val="24"/>
                <w:lang w:bidi="ar"/>
              </w:rPr>
              <w:t>一、废气影响分析：</w:t>
            </w:r>
          </w:p>
          <w:p>
            <w:pPr>
              <w:pStyle w:val="2"/>
              <w:spacing w:line="360" w:lineRule="auto"/>
              <w:ind w:firstLine="480" w:firstLineChars="200"/>
              <w:rPr>
                <w:rFonts w:ascii="Times New Roman" w:eastAsia="宋体" w:cs="Times New Roman"/>
              </w:rPr>
            </w:pPr>
            <w:r>
              <w:rPr>
                <w:rFonts w:ascii="Times New Roman" w:eastAsia="宋体" w:cs="Times New Roman"/>
              </w:rPr>
              <w:t>项目</w:t>
            </w:r>
            <w:r>
              <w:rPr>
                <w:rFonts w:hint="eastAsia" w:ascii="Times New Roman" w:eastAsia="宋体" w:cs="Times New Roman"/>
              </w:rPr>
              <w:t>运营期</w:t>
            </w:r>
            <w:r>
              <w:rPr>
                <w:rFonts w:ascii="Times New Roman" w:eastAsia="宋体" w:cs="Times New Roman"/>
              </w:rPr>
              <w:t>产生的废气主要包括：污水处理站恶臭、员工食堂油烟、备用发电机尾气。</w:t>
            </w:r>
          </w:p>
          <w:p>
            <w:pPr>
              <w:pStyle w:val="39"/>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1、废气</w:t>
            </w:r>
            <w:r>
              <w:rPr>
                <w:rFonts w:ascii="Times New Roman" w:hAnsi="Times New Roman" w:eastAsia="宋体" w:cs="Times New Roman"/>
                <w:b/>
                <w:bCs/>
                <w:color w:val="000000"/>
                <w:sz w:val="24"/>
                <w:lang w:bidi="ar"/>
              </w:rPr>
              <w:t>源强估算</w:t>
            </w:r>
            <w:r>
              <w:rPr>
                <w:rFonts w:ascii="Times New Roman" w:hAnsi="Times New Roman" w:eastAsia="宋体" w:cs="Times New Roman"/>
                <w:b/>
                <w:bCs/>
                <w:color w:val="000000"/>
                <w:sz w:val="24"/>
              </w:rPr>
              <w:t>分析</w:t>
            </w:r>
          </w:p>
          <w:p>
            <w:pPr>
              <w:spacing w:line="360" w:lineRule="auto"/>
              <w:ind w:left="420" w:left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①</w:t>
            </w:r>
            <w:r>
              <w:rPr>
                <w:rFonts w:ascii="Times New Roman" w:hAnsi="Times New Roman" w:eastAsia="宋体" w:cs="Times New Roman"/>
                <w:b/>
                <w:bCs/>
                <w:color w:val="000000"/>
                <w:kern w:val="0"/>
                <w:sz w:val="24"/>
              </w:rPr>
              <w:t>污水处理站恶臭</w:t>
            </w:r>
          </w:p>
          <w:p>
            <w:pPr>
              <w:pStyle w:val="2"/>
              <w:spacing w:line="360" w:lineRule="auto"/>
              <w:ind w:firstLine="480" w:firstLineChars="200"/>
              <w:rPr>
                <w:rFonts w:ascii="Times New Roman" w:eastAsia="宋体" w:cs="Times New Roman"/>
              </w:rPr>
            </w:pPr>
            <w:r>
              <w:rPr>
                <w:rFonts w:ascii="Times New Roman" w:eastAsia="宋体" w:cs="Times New Roman"/>
              </w:rPr>
              <w:t>本项目由一个化粪池</w:t>
            </w:r>
            <w:r>
              <w:rPr>
                <w:rFonts w:hint="eastAsia" w:ascii="Times New Roman" w:eastAsia="宋体" w:cs="Times New Roman"/>
              </w:rPr>
              <w:t>（54</w:t>
            </w:r>
            <w:r>
              <w:rPr>
                <w:rFonts w:ascii="Times New Roman" w:eastAsia="宋体" w:cs="Times New Roman"/>
              </w:rPr>
              <w:t>m</w:t>
            </w:r>
            <w:r>
              <w:rPr>
                <w:rFonts w:ascii="Times New Roman" w:eastAsia="宋体" w:cs="Times New Roman"/>
                <w:vertAlign w:val="superscript"/>
              </w:rPr>
              <w:t>3</w:t>
            </w:r>
            <w:r>
              <w:rPr>
                <w:rFonts w:hint="eastAsia" w:ascii="Times New Roman" w:eastAsia="宋体" w:cs="Times New Roman"/>
              </w:rPr>
              <w:t>）</w:t>
            </w:r>
            <w:r>
              <w:rPr>
                <w:rFonts w:ascii="Times New Roman" w:eastAsia="宋体" w:cs="Times New Roman"/>
              </w:rPr>
              <w:t>和一套160m</w:t>
            </w:r>
            <w:r>
              <w:rPr>
                <w:rFonts w:ascii="Times New Roman" w:eastAsia="宋体" w:cs="Times New Roman"/>
                <w:vertAlign w:val="superscript"/>
              </w:rPr>
              <w:t>3</w:t>
            </w:r>
            <w:r>
              <w:rPr>
                <w:rFonts w:ascii="Times New Roman" w:eastAsia="宋体" w:cs="Times New Roman"/>
              </w:rPr>
              <w:t>/d自建污水处理站（“</w:t>
            </w:r>
            <w:r>
              <w:rPr>
                <w:rFonts w:hint="eastAsia" w:ascii="Times New Roman" w:eastAsia="宋体" w:cs="Times New Roman"/>
              </w:rPr>
              <w:t>调节池+水解酸化池+接触氧化池+沉淀池+清水消毒池+污泥池</w:t>
            </w:r>
            <w:r>
              <w:rPr>
                <w:rFonts w:ascii="Times New Roman" w:eastAsia="宋体" w:cs="Times New Roman"/>
              </w:rPr>
              <w:t>”处理工艺）作为本项目污水处理工艺。根据相关类似处理设施及类比调查美国EPA对类似处理厂恶臭污染物产生情况的研究，每处理1gBOD</w:t>
            </w:r>
            <w:r>
              <w:rPr>
                <w:rFonts w:ascii="Times New Roman" w:eastAsia="宋体" w:cs="Times New Roman"/>
                <w:vertAlign w:val="subscript"/>
              </w:rPr>
              <w:t>5</w:t>
            </w:r>
            <w:r>
              <w:rPr>
                <w:rFonts w:ascii="Times New Roman" w:eastAsia="宋体" w:cs="Times New Roman"/>
              </w:rPr>
              <w:t>可产生0.0031g的NH</w:t>
            </w:r>
            <w:r>
              <w:rPr>
                <w:rFonts w:ascii="Times New Roman" w:eastAsia="宋体" w:cs="Times New Roman"/>
                <w:vertAlign w:val="subscript"/>
              </w:rPr>
              <w:t>3</w:t>
            </w:r>
            <w:r>
              <w:rPr>
                <w:rFonts w:ascii="Times New Roman" w:eastAsia="宋体" w:cs="Times New Roman"/>
              </w:rPr>
              <w:t>和0.00012g的H</w:t>
            </w:r>
            <w:r>
              <w:rPr>
                <w:rFonts w:ascii="Times New Roman" w:eastAsia="宋体" w:cs="Times New Roman"/>
                <w:vertAlign w:val="subscript"/>
              </w:rPr>
              <w:t>2</w:t>
            </w:r>
            <w:r>
              <w:rPr>
                <w:rFonts w:ascii="Times New Roman" w:eastAsia="宋体" w:cs="Times New Roman"/>
              </w:rPr>
              <w:t>S，预计项目BOD</w:t>
            </w:r>
            <w:r>
              <w:rPr>
                <w:rFonts w:ascii="Times New Roman" w:eastAsia="宋体" w:cs="Times New Roman"/>
                <w:vertAlign w:val="subscript"/>
              </w:rPr>
              <w:t>5</w:t>
            </w:r>
            <w:r>
              <w:rPr>
                <w:rFonts w:ascii="Times New Roman" w:eastAsia="宋体" w:cs="Times New Roman"/>
              </w:rPr>
              <w:t>处理量为0.915t/a，因此估算得出项目污水处理池的废气产生量NH</w:t>
            </w:r>
            <w:r>
              <w:rPr>
                <w:rFonts w:ascii="Times New Roman" w:eastAsia="宋体" w:cs="Times New Roman"/>
                <w:vertAlign w:val="subscript"/>
              </w:rPr>
              <w:t>3</w:t>
            </w:r>
            <w:r>
              <w:rPr>
                <w:rFonts w:ascii="Times New Roman" w:eastAsia="宋体" w:cs="Times New Roman"/>
              </w:rPr>
              <w:t>：2.84×10</w:t>
            </w:r>
            <w:r>
              <w:rPr>
                <w:rFonts w:ascii="Times New Roman" w:eastAsia="宋体" w:cs="Times New Roman"/>
                <w:vertAlign w:val="superscript"/>
              </w:rPr>
              <w:t>-3</w:t>
            </w:r>
            <w:r>
              <w:rPr>
                <w:rFonts w:ascii="Times New Roman" w:eastAsia="宋体" w:cs="Times New Roman"/>
              </w:rPr>
              <w:t>t/a，H</w:t>
            </w:r>
            <w:r>
              <w:rPr>
                <w:rFonts w:ascii="Times New Roman" w:eastAsia="宋体" w:cs="Times New Roman"/>
                <w:vertAlign w:val="subscript"/>
              </w:rPr>
              <w:t>2</w:t>
            </w:r>
            <w:r>
              <w:rPr>
                <w:rFonts w:ascii="Times New Roman" w:eastAsia="宋体" w:cs="Times New Roman"/>
              </w:rPr>
              <w:t>S：1.10×10</w:t>
            </w:r>
            <w:r>
              <w:rPr>
                <w:rFonts w:ascii="Times New Roman" w:eastAsia="宋体" w:cs="Times New Roman"/>
                <w:vertAlign w:val="superscript"/>
              </w:rPr>
              <w:t>-4</w:t>
            </w:r>
            <w:r>
              <w:rPr>
                <w:rFonts w:ascii="Times New Roman" w:eastAsia="宋体" w:cs="Times New Roman"/>
              </w:rPr>
              <w:t>t/a。</w:t>
            </w:r>
          </w:p>
          <w:p>
            <w:pPr>
              <w:pStyle w:val="5"/>
              <w:jc w:val="center"/>
              <w:rPr>
                <w:rFonts w:ascii="Times New Roman" w:hAnsi="Times New Roman" w:eastAsia="宋体" w:cs="Times New Roman"/>
                <w:b/>
                <w:bCs/>
                <w:color w:val="000000"/>
                <w:sz w:val="24"/>
                <w:szCs w:val="24"/>
              </w:rPr>
            </w:pPr>
            <w:r>
              <w:rPr>
                <w:rFonts w:ascii="Times New Roman" w:hAnsi="Times New Roman" w:eastAsia="宋体" w:cs="Times New Roman"/>
                <w:b/>
                <w:bCs/>
                <w:color w:val="000000"/>
                <w:sz w:val="24"/>
                <w:szCs w:val="24"/>
              </w:rPr>
              <w:t>表4-1项目医疗废水处理站恶臭气体产生情况</w:t>
            </w:r>
          </w:p>
          <w:tbl>
            <w:tblPr>
              <w:tblStyle w:val="29"/>
              <w:tblW w:w="4998" w:type="pct"/>
              <w:jc w:val="center"/>
              <w:tblLayout w:type="autofit"/>
              <w:tblCellMar>
                <w:top w:w="0" w:type="dxa"/>
                <w:left w:w="108" w:type="dxa"/>
                <w:bottom w:w="0" w:type="dxa"/>
                <w:right w:w="108" w:type="dxa"/>
              </w:tblCellMar>
            </w:tblPr>
            <w:tblGrid>
              <w:gridCol w:w="1669"/>
              <w:gridCol w:w="2256"/>
              <w:gridCol w:w="2140"/>
              <w:gridCol w:w="2630"/>
            </w:tblGrid>
            <w:tr>
              <w:tblPrEx>
                <w:tblCellMar>
                  <w:top w:w="0" w:type="dxa"/>
                  <w:left w:w="108" w:type="dxa"/>
                  <w:bottom w:w="0" w:type="dxa"/>
                  <w:right w:w="108" w:type="dxa"/>
                </w:tblCellMar>
              </w:tblPrEx>
              <w:trPr>
                <w:trHeight w:val="90" w:hRule="atLeast"/>
                <w:jc w:val="center"/>
              </w:trPr>
              <w:tc>
                <w:tcPr>
                  <w:tcW w:w="960" w:type="pct"/>
                  <w:tcBorders>
                    <w:top w:val="single" w:color="000000" w:sz="4" w:space="0"/>
                    <w:bottom w:val="single" w:color="000000" w:sz="4" w:space="0"/>
                    <w:right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污染物</w:t>
                  </w:r>
                </w:p>
              </w:tc>
              <w:tc>
                <w:tcPr>
                  <w:tcW w:w="1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产生系数（g/gBOD</w:t>
                  </w:r>
                  <w:r>
                    <w:rPr>
                      <w:rFonts w:ascii="Times New Roman" w:hAnsi="Times New Roman" w:eastAsia="宋体" w:cs="Times New Roman"/>
                      <w:color w:val="000000"/>
                      <w:szCs w:val="21"/>
                      <w:vertAlign w:val="subscript"/>
                    </w:rPr>
                    <w:t>5</w:t>
                  </w:r>
                  <w:r>
                    <w:rPr>
                      <w:rFonts w:ascii="Times New Roman" w:hAnsi="Times New Roman" w:eastAsia="宋体" w:cs="Times New Roman"/>
                      <w:color w:val="000000"/>
                      <w:szCs w:val="21"/>
                    </w:rPr>
                    <w:t>）</w:t>
                  </w:r>
                </w:p>
              </w:tc>
              <w:tc>
                <w:tcPr>
                  <w:tcW w:w="1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产生量（t/a）</w:t>
                  </w:r>
                </w:p>
              </w:tc>
              <w:tc>
                <w:tcPr>
                  <w:tcW w:w="1512" w:type="pct"/>
                  <w:tcBorders>
                    <w:top w:val="single" w:color="000000" w:sz="4" w:space="0"/>
                    <w:left w:val="single" w:color="000000" w:sz="4" w:space="0"/>
                    <w:bottom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排放量（t/a）</w:t>
                  </w:r>
                </w:p>
              </w:tc>
            </w:tr>
            <w:tr>
              <w:tblPrEx>
                <w:tblCellMar>
                  <w:top w:w="0" w:type="dxa"/>
                  <w:left w:w="108" w:type="dxa"/>
                  <w:bottom w:w="0" w:type="dxa"/>
                  <w:right w:w="108" w:type="dxa"/>
                </w:tblCellMar>
              </w:tblPrEx>
              <w:trPr>
                <w:trHeight w:val="270" w:hRule="atLeast"/>
                <w:jc w:val="center"/>
              </w:trPr>
              <w:tc>
                <w:tcPr>
                  <w:tcW w:w="960" w:type="pct"/>
                  <w:tcBorders>
                    <w:top w:val="single" w:color="000000" w:sz="4" w:space="0"/>
                    <w:bottom w:val="single" w:color="000000" w:sz="4" w:space="0"/>
                    <w:right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NH</w:t>
                  </w:r>
                  <w:r>
                    <w:rPr>
                      <w:rFonts w:ascii="Times New Roman" w:hAnsi="Times New Roman" w:eastAsia="宋体" w:cs="Times New Roman"/>
                      <w:color w:val="000000"/>
                      <w:szCs w:val="21"/>
                      <w:vertAlign w:val="subscript"/>
                    </w:rPr>
                    <w:t>3</w:t>
                  </w:r>
                </w:p>
              </w:tc>
              <w:tc>
                <w:tcPr>
                  <w:tcW w:w="1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0.0031</w:t>
                  </w:r>
                </w:p>
              </w:tc>
              <w:tc>
                <w:tcPr>
                  <w:tcW w:w="1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2.84</w:t>
                  </w:r>
                  <w:r>
                    <w:rPr>
                      <w:rFonts w:ascii="Times New Roman" w:hAnsi="Times New Roman" w:eastAsia="宋体" w:cs="Times New Roman"/>
                    </w:rPr>
                    <w:t>×10</w:t>
                  </w:r>
                  <w:r>
                    <w:rPr>
                      <w:rFonts w:ascii="Times New Roman" w:hAnsi="Times New Roman" w:eastAsia="宋体" w:cs="Times New Roman"/>
                      <w:color w:val="000000"/>
                      <w:szCs w:val="21"/>
                      <w:vertAlign w:val="superscript"/>
                    </w:rPr>
                    <w:t>-3</w:t>
                  </w:r>
                </w:p>
              </w:tc>
              <w:tc>
                <w:tcPr>
                  <w:tcW w:w="1512" w:type="pct"/>
                  <w:tcBorders>
                    <w:top w:val="single" w:color="000000" w:sz="4" w:space="0"/>
                    <w:left w:val="single" w:color="000000" w:sz="4" w:space="0"/>
                    <w:bottom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2.84</w:t>
                  </w:r>
                  <w:r>
                    <w:rPr>
                      <w:rFonts w:ascii="Times New Roman" w:hAnsi="Times New Roman" w:eastAsia="宋体" w:cs="Times New Roman"/>
                    </w:rPr>
                    <w:t>×10</w:t>
                  </w:r>
                  <w:r>
                    <w:rPr>
                      <w:rFonts w:ascii="Times New Roman" w:hAnsi="Times New Roman" w:eastAsia="宋体" w:cs="Times New Roman"/>
                      <w:color w:val="000000"/>
                      <w:szCs w:val="21"/>
                      <w:vertAlign w:val="superscript"/>
                    </w:rPr>
                    <w:t>-3</w:t>
                  </w:r>
                </w:p>
              </w:tc>
            </w:tr>
            <w:tr>
              <w:tblPrEx>
                <w:tblCellMar>
                  <w:top w:w="0" w:type="dxa"/>
                  <w:left w:w="108" w:type="dxa"/>
                  <w:bottom w:w="0" w:type="dxa"/>
                  <w:right w:w="108" w:type="dxa"/>
                </w:tblCellMar>
              </w:tblPrEx>
              <w:trPr>
                <w:trHeight w:val="270" w:hRule="atLeast"/>
                <w:jc w:val="center"/>
              </w:trPr>
              <w:tc>
                <w:tcPr>
                  <w:tcW w:w="960" w:type="pct"/>
                  <w:tcBorders>
                    <w:top w:val="single" w:color="000000" w:sz="4" w:space="0"/>
                    <w:bottom w:val="single" w:color="000000" w:sz="4" w:space="0"/>
                    <w:right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t>
                  </w:r>
                  <w:r>
                    <w:rPr>
                      <w:rFonts w:ascii="Times New Roman" w:hAnsi="Times New Roman" w:eastAsia="宋体" w:cs="Times New Roman"/>
                      <w:color w:val="000000"/>
                      <w:szCs w:val="21"/>
                      <w:vertAlign w:val="subscript"/>
                    </w:rPr>
                    <w:t>2</w:t>
                  </w:r>
                  <w:r>
                    <w:rPr>
                      <w:rFonts w:ascii="Times New Roman" w:hAnsi="Times New Roman" w:eastAsia="宋体" w:cs="Times New Roman"/>
                      <w:color w:val="000000"/>
                      <w:szCs w:val="21"/>
                    </w:rPr>
                    <w:t>S</w:t>
                  </w:r>
                </w:p>
              </w:tc>
              <w:tc>
                <w:tcPr>
                  <w:tcW w:w="12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0.00012</w:t>
                  </w:r>
                </w:p>
              </w:tc>
              <w:tc>
                <w:tcPr>
                  <w:tcW w:w="1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1.10</w:t>
                  </w:r>
                  <w:r>
                    <w:rPr>
                      <w:rFonts w:ascii="Times New Roman" w:hAnsi="Times New Roman" w:eastAsia="宋体" w:cs="Times New Roman"/>
                      <w:color w:val="000000"/>
                      <w:sz w:val="24"/>
                    </w:rPr>
                    <w:t>×10</w:t>
                  </w:r>
                  <w:r>
                    <w:rPr>
                      <w:rFonts w:ascii="Times New Roman" w:hAnsi="Times New Roman" w:eastAsia="宋体" w:cs="Times New Roman"/>
                      <w:color w:val="000000"/>
                      <w:szCs w:val="21"/>
                      <w:vertAlign w:val="superscript"/>
                    </w:rPr>
                    <w:t>-4</w:t>
                  </w:r>
                </w:p>
              </w:tc>
              <w:tc>
                <w:tcPr>
                  <w:tcW w:w="1512" w:type="pct"/>
                  <w:tcBorders>
                    <w:top w:val="single" w:color="000000" w:sz="4" w:space="0"/>
                    <w:left w:val="single" w:color="000000" w:sz="4" w:space="0"/>
                    <w:bottom w:val="single" w:color="000000" w:sz="4" w:space="0"/>
                  </w:tcBorders>
                  <w:shd w:val="clear" w:color="auto" w:fill="auto"/>
                  <w:noWrap/>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1.10</w:t>
                  </w:r>
                  <w:r>
                    <w:rPr>
                      <w:rFonts w:ascii="Times New Roman" w:hAnsi="Times New Roman" w:eastAsia="宋体" w:cs="Times New Roman"/>
                      <w:color w:val="000000"/>
                      <w:sz w:val="24"/>
                    </w:rPr>
                    <w:t>×10</w:t>
                  </w:r>
                  <w:r>
                    <w:rPr>
                      <w:rFonts w:ascii="Times New Roman" w:hAnsi="Times New Roman" w:eastAsia="宋体" w:cs="Times New Roman"/>
                      <w:color w:val="000000"/>
                      <w:szCs w:val="21"/>
                      <w:vertAlign w:val="superscript"/>
                    </w:rPr>
                    <w:t>-4</w:t>
                  </w:r>
                </w:p>
              </w:tc>
            </w:tr>
          </w:tbl>
          <w:p>
            <w:pPr>
              <w:widowControl/>
              <w:spacing w:line="360" w:lineRule="auto"/>
              <w:ind w:firstLine="480" w:firstLineChars="200"/>
              <w:rPr>
                <w:rFonts w:ascii="Times New Roman" w:hAnsi="Times New Roman" w:eastAsia="宋体" w:cs="Times New Roman"/>
                <w:color w:val="000000"/>
                <w:kern w:val="0"/>
                <w:sz w:val="24"/>
              </w:rPr>
            </w:pPr>
            <w:r>
              <w:rPr>
                <w:rFonts w:ascii="Times New Roman" w:hAnsi="Times New Roman" w:eastAsia="宋体" w:cs="Times New Roman"/>
                <w:color w:val="000000"/>
                <w:kern w:val="0"/>
                <w:sz w:val="24"/>
              </w:rPr>
              <w:t>项目产生的医疗废水水质简单，产生的废气量少，不会有明显恶臭产生，且污水站各池体均被密闭，以防臭气外逸；采取上述措施后，污水处理站恶臭气体NH</w:t>
            </w:r>
            <w:r>
              <w:rPr>
                <w:rFonts w:ascii="Times New Roman" w:hAnsi="Times New Roman" w:eastAsia="宋体" w:cs="Times New Roman"/>
                <w:color w:val="000000"/>
                <w:kern w:val="0"/>
                <w:sz w:val="24"/>
                <w:vertAlign w:val="subscript"/>
              </w:rPr>
              <w:t>3</w:t>
            </w:r>
            <w:r>
              <w:rPr>
                <w:rFonts w:ascii="Times New Roman" w:hAnsi="Times New Roman" w:eastAsia="宋体" w:cs="Times New Roman"/>
                <w:color w:val="000000"/>
                <w:kern w:val="0"/>
                <w:sz w:val="24"/>
              </w:rPr>
              <w:t>、H</w:t>
            </w:r>
            <w:r>
              <w:rPr>
                <w:rFonts w:ascii="Times New Roman" w:hAnsi="Times New Roman" w:eastAsia="宋体" w:cs="Times New Roman"/>
                <w:color w:val="000000"/>
                <w:kern w:val="0"/>
                <w:sz w:val="24"/>
                <w:vertAlign w:val="subscript"/>
              </w:rPr>
              <w:t>2</w:t>
            </w:r>
            <w:r>
              <w:rPr>
                <w:rFonts w:ascii="Times New Roman" w:hAnsi="Times New Roman" w:eastAsia="宋体" w:cs="Times New Roman"/>
                <w:color w:val="000000"/>
                <w:kern w:val="0"/>
                <w:sz w:val="24"/>
              </w:rPr>
              <w:t>S等可达到《医疗机构水污染物排放标准》（GB18466-2005）中表3污水处理站周边大气污染物最高允许浓度的限值要求，详见下表，对附近居民楼和项目病房几乎不产生影响。</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表4-2《医疗机构水污染物排放标准》（GB18466-2005）中表3污水处理站周边大气污染物最高允许浓度</w:t>
            </w:r>
          </w:p>
          <w:tbl>
            <w:tblPr>
              <w:tblStyle w:val="3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65"/>
              <w:gridCol w:w="3484"/>
              <w:gridCol w:w="394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727"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污染源</w:t>
                  </w:r>
                </w:p>
              </w:tc>
              <w:tc>
                <w:tcPr>
                  <w:tcW w:w="2003"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污染物</w:t>
                  </w:r>
                </w:p>
              </w:tc>
              <w:tc>
                <w:tcPr>
                  <w:tcW w:w="2268"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污水处理站周边大气污染物最高允许浓度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7" w:type="pct"/>
                  <w:vMerge w:val="restar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污水站周边</w:t>
                  </w:r>
                </w:p>
              </w:tc>
              <w:tc>
                <w:tcPr>
                  <w:tcW w:w="2003"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氨</w:t>
                  </w:r>
                </w:p>
              </w:tc>
              <w:tc>
                <w:tcPr>
                  <w:tcW w:w="2268"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1.0mg/m</w:t>
                  </w:r>
                  <w:r>
                    <w:rPr>
                      <w:rFonts w:ascii="Times New Roman" w:eastAsia="宋体" w:cs="Times New Roman"/>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727" w:type="pct"/>
                  <w:vMerge w:val="continue"/>
                  <w:tcBorders>
                    <w:tl2br w:val="nil"/>
                    <w:tr2bl w:val="nil"/>
                  </w:tcBorders>
                  <w:vAlign w:val="center"/>
                </w:tcPr>
                <w:p>
                  <w:pPr>
                    <w:pStyle w:val="2"/>
                    <w:jc w:val="center"/>
                    <w:rPr>
                      <w:rFonts w:ascii="Times New Roman" w:eastAsia="宋体" w:cs="Times New Roman"/>
                      <w:sz w:val="21"/>
                      <w:szCs w:val="21"/>
                    </w:rPr>
                  </w:pPr>
                </w:p>
              </w:tc>
              <w:tc>
                <w:tcPr>
                  <w:tcW w:w="2003"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硫化氢</w:t>
                  </w:r>
                </w:p>
              </w:tc>
              <w:tc>
                <w:tcPr>
                  <w:tcW w:w="2268"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0.03mg/m</w:t>
                  </w:r>
                  <w:r>
                    <w:rPr>
                      <w:rFonts w:ascii="Times New Roman" w:eastAsia="宋体" w:cs="Times New Roman"/>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7" w:type="pct"/>
                  <w:vMerge w:val="continue"/>
                  <w:tcBorders>
                    <w:tl2br w:val="nil"/>
                    <w:tr2bl w:val="nil"/>
                  </w:tcBorders>
                  <w:vAlign w:val="center"/>
                </w:tcPr>
                <w:p>
                  <w:pPr>
                    <w:pStyle w:val="2"/>
                    <w:jc w:val="center"/>
                    <w:rPr>
                      <w:rFonts w:ascii="Times New Roman" w:eastAsia="宋体" w:cs="Times New Roman"/>
                      <w:sz w:val="21"/>
                      <w:szCs w:val="21"/>
                    </w:rPr>
                  </w:pPr>
                </w:p>
              </w:tc>
              <w:tc>
                <w:tcPr>
                  <w:tcW w:w="2003"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臭气浓度</w:t>
                  </w:r>
                </w:p>
              </w:tc>
              <w:tc>
                <w:tcPr>
                  <w:tcW w:w="2268"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2"/>
                      <w:szCs w:val="22"/>
                      <w:lang w:bidi="ar"/>
                    </w:rPr>
                    <w:t>10（无量纲）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7" w:type="pct"/>
                  <w:vMerge w:val="continue"/>
                  <w:tcBorders>
                    <w:tl2br w:val="nil"/>
                    <w:tr2bl w:val="nil"/>
                  </w:tcBorders>
                  <w:vAlign w:val="center"/>
                </w:tcPr>
                <w:p>
                  <w:pPr>
                    <w:pStyle w:val="2"/>
                    <w:jc w:val="center"/>
                    <w:rPr>
                      <w:rFonts w:ascii="Times New Roman" w:eastAsia="宋体" w:cs="Times New Roman"/>
                      <w:sz w:val="21"/>
                      <w:szCs w:val="21"/>
                    </w:rPr>
                  </w:pPr>
                </w:p>
              </w:tc>
              <w:tc>
                <w:tcPr>
                  <w:tcW w:w="2003"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氯气</w:t>
                  </w:r>
                </w:p>
              </w:tc>
              <w:tc>
                <w:tcPr>
                  <w:tcW w:w="2268"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0.1mg/m</w:t>
                  </w:r>
                  <w:r>
                    <w:rPr>
                      <w:rFonts w:ascii="Times New Roman" w:eastAsia="宋体" w:cs="Times New Roman"/>
                      <w:sz w:val="21"/>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7" w:type="pct"/>
                  <w:vMerge w:val="continue"/>
                  <w:tcBorders>
                    <w:tl2br w:val="nil"/>
                    <w:tr2bl w:val="nil"/>
                  </w:tcBorders>
                  <w:vAlign w:val="center"/>
                </w:tcPr>
                <w:p>
                  <w:pPr>
                    <w:pStyle w:val="2"/>
                    <w:jc w:val="center"/>
                    <w:rPr>
                      <w:rFonts w:ascii="Times New Roman" w:eastAsia="宋体" w:cs="Times New Roman"/>
                      <w:sz w:val="21"/>
                      <w:szCs w:val="21"/>
                    </w:rPr>
                  </w:pPr>
                </w:p>
              </w:tc>
              <w:tc>
                <w:tcPr>
                  <w:tcW w:w="2003"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甲烷（指处理站内最高体积百分数%）</w:t>
                  </w:r>
                </w:p>
              </w:tc>
              <w:tc>
                <w:tcPr>
                  <w:tcW w:w="2268" w:type="pct"/>
                  <w:tcBorders>
                    <w:tl2br w:val="nil"/>
                    <w:tr2bl w:val="nil"/>
                  </w:tcBorders>
                  <w:vAlign w:val="center"/>
                </w:tcPr>
                <w:p>
                  <w:pPr>
                    <w:pStyle w:val="2"/>
                    <w:jc w:val="center"/>
                    <w:rPr>
                      <w:rFonts w:ascii="Times New Roman" w:eastAsia="宋体" w:cs="Times New Roman"/>
                      <w:sz w:val="21"/>
                      <w:szCs w:val="21"/>
                    </w:rPr>
                  </w:pPr>
                  <w:r>
                    <w:rPr>
                      <w:rFonts w:ascii="Times New Roman" w:eastAsia="宋体" w:cs="Times New Roman"/>
                      <w:sz w:val="21"/>
                      <w:szCs w:val="21"/>
                    </w:rPr>
                    <w:t>1%</w:t>
                  </w:r>
                </w:p>
              </w:tc>
            </w:tr>
          </w:tbl>
          <w:p>
            <w:pPr>
              <w:spacing w:line="360" w:lineRule="auto"/>
              <w:ind w:left="420" w:leftChars="200"/>
              <w:rPr>
                <w:rFonts w:ascii="Times New Roman" w:hAnsi="Times New Roman" w:eastAsia="宋体" w:cs="Times New Roman"/>
                <w:b/>
                <w:bCs/>
                <w:color w:val="000000"/>
                <w:sz w:val="24"/>
              </w:rPr>
            </w:pPr>
          </w:p>
          <w:p>
            <w:pPr>
              <w:spacing w:line="360" w:lineRule="auto"/>
              <w:ind w:left="420" w:left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②员工食堂油烟</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本项目员工就餐依托湛江市养老服务中心的员工食堂，运营期产生的食堂油烟依托湛江市养老服务中心的</w:t>
            </w:r>
            <w:r>
              <w:rPr>
                <w:rFonts w:hint="eastAsia" w:ascii="Times New Roman" w:hAnsi="Times New Roman" w:eastAsia="宋体" w:cs="Times New Roman"/>
                <w:sz w:val="24"/>
                <w:lang w:val="en-US" w:eastAsia="zh-CN"/>
              </w:rPr>
              <w:t>油烟净化器</w:t>
            </w:r>
            <w:r>
              <w:rPr>
                <w:rFonts w:ascii="Times New Roman" w:hAnsi="Times New Roman" w:eastAsia="宋体" w:cs="Times New Roman"/>
                <w:sz w:val="24"/>
              </w:rPr>
              <w:t>进行处理，</w:t>
            </w:r>
            <w:r>
              <w:rPr>
                <w:rFonts w:ascii="Times New Roman" w:hAnsi="Times New Roman" w:eastAsia="宋体" w:cs="Times New Roman"/>
                <w:color w:val="000000"/>
                <w:sz w:val="24"/>
              </w:rPr>
              <w:t>油烟处理后排放浓度达到《饮食业油烟排放标准（试行）》（GB18483-2001）中的油烟排放标准要求</w:t>
            </w:r>
            <w:r>
              <w:rPr>
                <w:rFonts w:hint="eastAsia" w:ascii="Times New Roman" w:hAnsi="Times New Roman" w:eastAsia="宋体" w:cs="Times New Roman"/>
                <w:color w:val="000000"/>
                <w:sz w:val="24"/>
              </w:rPr>
              <w:t>，</w:t>
            </w:r>
            <w:r>
              <w:rPr>
                <w:rFonts w:ascii="Times New Roman" w:hAnsi="Times New Roman" w:eastAsia="宋体" w:cs="Times New Roman"/>
                <w:sz w:val="24"/>
              </w:rPr>
              <w:t>再由专门烟道引至食堂楼顶向高空排放（排气筒DA001）。</w:t>
            </w:r>
          </w:p>
          <w:p>
            <w:pPr>
              <w:pStyle w:val="2"/>
              <w:spacing w:line="360" w:lineRule="auto"/>
              <w:ind w:firstLine="480" w:firstLineChars="200"/>
              <w:rPr>
                <w:rFonts w:ascii="Times New Roman" w:eastAsia="宋体" w:cs="Times New Roman"/>
              </w:rPr>
            </w:pPr>
            <w:r>
              <w:rPr>
                <w:rFonts w:ascii="Times New Roman" w:eastAsia="宋体" w:cs="Times New Roman"/>
              </w:rPr>
              <w:t>项目运营期员工用餐人数为88人次/日，按照每人次25g食用油，一般油烟挥发量占总耗油量的2-4（取3%），员工食堂配套厨房油烟产生量为66g/d（0.02t/a）。油烟机排风量为2500m³/h，每天工作5小时，年工作365天，员工食堂配套厨房油烟产生量为1.25万m³/d（456.25万m³/a），油烟排放浓度约为5.28mg/m</w:t>
            </w:r>
            <w:r>
              <w:rPr>
                <w:rFonts w:ascii="Times New Roman" w:eastAsia="宋体" w:cs="Times New Roman"/>
                <w:vertAlign w:val="superscript"/>
              </w:rPr>
              <w:t>3</w:t>
            </w:r>
            <w:r>
              <w:rPr>
                <w:rFonts w:ascii="Times New Roman" w:eastAsia="宋体" w:cs="Times New Roman"/>
              </w:rPr>
              <w:t>。本项目油烟净化器对员工食堂油烟进行处理，去除效率≥75%，经处理达到《饮食业油烟排放标准（试行）》（GB18483-2001）中规定的小于2mg/m</w:t>
            </w:r>
            <w:r>
              <w:rPr>
                <w:rFonts w:ascii="Times New Roman" w:eastAsia="宋体" w:cs="Times New Roman"/>
                <w:vertAlign w:val="superscript"/>
              </w:rPr>
              <w:t>3</w:t>
            </w:r>
            <w:r>
              <w:rPr>
                <w:rFonts w:ascii="Times New Roman" w:eastAsia="宋体" w:cs="Times New Roman"/>
              </w:rPr>
              <w:t>后，引至高空排放。员工食堂油烟去除率75%计，则员工食堂油烟排放浓度为1.32mg/m³，排放量约为16.5g/d，0.006t/a。处理后引至高空排放（排气筒DA001）。油烟废气的产排情况详见表4-3。</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表4-3项目员工食堂油烟废气产生与处理情况一览表</w:t>
            </w:r>
          </w:p>
          <w:tbl>
            <w:tblPr>
              <w:tblStyle w:val="29"/>
              <w:tblW w:w="4997" w:type="pct"/>
              <w:jc w:val="center"/>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autofit"/>
              <w:tblCellMar>
                <w:top w:w="0" w:type="dxa"/>
                <w:left w:w="108" w:type="dxa"/>
                <w:bottom w:w="0" w:type="dxa"/>
                <w:right w:w="108" w:type="dxa"/>
              </w:tblCellMar>
            </w:tblPr>
            <w:tblGrid>
              <w:gridCol w:w="1271"/>
              <w:gridCol w:w="1209"/>
              <w:gridCol w:w="1266"/>
              <w:gridCol w:w="1296"/>
              <w:gridCol w:w="1377"/>
              <w:gridCol w:w="1037"/>
              <w:gridCol w:w="1237"/>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PrEx>
              <w:trPr>
                <w:trHeight w:val="398" w:hRule="atLeast"/>
                <w:jc w:val="center"/>
              </w:trPr>
              <w:tc>
                <w:tcPr>
                  <w:tcW w:w="731" w:type="pct"/>
                  <w:vMerge w:val="restar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污染物名称</w:t>
                  </w:r>
                </w:p>
              </w:tc>
              <w:tc>
                <w:tcPr>
                  <w:tcW w:w="695" w:type="pct"/>
                  <w:vMerge w:val="restar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产生量（t/a）</w:t>
                  </w:r>
                </w:p>
              </w:tc>
              <w:tc>
                <w:tcPr>
                  <w:tcW w:w="728" w:type="pct"/>
                  <w:vMerge w:val="restar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产生浓度（mg/m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w:t>
                  </w:r>
                </w:p>
              </w:tc>
              <w:tc>
                <w:tcPr>
                  <w:tcW w:w="1537" w:type="pct"/>
                  <w:gridSpan w:val="2"/>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油烟净化器（t/a）</w:t>
                  </w:r>
                </w:p>
              </w:tc>
              <w:tc>
                <w:tcPr>
                  <w:tcW w:w="596" w:type="pct"/>
                  <w:vMerge w:val="restar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排放量（t/a）</w:t>
                  </w:r>
                </w:p>
              </w:tc>
              <w:tc>
                <w:tcPr>
                  <w:tcW w:w="711" w:type="pct"/>
                  <w:vMerge w:val="restar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排放浓度（mg/m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98" w:hRule="atLeast"/>
                <w:jc w:val="center"/>
              </w:trPr>
              <w:tc>
                <w:tcPr>
                  <w:tcW w:w="731" w:type="pct"/>
                  <w:vMerge w:val="continue"/>
                  <w:vAlign w:val="center"/>
                </w:tcPr>
                <w:p>
                  <w:pPr>
                    <w:jc w:val="center"/>
                    <w:rPr>
                      <w:rFonts w:ascii="Times New Roman" w:hAnsi="Times New Roman" w:eastAsia="宋体" w:cs="Times New Roman"/>
                      <w:szCs w:val="21"/>
                    </w:rPr>
                  </w:pPr>
                </w:p>
              </w:tc>
              <w:tc>
                <w:tcPr>
                  <w:tcW w:w="695" w:type="pct"/>
                  <w:vMerge w:val="continue"/>
                  <w:vAlign w:val="center"/>
                </w:tcPr>
                <w:p>
                  <w:pPr>
                    <w:jc w:val="center"/>
                    <w:rPr>
                      <w:rFonts w:ascii="Times New Roman" w:hAnsi="Times New Roman" w:eastAsia="宋体" w:cs="Times New Roman"/>
                      <w:szCs w:val="21"/>
                    </w:rPr>
                  </w:pPr>
                </w:p>
              </w:tc>
              <w:tc>
                <w:tcPr>
                  <w:tcW w:w="728" w:type="pct"/>
                  <w:vMerge w:val="continue"/>
                  <w:vAlign w:val="center"/>
                </w:tcPr>
                <w:p>
                  <w:pPr>
                    <w:jc w:val="center"/>
                    <w:rPr>
                      <w:rFonts w:ascii="Times New Roman" w:hAnsi="Times New Roman" w:eastAsia="宋体" w:cs="Times New Roman"/>
                      <w:szCs w:val="21"/>
                    </w:rPr>
                  </w:pPr>
                </w:p>
              </w:tc>
              <w:tc>
                <w:tcPr>
                  <w:tcW w:w="745"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处理风量（m</w:t>
                  </w:r>
                  <w:r>
                    <w:rPr>
                      <w:rFonts w:ascii="Times New Roman" w:hAnsi="Times New Roman" w:eastAsia="宋体" w:cs="Times New Roman"/>
                      <w:szCs w:val="21"/>
                      <w:vertAlign w:val="superscript"/>
                    </w:rPr>
                    <w:t>3</w:t>
                  </w:r>
                  <w:r>
                    <w:rPr>
                      <w:rFonts w:ascii="Times New Roman" w:hAnsi="Times New Roman" w:eastAsia="宋体" w:cs="Times New Roman"/>
                      <w:szCs w:val="21"/>
                    </w:rPr>
                    <w:t>/h）</w:t>
                  </w:r>
                </w:p>
              </w:tc>
              <w:tc>
                <w:tcPr>
                  <w:tcW w:w="792"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处理效率%</w:t>
                  </w:r>
                </w:p>
              </w:tc>
              <w:tc>
                <w:tcPr>
                  <w:tcW w:w="596" w:type="pct"/>
                  <w:vMerge w:val="continue"/>
                  <w:vAlign w:val="center"/>
                </w:tcPr>
                <w:p>
                  <w:pPr>
                    <w:jc w:val="center"/>
                    <w:rPr>
                      <w:rFonts w:ascii="Times New Roman" w:hAnsi="Times New Roman" w:eastAsia="宋体" w:cs="Times New Roman"/>
                      <w:szCs w:val="21"/>
                    </w:rPr>
                  </w:pPr>
                </w:p>
              </w:tc>
              <w:tc>
                <w:tcPr>
                  <w:tcW w:w="711" w:type="pct"/>
                  <w:vMerge w:val="continue"/>
                  <w:vAlign w:val="center"/>
                </w:tcPr>
                <w:p>
                  <w:pPr>
                    <w:jc w:val="center"/>
                    <w:rPr>
                      <w:rFonts w:ascii="Times New Roman" w:hAnsi="Times New Roman" w:eastAsia="宋体" w:cs="Times New Roman"/>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73" w:hRule="atLeast"/>
                <w:jc w:val="center"/>
              </w:trPr>
              <w:tc>
                <w:tcPr>
                  <w:tcW w:w="731" w:type="pc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油烟废气</w:t>
                  </w:r>
                </w:p>
              </w:tc>
              <w:tc>
                <w:tcPr>
                  <w:tcW w:w="695" w:type="pct"/>
                  <w:vAlign w:val="center"/>
                </w:tcPr>
                <w:p>
                  <w:pPr>
                    <w:pStyle w:val="41"/>
                    <w:ind w:firstLine="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0.02</w:t>
                  </w:r>
                </w:p>
              </w:tc>
              <w:tc>
                <w:tcPr>
                  <w:tcW w:w="728" w:type="pct"/>
                  <w:vAlign w:val="center"/>
                </w:tcPr>
                <w:p>
                  <w:pPr>
                    <w:pStyle w:val="41"/>
                    <w:ind w:firstLine="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5.28</w:t>
                  </w:r>
                </w:p>
              </w:tc>
              <w:tc>
                <w:tcPr>
                  <w:tcW w:w="745" w:type="pct"/>
                  <w:vAlign w:val="center"/>
                </w:tcPr>
                <w:p>
                  <w:pPr>
                    <w:pStyle w:val="41"/>
                    <w:ind w:firstLine="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2500</w:t>
                  </w:r>
                </w:p>
              </w:tc>
              <w:tc>
                <w:tcPr>
                  <w:tcW w:w="792" w:type="pct"/>
                  <w:vAlign w:val="center"/>
                </w:tcPr>
                <w:p>
                  <w:pPr>
                    <w:pStyle w:val="41"/>
                    <w:ind w:firstLine="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75</w:t>
                  </w:r>
                </w:p>
              </w:tc>
              <w:tc>
                <w:tcPr>
                  <w:tcW w:w="596" w:type="pct"/>
                  <w:vAlign w:val="center"/>
                </w:tcPr>
                <w:p>
                  <w:pPr>
                    <w:pStyle w:val="41"/>
                    <w:ind w:firstLine="0"/>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0.006</w:t>
                  </w:r>
                </w:p>
              </w:tc>
              <w:tc>
                <w:tcPr>
                  <w:tcW w:w="711" w:type="pct"/>
                  <w:vAlign w:val="center"/>
                </w:tcPr>
                <w:p>
                  <w:pPr>
                    <w:pStyle w:val="41"/>
                    <w:ind w:firstLine="0"/>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1.32</w:t>
                  </w:r>
                </w:p>
              </w:tc>
            </w:tr>
          </w:tbl>
          <w:p>
            <w:pPr>
              <w:pStyle w:val="2"/>
            </w:pPr>
          </w:p>
          <w:p>
            <w:pPr>
              <w:spacing w:line="360" w:lineRule="auto"/>
              <w:ind w:left="420" w:left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③备用发电机尾气</w:t>
            </w:r>
          </w:p>
          <w:p>
            <w:pPr>
              <w:pStyle w:val="20"/>
              <w:spacing w:before="0" w:after="0" w:line="360" w:lineRule="auto"/>
              <w:ind w:right="0"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根据建设单位提供资料，本项目设置1台250kW柴油发电机作为备用应急电源。该发电机使用0#轻质柴油</w:t>
            </w:r>
            <w:r>
              <w:rPr>
                <w:rFonts w:ascii="Times New Roman" w:hAnsi="Times New Roman" w:eastAsia="宋体" w:cs="Times New Roman"/>
                <w:color w:val="000000"/>
                <w:sz w:val="24"/>
                <w:szCs w:val="24"/>
              </w:rPr>
              <w:t>（密度850kg/m</w:t>
            </w:r>
            <w:r>
              <w:rPr>
                <w:rFonts w:ascii="Times New Roman" w:hAnsi="Times New Roman" w:eastAsia="宋体" w:cs="Times New Roman"/>
                <w:color w:val="000000"/>
                <w:sz w:val="24"/>
                <w:szCs w:val="24"/>
                <w:vertAlign w:val="superscript"/>
              </w:rPr>
              <w:t>3</w:t>
            </w:r>
            <w:r>
              <w:rPr>
                <w:rFonts w:ascii="Times New Roman" w:hAnsi="Times New Roman" w:eastAsia="宋体" w:cs="Times New Roman"/>
                <w:color w:val="000000"/>
                <w:sz w:val="24"/>
                <w:szCs w:val="24"/>
              </w:rPr>
              <w:t>，含硫率≤0.001%）</w:t>
            </w:r>
            <w:r>
              <w:rPr>
                <w:rFonts w:ascii="Times New Roman" w:hAnsi="Times New Roman" w:eastAsia="宋体" w:cs="Times New Roman"/>
                <w:color w:val="000000"/>
                <w:sz w:val="24"/>
              </w:rPr>
              <w:t>，主要保证临时停电时消防负荷、事故照明、电梯正常运转等应急使用。其排放的燃油尾气中主要含SO</w:t>
            </w:r>
            <w:r>
              <w:rPr>
                <w:rFonts w:ascii="Times New Roman" w:hAnsi="Times New Roman" w:eastAsia="宋体" w:cs="Times New Roman"/>
                <w:color w:val="000000"/>
                <w:sz w:val="24"/>
                <w:vertAlign w:val="subscript"/>
              </w:rPr>
              <w:t>2</w:t>
            </w:r>
            <w:r>
              <w:rPr>
                <w:rFonts w:ascii="Times New Roman" w:hAnsi="Times New Roman" w:eastAsia="宋体" w:cs="Times New Roman"/>
                <w:color w:val="000000"/>
                <w:sz w:val="24"/>
              </w:rPr>
              <w:t>、NO</w:t>
            </w:r>
            <w:r>
              <w:rPr>
                <w:rFonts w:ascii="Times New Roman" w:hAnsi="Times New Roman" w:eastAsia="宋体" w:cs="Times New Roman"/>
                <w:color w:val="000000"/>
                <w:sz w:val="24"/>
                <w:vertAlign w:val="subscript"/>
              </w:rPr>
              <w:t>2</w:t>
            </w:r>
            <w:r>
              <w:rPr>
                <w:rFonts w:ascii="Times New Roman" w:hAnsi="Times New Roman" w:eastAsia="宋体" w:cs="Times New Roman"/>
                <w:color w:val="000000"/>
                <w:sz w:val="24"/>
              </w:rPr>
              <w:t>、烟尘等污染物。</w:t>
            </w:r>
          </w:p>
          <w:p>
            <w:pPr>
              <w:spacing w:line="360" w:lineRule="auto"/>
              <w:ind w:firstLine="444" w:firstLineChars="200"/>
              <w:rPr>
                <w:rFonts w:ascii="Times New Roman" w:hAnsi="Times New Roman" w:eastAsia="宋体" w:cs="Times New Roman"/>
                <w:color w:val="000000"/>
                <w:sz w:val="24"/>
              </w:rPr>
            </w:pPr>
            <w:r>
              <w:rPr>
                <w:rFonts w:ascii="Times New Roman" w:hAnsi="Times New Roman" w:eastAsia="宋体" w:cs="Times New Roman"/>
                <w:color w:val="000000"/>
                <w:spacing w:val="-9"/>
                <w:sz w:val="24"/>
              </w:rPr>
              <w:t>根据《环境影响评价工程师职业资格登记培训系列教材（社会区域）》</w:t>
            </w:r>
            <w:r>
              <w:rPr>
                <w:rFonts w:ascii="Times New Roman" w:hAnsi="Times New Roman" w:eastAsia="宋体" w:cs="Times New Roman"/>
                <w:color w:val="000000"/>
                <w:sz w:val="24"/>
              </w:rPr>
              <w:t>推荐参数：柴油发电机单位耗油量按212.5g/kwh计，备用发电机的一般的定期保养规程：“每2周空载运行10分钟，每半年带负载运行半小时”</w:t>
            </w:r>
            <w:r>
              <w:rPr>
                <w:rFonts w:ascii="Times New Roman" w:hAnsi="Times New Roman" w:eastAsia="宋体" w:cs="Times New Roman"/>
                <w:color w:val="000000"/>
                <w:kern w:val="0"/>
                <w:sz w:val="24"/>
              </w:rPr>
              <w:t>，湛江市政供电保证率为99.9%，即年停电时间约9小时。根据以上规程及数据推算，项目备用发电机全年运作为9小时。发电机全年耗油量为0.478t/a，</w:t>
            </w:r>
            <w:r>
              <w:rPr>
                <w:rFonts w:ascii="Times New Roman" w:hAnsi="Times New Roman" w:eastAsia="宋体" w:cs="Times New Roman"/>
                <w:color w:val="000000"/>
                <w:sz w:val="24"/>
              </w:rPr>
              <w:t>根据《环境统计手册》（1992年四川科学出版社）中燃料燃烧污染物产生量计算公式可得：NO</w:t>
            </w:r>
            <w:r>
              <w:rPr>
                <w:rFonts w:ascii="Times New Roman" w:hAnsi="Times New Roman" w:eastAsia="宋体" w:cs="Times New Roman"/>
                <w:color w:val="000000"/>
                <w:sz w:val="24"/>
                <w:vertAlign w:val="subscript"/>
              </w:rPr>
              <w:t>x</w:t>
            </w:r>
            <w:r>
              <w:rPr>
                <w:rFonts w:ascii="Times New Roman" w:hAnsi="Times New Roman" w:eastAsia="宋体" w:cs="Times New Roman"/>
                <w:color w:val="000000"/>
                <w:sz w:val="24"/>
              </w:rPr>
              <w:t>产生系数可换算为1.97（kg/t油）；SO</w:t>
            </w:r>
            <w:r>
              <w:rPr>
                <w:rFonts w:ascii="Times New Roman" w:hAnsi="Times New Roman" w:eastAsia="宋体" w:cs="Times New Roman"/>
                <w:color w:val="000000"/>
                <w:sz w:val="24"/>
                <w:vertAlign w:val="subscript"/>
              </w:rPr>
              <w:t>2</w:t>
            </w:r>
            <w:r>
              <w:rPr>
                <w:rFonts w:ascii="Times New Roman" w:hAnsi="Times New Roman" w:eastAsia="宋体" w:cs="Times New Roman"/>
                <w:color w:val="000000"/>
                <w:sz w:val="24"/>
              </w:rPr>
              <w:t>的产生系数为20S*(kg/t油，S*为硫的百分含量%，取S=0.001)，颗粒物产生系数为0.095（kg/t油）。根据《大气污染工程师手册》公式计算，一般柴油发电机空气过剩系数取1.8，废气产生系数为20Nm</w:t>
            </w:r>
            <w:r>
              <w:rPr>
                <w:rFonts w:ascii="Times New Roman" w:hAnsi="Times New Roman" w:eastAsia="宋体" w:cs="Times New Roman"/>
                <w:color w:val="000000"/>
                <w:sz w:val="24"/>
                <w:vertAlign w:val="superscript"/>
              </w:rPr>
              <w:t>3</w:t>
            </w:r>
            <w:r>
              <w:rPr>
                <w:rFonts w:ascii="Times New Roman" w:hAnsi="Times New Roman" w:eastAsia="宋体" w:cs="Times New Roman"/>
                <w:color w:val="000000"/>
                <w:sz w:val="24"/>
              </w:rPr>
              <w:t>/kg柴油，则废气的产生量为9560Nm</w:t>
            </w:r>
            <w:r>
              <w:rPr>
                <w:rFonts w:ascii="Times New Roman" w:hAnsi="Times New Roman" w:eastAsia="宋体" w:cs="Times New Roman"/>
                <w:color w:val="000000"/>
                <w:sz w:val="24"/>
                <w:vertAlign w:val="superscript"/>
              </w:rPr>
              <w:t>3</w:t>
            </w:r>
            <w:r>
              <w:rPr>
                <w:rFonts w:ascii="Times New Roman" w:hAnsi="Times New Roman" w:eastAsia="宋体" w:cs="Times New Roman"/>
                <w:color w:val="000000"/>
                <w:sz w:val="24"/>
              </w:rPr>
              <w:t>/a。备用发电机尾气经排气筒DA002排放。</w:t>
            </w:r>
          </w:p>
          <w:p>
            <w:pPr>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根据以上计算参数，计算得本项目备用发电机尾气中各污染物的产生及排放情况如下表。</w:t>
            </w:r>
          </w:p>
          <w:p>
            <w:pPr>
              <w:spacing w:line="360" w:lineRule="auto"/>
              <w:ind w:firstLine="482"/>
              <w:jc w:val="center"/>
              <w:rPr>
                <w:rFonts w:ascii="Times New Roman" w:hAnsi="Times New Roman" w:eastAsia="宋体" w:cs="Times New Roman"/>
                <w:b/>
                <w:color w:val="000000"/>
                <w:sz w:val="24"/>
              </w:rPr>
            </w:pPr>
            <w:r>
              <w:rPr>
                <w:rFonts w:ascii="Times New Roman" w:hAnsi="Times New Roman" w:eastAsia="宋体" w:cs="Times New Roman"/>
                <w:b/>
                <w:color w:val="000000"/>
                <w:sz w:val="24"/>
              </w:rPr>
              <w:t>表4-4项目备用柴油发电机尾气</w:t>
            </w:r>
          </w:p>
          <w:tbl>
            <w:tblPr>
              <w:tblStyle w:val="30"/>
              <w:tblW w:w="870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90"/>
              <w:gridCol w:w="2010"/>
              <w:gridCol w:w="1210"/>
              <w:gridCol w:w="1270"/>
              <w:gridCol w:w="1250"/>
              <w:gridCol w:w="127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00" w:type="dxa"/>
                  <w:gridSpan w:val="2"/>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污染物项目</w:t>
                  </w:r>
                </w:p>
              </w:tc>
              <w:tc>
                <w:tcPr>
                  <w:tcW w:w="121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SO</w:t>
                  </w:r>
                  <w:r>
                    <w:rPr>
                      <w:rFonts w:ascii="Times New Roman" w:hAnsi="Times New Roman" w:eastAsia="宋体" w:cs="Times New Roman"/>
                      <w:color w:val="000000"/>
                      <w:szCs w:val="21"/>
                      <w:vertAlign w:val="subscript"/>
                    </w:rPr>
                    <w:t>2</w:t>
                  </w:r>
                </w:p>
              </w:tc>
              <w:tc>
                <w:tcPr>
                  <w:tcW w:w="127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NO</w:t>
                  </w:r>
                  <w:r>
                    <w:rPr>
                      <w:rFonts w:ascii="Times New Roman" w:hAnsi="Times New Roman" w:eastAsia="宋体" w:cs="Times New Roman"/>
                      <w:color w:val="000000"/>
                      <w:szCs w:val="21"/>
                      <w:vertAlign w:val="subscript"/>
                    </w:rPr>
                    <w:t>X</w:t>
                  </w:r>
                </w:p>
              </w:tc>
              <w:tc>
                <w:tcPr>
                  <w:tcW w:w="125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颗粒物</w:t>
                  </w:r>
                </w:p>
              </w:tc>
              <w:tc>
                <w:tcPr>
                  <w:tcW w:w="1273"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废气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00" w:type="dxa"/>
                  <w:gridSpan w:val="2"/>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产污系数（kg/t柴油）</w:t>
                  </w:r>
                </w:p>
              </w:tc>
              <w:tc>
                <w:tcPr>
                  <w:tcW w:w="121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0.02</w:t>
                  </w:r>
                </w:p>
              </w:tc>
              <w:tc>
                <w:tcPr>
                  <w:tcW w:w="127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1.97</w:t>
                  </w:r>
                </w:p>
              </w:tc>
              <w:tc>
                <w:tcPr>
                  <w:tcW w:w="125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0.095</w:t>
                  </w:r>
                </w:p>
              </w:tc>
              <w:tc>
                <w:tcPr>
                  <w:tcW w:w="1273"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20Nm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0" w:type="dxa"/>
                  <w:vMerge w:val="restart"/>
                  <w:tcBorders>
                    <w:tl2br w:val="nil"/>
                    <w:tr2bl w:val="nil"/>
                  </w:tcBorders>
                  <w:vAlign w:val="center"/>
                </w:tcPr>
                <w:p>
                  <w:pPr>
                    <w:pStyle w:val="42"/>
                    <w:tabs>
                      <w:tab w:val="left" w:pos="-2848"/>
                    </w:tabs>
                    <w:jc w:val="center"/>
                    <w:rPr>
                      <w:rFonts w:ascii="Times New Roman" w:hAnsi="Times New Roman" w:eastAsia="宋体" w:cs="Times New Roman"/>
                      <w:b w:val="0"/>
                      <w:bCs/>
                      <w:color w:val="000000"/>
                      <w:szCs w:val="21"/>
                    </w:rPr>
                  </w:pPr>
                  <w:r>
                    <w:rPr>
                      <w:rFonts w:ascii="Times New Roman" w:hAnsi="Times New Roman" w:eastAsia="宋体" w:cs="Times New Roman"/>
                      <w:b w:val="0"/>
                      <w:bCs/>
                      <w:color w:val="000000"/>
                      <w:szCs w:val="21"/>
                    </w:rPr>
                    <w:t>1台发电机</w:t>
                  </w:r>
                </w:p>
                <w:p>
                  <w:pPr>
                    <w:pStyle w:val="42"/>
                    <w:tabs>
                      <w:tab w:val="left" w:pos="-2848"/>
                    </w:tabs>
                    <w:jc w:val="center"/>
                    <w:rPr>
                      <w:rFonts w:ascii="Times New Roman" w:hAnsi="Times New Roman" w:eastAsia="宋体" w:cs="Times New Roman"/>
                      <w:b w:val="0"/>
                      <w:bCs/>
                      <w:color w:val="000000"/>
                      <w:szCs w:val="21"/>
                    </w:rPr>
                  </w:pPr>
                  <w:r>
                    <w:rPr>
                      <w:rFonts w:ascii="Times New Roman" w:hAnsi="Times New Roman" w:eastAsia="宋体" w:cs="Times New Roman"/>
                      <w:b w:val="0"/>
                      <w:bCs/>
                      <w:color w:val="000000"/>
                      <w:szCs w:val="21"/>
                    </w:rPr>
                    <w:t>250KWh，</w:t>
                  </w:r>
                </w:p>
                <w:p>
                  <w:pPr>
                    <w:pStyle w:val="39"/>
                    <w:widowControl/>
                    <w:wordWrap w:val="0"/>
                    <w:autoSpaceDE/>
                    <w:autoSpaceDN/>
                    <w:snapToGrid w:val="0"/>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年耗油量</w:t>
                  </w:r>
                </w:p>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0.478t</w:t>
                  </w:r>
                </w:p>
              </w:tc>
              <w:tc>
                <w:tcPr>
                  <w:tcW w:w="201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产生量t/a</w:t>
                  </w:r>
                </w:p>
              </w:tc>
              <w:tc>
                <w:tcPr>
                  <w:tcW w:w="121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0.000010</w:t>
                  </w:r>
                </w:p>
              </w:tc>
              <w:tc>
                <w:tcPr>
                  <w:tcW w:w="127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0.000942</w:t>
                  </w:r>
                </w:p>
              </w:tc>
              <w:tc>
                <w:tcPr>
                  <w:tcW w:w="125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0.000045</w:t>
                  </w:r>
                </w:p>
              </w:tc>
              <w:tc>
                <w:tcPr>
                  <w:tcW w:w="1273" w:type="dxa"/>
                  <w:vMerge w:val="restart"/>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9560</w:t>
                  </w:r>
                </w:p>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Nm</w:t>
                  </w:r>
                  <w:r>
                    <w:rPr>
                      <w:rFonts w:ascii="Times New Roman" w:hAnsi="Times New Roman" w:eastAsia="宋体" w:cs="Times New Roman"/>
                      <w:bCs/>
                      <w:color w:val="000000"/>
                      <w:szCs w:val="21"/>
                      <w:vertAlign w:val="superscript"/>
                    </w:rPr>
                    <w:t>3</w:t>
                  </w:r>
                  <w:r>
                    <w:rPr>
                      <w:rFonts w:ascii="Times New Roman" w:hAnsi="Times New Roman" w:eastAsia="宋体" w:cs="Times New Roman"/>
                      <w:bCs/>
                      <w:color w:val="000000"/>
                      <w:szCs w:val="21"/>
                    </w:rPr>
                    <w: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0" w:type="dxa"/>
                  <w:vMerge w:val="continue"/>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p>
              </w:tc>
              <w:tc>
                <w:tcPr>
                  <w:tcW w:w="201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产生速率kg/h</w:t>
                  </w:r>
                </w:p>
              </w:tc>
              <w:tc>
                <w:tcPr>
                  <w:tcW w:w="121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0.001063</w:t>
                  </w:r>
                </w:p>
              </w:tc>
              <w:tc>
                <w:tcPr>
                  <w:tcW w:w="127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0.104656</w:t>
                  </w:r>
                </w:p>
              </w:tc>
              <w:tc>
                <w:tcPr>
                  <w:tcW w:w="125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0.005047</w:t>
                  </w:r>
                </w:p>
              </w:tc>
              <w:tc>
                <w:tcPr>
                  <w:tcW w:w="1273" w:type="dxa"/>
                  <w:vMerge w:val="continue"/>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0" w:type="dxa"/>
                  <w:vMerge w:val="continue"/>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p>
              </w:tc>
              <w:tc>
                <w:tcPr>
                  <w:tcW w:w="201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产生浓度mg/m</w:t>
                  </w:r>
                  <w:r>
                    <w:rPr>
                      <w:rFonts w:ascii="Times New Roman" w:hAnsi="Times New Roman" w:eastAsia="宋体" w:cs="Times New Roman"/>
                      <w:bCs/>
                      <w:color w:val="000000"/>
                      <w:szCs w:val="21"/>
                      <w:vertAlign w:val="superscript"/>
                    </w:rPr>
                    <w:t>3</w:t>
                  </w:r>
                </w:p>
              </w:tc>
              <w:tc>
                <w:tcPr>
                  <w:tcW w:w="121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w:t>
                  </w:r>
                </w:p>
              </w:tc>
              <w:tc>
                <w:tcPr>
                  <w:tcW w:w="127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98.5</w:t>
                  </w:r>
                </w:p>
              </w:tc>
              <w:tc>
                <w:tcPr>
                  <w:tcW w:w="125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4.75</w:t>
                  </w:r>
                </w:p>
              </w:tc>
              <w:tc>
                <w:tcPr>
                  <w:tcW w:w="1273" w:type="dxa"/>
                  <w:vMerge w:val="continue"/>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0" w:type="dxa"/>
                  <w:vMerge w:val="continue"/>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p>
              </w:tc>
              <w:tc>
                <w:tcPr>
                  <w:tcW w:w="201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排放量t/a</w:t>
                  </w:r>
                </w:p>
              </w:tc>
              <w:tc>
                <w:tcPr>
                  <w:tcW w:w="121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0.000010</w:t>
                  </w:r>
                </w:p>
              </w:tc>
              <w:tc>
                <w:tcPr>
                  <w:tcW w:w="127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0.000942</w:t>
                  </w:r>
                </w:p>
              </w:tc>
              <w:tc>
                <w:tcPr>
                  <w:tcW w:w="125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0.000045</w:t>
                  </w:r>
                </w:p>
              </w:tc>
              <w:tc>
                <w:tcPr>
                  <w:tcW w:w="1273" w:type="dxa"/>
                  <w:vMerge w:val="continue"/>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0" w:type="dxa"/>
                  <w:vMerge w:val="continue"/>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p>
              </w:tc>
              <w:tc>
                <w:tcPr>
                  <w:tcW w:w="201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排放速率kg/h</w:t>
                  </w:r>
                </w:p>
              </w:tc>
              <w:tc>
                <w:tcPr>
                  <w:tcW w:w="121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0.001063</w:t>
                  </w:r>
                </w:p>
              </w:tc>
              <w:tc>
                <w:tcPr>
                  <w:tcW w:w="127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0.104656</w:t>
                  </w:r>
                </w:p>
              </w:tc>
              <w:tc>
                <w:tcPr>
                  <w:tcW w:w="125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0.005047</w:t>
                  </w:r>
                </w:p>
              </w:tc>
              <w:tc>
                <w:tcPr>
                  <w:tcW w:w="1273" w:type="dxa"/>
                  <w:vMerge w:val="continue"/>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0" w:type="dxa"/>
                  <w:vMerge w:val="continue"/>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p>
              </w:tc>
              <w:tc>
                <w:tcPr>
                  <w:tcW w:w="201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排放浓度mg/m</w:t>
                  </w:r>
                  <w:r>
                    <w:rPr>
                      <w:rFonts w:ascii="Times New Roman" w:hAnsi="Times New Roman" w:eastAsia="宋体" w:cs="Times New Roman"/>
                      <w:bCs/>
                      <w:color w:val="000000"/>
                      <w:szCs w:val="21"/>
                      <w:vertAlign w:val="superscript"/>
                    </w:rPr>
                    <w:t>3</w:t>
                  </w:r>
                </w:p>
              </w:tc>
              <w:tc>
                <w:tcPr>
                  <w:tcW w:w="121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w:t>
                  </w:r>
                </w:p>
              </w:tc>
              <w:tc>
                <w:tcPr>
                  <w:tcW w:w="127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98.5</w:t>
                  </w:r>
                </w:p>
              </w:tc>
              <w:tc>
                <w:tcPr>
                  <w:tcW w:w="1250" w:type="dxa"/>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4.75</w:t>
                  </w:r>
                </w:p>
              </w:tc>
              <w:tc>
                <w:tcPr>
                  <w:tcW w:w="1273" w:type="dxa"/>
                  <w:vMerge w:val="continue"/>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00" w:type="dxa"/>
                  <w:gridSpan w:val="2"/>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最高允许排放浓度mg/m</w:t>
                  </w:r>
                  <w:r>
                    <w:rPr>
                      <w:rFonts w:ascii="Times New Roman" w:hAnsi="Times New Roman" w:eastAsia="宋体" w:cs="Times New Roman"/>
                      <w:bCs/>
                      <w:color w:val="000000"/>
                      <w:szCs w:val="21"/>
                      <w:vertAlign w:val="superscript"/>
                    </w:rPr>
                    <w:t>3</w:t>
                  </w:r>
                </w:p>
              </w:tc>
              <w:tc>
                <w:tcPr>
                  <w:tcW w:w="121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500</w:t>
                  </w:r>
                </w:p>
              </w:tc>
              <w:tc>
                <w:tcPr>
                  <w:tcW w:w="127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120</w:t>
                  </w:r>
                </w:p>
              </w:tc>
              <w:tc>
                <w:tcPr>
                  <w:tcW w:w="1250"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120</w:t>
                  </w:r>
                </w:p>
              </w:tc>
              <w:tc>
                <w:tcPr>
                  <w:tcW w:w="1273" w:type="dxa"/>
                  <w:tcBorders>
                    <w:tl2br w:val="nil"/>
                    <w:tr2bl w:val="nil"/>
                  </w:tcBorders>
                  <w:vAlign w:val="center"/>
                </w:tcPr>
                <w:p>
                  <w:pPr>
                    <w:pStyle w:val="39"/>
                    <w:widowControl/>
                    <w:wordWrap w:val="0"/>
                    <w:autoSpaceDE/>
                    <w:autoSpaceDN/>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r>
          </w:tbl>
          <w:p>
            <w:pPr>
              <w:pStyle w:val="39"/>
              <w:widowControl/>
              <w:wordWrap w:val="0"/>
              <w:autoSpaceDE/>
              <w:autoSpaceDN/>
              <w:snapToGrid w:val="0"/>
              <w:spacing w:line="360" w:lineRule="auto"/>
              <w:ind w:firstLine="480" w:firstLineChars="200"/>
              <w:rPr>
                <w:rFonts w:ascii="Times New Roman" w:hAnsi="Times New Roman" w:eastAsia="宋体" w:cs="Times New Roman"/>
              </w:rPr>
            </w:pPr>
            <w:r>
              <w:rPr>
                <w:rFonts w:ascii="Times New Roman" w:hAnsi="Times New Roman" w:eastAsia="宋体" w:cs="Times New Roman"/>
                <w:color w:val="000000"/>
                <w:sz w:val="24"/>
              </w:rPr>
              <w:t>项目采用的轻质柴油属于清洁燃料，其燃烧产生的SO</w:t>
            </w:r>
            <w:r>
              <w:rPr>
                <w:rFonts w:ascii="Times New Roman" w:hAnsi="Times New Roman" w:eastAsia="宋体" w:cs="Times New Roman"/>
                <w:color w:val="000000"/>
                <w:sz w:val="24"/>
                <w:vertAlign w:val="subscript"/>
              </w:rPr>
              <w:t>2</w:t>
            </w:r>
            <w:r>
              <w:rPr>
                <w:rFonts w:ascii="Times New Roman" w:hAnsi="Times New Roman" w:eastAsia="宋体" w:cs="Times New Roman"/>
                <w:color w:val="000000"/>
                <w:sz w:val="24"/>
              </w:rPr>
              <w:t>、NO</w:t>
            </w:r>
            <w:r>
              <w:rPr>
                <w:rFonts w:ascii="Times New Roman" w:hAnsi="Times New Roman" w:eastAsia="宋体" w:cs="Times New Roman"/>
                <w:color w:val="000000"/>
                <w:sz w:val="24"/>
                <w:vertAlign w:val="subscript"/>
              </w:rPr>
              <w:t>x</w:t>
            </w:r>
            <w:r>
              <w:rPr>
                <w:rFonts w:ascii="Times New Roman" w:hAnsi="Times New Roman" w:eastAsia="宋体" w:cs="Times New Roman"/>
                <w:color w:val="000000"/>
                <w:sz w:val="24"/>
              </w:rPr>
              <w:t>和颗粒物浓度较低，根据上述分析得，柴油发电机废气各污染物排放浓度符合广东省《大气污染物排放限值》（DB44/27-2001）表2工艺废气大气污染物排放限值第二时段最高允许排放浓度的要求。</w:t>
            </w:r>
          </w:p>
          <w:p>
            <w:pPr>
              <w:pStyle w:val="2"/>
              <w:spacing w:line="360" w:lineRule="auto"/>
              <w:ind w:firstLine="480" w:firstLineChars="200"/>
              <w:rPr>
                <w:rFonts w:ascii="Times New Roman" w:eastAsia="宋体" w:cs="Times New Roman"/>
              </w:rPr>
            </w:pPr>
            <w:r>
              <w:rPr>
                <w:rFonts w:ascii="Times New Roman" w:eastAsia="宋体" w:cs="Times New Roman"/>
              </w:rPr>
              <w:t>综上所述，本项目废气对周围大气环境造成不利影响很小。</w:t>
            </w:r>
          </w:p>
          <w:p>
            <w:pPr>
              <w:pStyle w:val="39"/>
              <w:spacing w:line="360" w:lineRule="auto"/>
              <w:ind w:firstLine="482" w:firstLineChars="200"/>
              <w:rPr>
                <w:rFonts w:ascii="Times New Roman" w:hAnsi="Times New Roman" w:eastAsia="宋体" w:cs="Times New Roman"/>
                <w:b/>
                <w:bCs/>
                <w:color w:val="000000"/>
                <w:sz w:val="24"/>
              </w:rPr>
            </w:pPr>
            <w:r>
              <w:rPr>
                <w:rFonts w:hint="eastAsia" w:ascii="Times New Roman" w:hAnsi="Times New Roman" w:eastAsia="宋体" w:cs="Times New Roman"/>
                <w:b/>
                <w:bCs/>
                <w:color w:val="000000"/>
                <w:sz w:val="24"/>
              </w:rPr>
              <w:t>2</w:t>
            </w:r>
            <w:r>
              <w:rPr>
                <w:rFonts w:ascii="Times New Roman" w:hAnsi="Times New Roman" w:eastAsia="宋体" w:cs="Times New Roman"/>
                <w:b/>
                <w:bCs/>
                <w:color w:val="000000"/>
                <w:sz w:val="24"/>
              </w:rPr>
              <w:t>、废气治理设施可行性分析</w:t>
            </w:r>
          </w:p>
          <w:p>
            <w:pPr>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①污水处理站恶臭</w:t>
            </w:r>
          </w:p>
          <w:p>
            <w:pPr>
              <w:pStyle w:val="20"/>
              <w:spacing w:before="0" w:after="0" w:line="360" w:lineRule="auto"/>
              <w:ind w:right="0" w:firstLine="480" w:firstLineChars="200"/>
              <w:rPr>
                <w:rFonts w:ascii="Times New Roman" w:hAnsi="Times New Roman" w:eastAsia="宋体" w:cs="Times New Roman"/>
                <w:b/>
                <w:bCs/>
                <w:color w:val="000000"/>
                <w:kern w:val="2"/>
                <w:sz w:val="24"/>
                <w:szCs w:val="24"/>
              </w:rPr>
            </w:pPr>
            <w:r>
              <w:rPr>
                <w:rFonts w:ascii="Times New Roman" w:hAnsi="Times New Roman" w:eastAsia="宋体" w:cs="Times New Roman"/>
                <w:color w:val="000000"/>
                <w:sz w:val="24"/>
                <w:szCs w:val="24"/>
              </w:rPr>
              <w:t>本项目污水处理站采用地面式，池体全部封闭，</w:t>
            </w:r>
            <w:r>
              <w:rPr>
                <w:rFonts w:hint="eastAsia" w:ascii="Times New Roman" w:hAnsi="Times New Roman" w:eastAsia="宋体" w:cs="Times New Roman"/>
                <w:color w:val="000000"/>
                <w:sz w:val="24"/>
                <w:szCs w:val="24"/>
              </w:rPr>
              <w:t>产生恶臭区域加罩或加盖，投放除臭剂，</w:t>
            </w:r>
            <w:r>
              <w:rPr>
                <w:rFonts w:ascii="Times New Roman" w:hAnsi="Times New Roman" w:eastAsia="宋体" w:cs="Times New Roman"/>
                <w:color w:val="000000"/>
                <w:sz w:val="24"/>
                <w:szCs w:val="24"/>
              </w:rPr>
              <w:t>保留检修口，符合《排污许可证申请与核发技术规范医疗机构》（HJ1105-2020）表A.1医疗机构排污单位废气治理可行技术参照表中无组织排放废气的可行技术。</w:t>
            </w:r>
          </w:p>
          <w:p>
            <w:pPr>
              <w:pStyle w:val="20"/>
              <w:spacing w:before="0" w:after="0" w:line="360" w:lineRule="auto"/>
              <w:ind w:right="0"/>
              <w:jc w:val="center"/>
              <w:rPr>
                <w:rFonts w:ascii="Times New Roman" w:hAnsi="Times New Roman" w:eastAsia="宋体" w:cs="Times New Roman"/>
                <w:b/>
                <w:bCs/>
                <w:color w:val="000000"/>
                <w:kern w:val="2"/>
                <w:sz w:val="24"/>
                <w:szCs w:val="24"/>
              </w:rPr>
            </w:pPr>
            <w:r>
              <w:rPr>
                <w:rFonts w:ascii="Times New Roman" w:hAnsi="Times New Roman" w:eastAsia="宋体" w:cs="Times New Roman"/>
                <w:b/>
                <w:bCs/>
                <w:color w:val="000000"/>
                <w:kern w:val="2"/>
                <w:sz w:val="24"/>
                <w:szCs w:val="24"/>
              </w:rPr>
              <w:t>表4-</w:t>
            </w:r>
            <w:r>
              <w:rPr>
                <w:rFonts w:hint="eastAsia" w:ascii="Times New Roman" w:hAnsi="Times New Roman" w:eastAsia="宋体" w:cs="Times New Roman"/>
                <w:b/>
                <w:bCs/>
                <w:color w:val="000000"/>
                <w:kern w:val="2"/>
                <w:sz w:val="24"/>
                <w:szCs w:val="24"/>
              </w:rPr>
              <w:t>5</w:t>
            </w:r>
            <w:r>
              <w:rPr>
                <w:rFonts w:ascii="Times New Roman" w:hAnsi="Times New Roman" w:eastAsia="宋体" w:cs="Times New Roman"/>
                <w:b/>
                <w:bCs/>
                <w:color w:val="000000"/>
                <w:kern w:val="2"/>
                <w:sz w:val="24"/>
                <w:szCs w:val="24"/>
              </w:rPr>
              <w:t>无组织废气治理可行技术参照表</w:t>
            </w:r>
          </w:p>
          <w:tbl>
            <w:tblPr>
              <w:tblStyle w:val="30"/>
              <w:tblW w:w="4999"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172"/>
              <w:gridCol w:w="2174"/>
              <w:gridCol w:w="2175"/>
              <w:gridCol w:w="2175"/>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1249" w:type="pct"/>
                  <w:vAlign w:val="center"/>
                </w:tcPr>
                <w:p>
                  <w:pPr>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污染物产生设备</w:t>
                  </w:r>
                </w:p>
              </w:tc>
              <w:tc>
                <w:tcPr>
                  <w:tcW w:w="1250" w:type="pct"/>
                  <w:vAlign w:val="center"/>
                </w:tcPr>
                <w:p>
                  <w:pPr>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污染物种类</w:t>
                  </w:r>
                </w:p>
              </w:tc>
              <w:tc>
                <w:tcPr>
                  <w:tcW w:w="1250" w:type="pct"/>
                  <w:vAlign w:val="center"/>
                </w:tcPr>
                <w:p>
                  <w:pPr>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排放形式</w:t>
                  </w:r>
                </w:p>
              </w:tc>
              <w:tc>
                <w:tcPr>
                  <w:tcW w:w="1250" w:type="pct"/>
                  <w:vAlign w:val="center"/>
                </w:tcPr>
                <w:p>
                  <w:pPr>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可行技术</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249" w:type="pct"/>
                  <w:vAlign w:val="center"/>
                </w:tcPr>
                <w:p>
                  <w:pPr>
                    <w:jc w:val="center"/>
                    <w:rPr>
                      <w:rStyle w:val="34"/>
                      <w:rFonts w:ascii="Times New Roman" w:hAnsi="Times New Roman" w:eastAsia="宋体" w:cs="Times New Roman"/>
                    </w:rPr>
                  </w:pPr>
                  <w:r>
                    <w:rPr>
                      <w:rStyle w:val="34"/>
                      <w:rFonts w:ascii="Times New Roman" w:hAnsi="Times New Roman" w:eastAsia="宋体" w:cs="Times New Roman"/>
                    </w:rPr>
                    <w:t>污水处理站</w:t>
                  </w:r>
                </w:p>
              </w:tc>
              <w:tc>
                <w:tcPr>
                  <w:tcW w:w="1250" w:type="pct"/>
                  <w:vAlign w:val="center"/>
                </w:tcPr>
                <w:p>
                  <w:pPr>
                    <w:jc w:val="center"/>
                    <w:rPr>
                      <w:rStyle w:val="34"/>
                      <w:rFonts w:ascii="Times New Roman" w:hAnsi="Times New Roman" w:eastAsia="宋体" w:cs="Times New Roman"/>
                    </w:rPr>
                  </w:pPr>
                  <w:r>
                    <w:rPr>
                      <w:rStyle w:val="34"/>
                      <w:rFonts w:ascii="Times New Roman" w:hAnsi="Times New Roman" w:eastAsia="宋体" w:cs="Times New Roman"/>
                    </w:rPr>
                    <w:t>H</w:t>
                  </w:r>
                  <w:r>
                    <w:rPr>
                      <w:rStyle w:val="34"/>
                      <w:rFonts w:ascii="Times New Roman" w:hAnsi="Times New Roman" w:eastAsia="宋体" w:cs="Times New Roman"/>
                      <w:vertAlign w:val="subscript"/>
                    </w:rPr>
                    <w:t>2</w:t>
                  </w:r>
                  <w:r>
                    <w:rPr>
                      <w:rStyle w:val="34"/>
                      <w:rFonts w:ascii="Times New Roman" w:hAnsi="Times New Roman" w:eastAsia="宋体" w:cs="Times New Roman"/>
                    </w:rPr>
                    <w:t>S、NH</w:t>
                  </w:r>
                  <w:r>
                    <w:rPr>
                      <w:rStyle w:val="34"/>
                      <w:rFonts w:ascii="Times New Roman" w:hAnsi="Times New Roman" w:eastAsia="宋体" w:cs="Times New Roman"/>
                      <w:vertAlign w:val="subscript"/>
                    </w:rPr>
                    <w:t>3</w:t>
                  </w:r>
                  <w:r>
                    <w:rPr>
                      <w:rStyle w:val="34"/>
                      <w:rFonts w:ascii="Times New Roman" w:hAnsi="Times New Roman" w:eastAsia="宋体" w:cs="Times New Roman"/>
                    </w:rPr>
                    <w:t>、臭气浓度</w:t>
                  </w:r>
                </w:p>
              </w:tc>
              <w:tc>
                <w:tcPr>
                  <w:tcW w:w="1250" w:type="pct"/>
                  <w:vAlign w:val="center"/>
                </w:tcPr>
                <w:p>
                  <w:pPr>
                    <w:jc w:val="center"/>
                    <w:rPr>
                      <w:rStyle w:val="34"/>
                      <w:rFonts w:ascii="Times New Roman" w:hAnsi="Times New Roman" w:eastAsia="宋体" w:cs="Times New Roman"/>
                    </w:rPr>
                  </w:pPr>
                  <w:r>
                    <w:rPr>
                      <w:rStyle w:val="34"/>
                      <w:rFonts w:ascii="Times New Roman" w:hAnsi="Times New Roman" w:eastAsia="宋体" w:cs="Times New Roman"/>
                    </w:rPr>
                    <w:t>无组织</w:t>
                  </w:r>
                </w:p>
              </w:tc>
              <w:tc>
                <w:tcPr>
                  <w:tcW w:w="1250" w:type="pct"/>
                  <w:vAlign w:val="center"/>
                </w:tcPr>
                <w:p>
                  <w:pPr>
                    <w:jc w:val="center"/>
                    <w:rPr>
                      <w:rStyle w:val="34"/>
                      <w:rFonts w:ascii="Times New Roman" w:hAnsi="Times New Roman" w:eastAsia="宋体" w:cs="Times New Roman"/>
                    </w:rPr>
                  </w:pPr>
                  <w:r>
                    <w:rPr>
                      <w:rStyle w:val="34"/>
                      <w:rFonts w:ascii="Times New Roman" w:hAnsi="Times New Roman" w:eastAsia="宋体" w:cs="Times New Roman"/>
                    </w:rPr>
                    <w:t>产生恶臭区域加罩或加盖，</w:t>
                  </w:r>
                  <w:r>
                    <w:rPr>
                      <w:rStyle w:val="34"/>
                      <w:rFonts w:ascii="Times New Roman" w:hAnsi="Times New Roman" w:eastAsia="宋体" w:cs="Times New Roman"/>
                      <w:color w:val="auto"/>
                    </w:rPr>
                    <w:t>投放除臭剂</w:t>
                  </w:r>
                </w:p>
              </w:tc>
            </w:tr>
          </w:tbl>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医疗废水处理站为一体化密闭运行，</w:t>
            </w:r>
            <w:r>
              <w:rPr>
                <w:rFonts w:hint="eastAsia" w:ascii="Times New Roman" w:hAnsi="Times New Roman" w:eastAsia="宋体" w:cs="Times New Roman"/>
                <w:color w:val="000000"/>
                <w:sz w:val="24"/>
                <w:szCs w:val="24"/>
              </w:rPr>
              <w:t>池体全部封闭，产生恶臭区域加罩或加盖，投放除臭剂，保留检修口</w:t>
            </w:r>
            <w:r>
              <w:rPr>
                <w:rFonts w:ascii="Times New Roman" w:hAnsi="Times New Roman" w:eastAsia="宋体" w:cs="Times New Roman"/>
                <w:color w:val="000000"/>
                <w:sz w:val="24"/>
                <w:szCs w:val="24"/>
              </w:rPr>
              <w:t>与接触氧化池进排气孔，从而可以减少污水处理臭气对外环境的影响，对外环境的影响很小，通过以上措施，氨、硫化氢等臭气污染物浓度可达到《医疗机构水污染物排放标准》（GB18466-2005）表3中废水处理设施周边大气污染物最高允许浓度。</w:t>
            </w:r>
          </w:p>
          <w:p>
            <w:pPr>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②员工食堂油烟</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项目油烟</w:t>
            </w:r>
            <w:r>
              <w:rPr>
                <w:rFonts w:hint="eastAsia" w:ascii="Times New Roman" w:hAnsi="Times New Roman" w:eastAsia="宋体" w:cs="Times New Roman"/>
                <w:color w:val="000000"/>
                <w:sz w:val="24"/>
                <w:szCs w:val="24"/>
              </w:rPr>
              <w:t>依托湛江市养老服务中心的</w:t>
            </w:r>
            <w:r>
              <w:rPr>
                <w:rFonts w:hint="eastAsia" w:ascii="Times New Roman" w:hAnsi="Times New Roman" w:eastAsia="宋体" w:cs="Times New Roman"/>
                <w:color w:val="000000"/>
                <w:sz w:val="24"/>
                <w:szCs w:val="24"/>
                <w:lang w:val="en-US" w:eastAsia="zh-CN"/>
              </w:rPr>
              <w:t>油烟净化器</w:t>
            </w:r>
            <w:r>
              <w:rPr>
                <w:rFonts w:hint="eastAsia" w:ascii="Times New Roman" w:hAnsi="Times New Roman" w:eastAsia="宋体" w:cs="Times New Roman"/>
                <w:color w:val="000000"/>
                <w:sz w:val="24"/>
                <w:szCs w:val="24"/>
              </w:rPr>
              <w:t>进行处理，</w:t>
            </w:r>
            <w:r>
              <w:rPr>
                <w:rFonts w:ascii="Times New Roman" w:hAnsi="Times New Roman" w:eastAsia="宋体" w:cs="Times New Roman"/>
                <w:color w:val="000000"/>
                <w:sz w:val="24"/>
                <w:szCs w:val="24"/>
              </w:rPr>
              <w:t>油烟处理后排放浓</w:t>
            </w:r>
            <w:r>
              <w:rPr>
                <w:rFonts w:hint="default" w:ascii="Times New Roman" w:hAnsi="Times New Roman" w:eastAsia="宋体" w:cs="Times New Roman"/>
                <w:color w:val="000000"/>
                <w:sz w:val="24"/>
                <w:szCs w:val="24"/>
              </w:rPr>
              <w:t>度</w:t>
            </w:r>
            <w:r>
              <w:rPr>
                <w:rFonts w:hint="default" w:ascii="Times New Roman" w:hAnsi="Times New Roman" w:eastAsia="宋体" w:cs="Times New Roman"/>
                <w:sz w:val="24"/>
                <w:szCs w:val="24"/>
              </w:rPr>
              <w:t>为1.32mg/m³</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color w:val="000000"/>
                <w:sz w:val="24"/>
                <w:szCs w:val="24"/>
              </w:rPr>
              <w:t>达到《</w:t>
            </w:r>
            <w:r>
              <w:rPr>
                <w:rFonts w:ascii="Times New Roman" w:hAnsi="Times New Roman" w:eastAsia="宋体" w:cs="Times New Roman"/>
                <w:color w:val="000000"/>
                <w:sz w:val="24"/>
                <w:szCs w:val="24"/>
              </w:rPr>
              <w:t>饮食业油烟排放标准（试行）》（GB18483-2001）中</w:t>
            </w:r>
            <w:r>
              <w:rPr>
                <w:rFonts w:hint="eastAsia" w:ascii="Times New Roman" w:hAnsi="Times New Roman" w:eastAsia="宋体" w:cs="Times New Roman"/>
                <w:color w:val="000000"/>
                <w:sz w:val="24"/>
                <w:szCs w:val="24"/>
              </w:rPr>
              <w:t>规定的小于2mg/m</w:t>
            </w:r>
            <w:r>
              <w:rPr>
                <w:rFonts w:hint="eastAsia" w:ascii="Times New Roman" w:hAnsi="Times New Roman" w:eastAsia="宋体" w:cs="Times New Roman"/>
                <w:color w:val="000000"/>
                <w:sz w:val="24"/>
                <w:szCs w:val="24"/>
                <w:vertAlign w:val="superscript"/>
              </w:rPr>
              <w:t>3</w:t>
            </w:r>
            <w:r>
              <w:rPr>
                <w:rFonts w:ascii="Times New Roman" w:hAnsi="Times New Roman" w:eastAsia="宋体" w:cs="Times New Roman"/>
                <w:color w:val="000000"/>
                <w:sz w:val="24"/>
                <w:szCs w:val="24"/>
              </w:rPr>
              <w:t>的油烟排放标准要求</w:t>
            </w:r>
            <w:r>
              <w:rPr>
                <w:rFonts w:hint="eastAsia" w:ascii="Times New Roman" w:hAnsi="Times New Roman" w:eastAsia="宋体" w:cs="Times New Roman"/>
                <w:color w:val="000000"/>
                <w:sz w:val="24"/>
                <w:szCs w:val="24"/>
              </w:rPr>
              <w:t>，再由专门烟道引至食堂楼顶向高空排放（排气筒DA001）</w:t>
            </w:r>
            <w:r>
              <w:rPr>
                <w:rFonts w:ascii="Times New Roman" w:hAnsi="Times New Roman" w:eastAsia="宋体" w:cs="Times New Roman"/>
                <w:color w:val="000000"/>
                <w:sz w:val="24"/>
                <w:szCs w:val="24"/>
              </w:rPr>
              <w:t>，厨房油烟治理设施是可行的。</w:t>
            </w:r>
          </w:p>
          <w:p>
            <w:pPr>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③备用发电机尾气</w:t>
            </w:r>
          </w:p>
          <w:p>
            <w:pPr>
              <w:pStyle w:val="20"/>
              <w:spacing w:before="0" w:after="0" w:line="360" w:lineRule="auto"/>
              <w:ind w:right="0" w:firstLine="480" w:firstLineChars="200"/>
              <w:rPr>
                <w:rStyle w:val="34"/>
                <w:rFonts w:ascii="Times New Roman" w:hAnsi="Times New Roman" w:eastAsia="宋体" w:cs="Times New Roman"/>
                <w:kern w:val="2"/>
                <w:szCs w:val="24"/>
              </w:rPr>
            </w:pPr>
            <w:r>
              <w:rPr>
                <w:rFonts w:ascii="Times New Roman" w:hAnsi="Times New Roman" w:eastAsia="宋体" w:cs="Times New Roman"/>
                <w:color w:val="000000"/>
                <w:sz w:val="24"/>
                <w:szCs w:val="24"/>
              </w:rPr>
              <w:t>项目备用发电机用于停电时供电，燃料为0#柴油，为较清洁的燃料，正常工况对项目周边环境无影响。</w:t>
            </w:r>
          </w:p>
          <w:p>
            <w:pPr>
              <w:pStyle w:val="20"/>
              <w:spacing w:before="0" w:after="0" w:line="360" w:lineRule="auto"/>
              <w:ind w:right="0" w:firstLine="482" w:firstLineChars="200"/>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3</w:t>
            </w:r>
            <w:r>
              <w:rPr>
                <w:rFonts w:ascii="Times New Roman" w:hAnsi="Times New Roman" w:eastAsia="宋体" w:cs="Times New Roman"/>
                <w:b/>
                <w:bCs/>
                <w:color w:val="000000"/>
                <w:sz w:val="24"/>
                <w:szCs w:val="24"/>
              </w:rPr>
              <w:t>、废气达标排放分析</w:t>
            </w:r>
          </w:p>
          <w:p>
            <w:pPr>
              <w:pStyle w:val="20"/>
              <w:spacing w:before="0" w:after="0" w:line="360" w:lineRule="auto"/>
              <w:ind w:right="0" w:firstLine="480" w:firstLineChars="200"/>
              <w:rPr>
                <w:rStyle w:val="34"/>
                <w:rFonts w:ascii="Times New Roman" w:hAnsi="Times New Roman" w:eastAsia="宋体" w:cs="Times New Roman"/>
                <w:kern w:val="2"/>
                <w:szCs w:val="24"/>
              </w:rPr>
            </w:pPr>
            <w:r>
              <w:rPr>
                <w:rFonts w:ascii="Times New Roman" w:hAnsi="Times New Roman" w:eastAsia="宋体" w:cs="Times New Roman"/>
                <w:color w:val="000000"/>
                <w:sz w:val="24"/>
                <w:szCs w:val="24"/>
              </w:rPr>
              <w:t>食堂产生的油烟废气</w:t>
            </w:r>
            <w:r>
              <w:rPr>
                <w:rFonts w:hint="eastAsia" w:ascii="Times New Roman" w:hAnsi="Times New Roman" w:eastAsia="宋体" w:cs="Times New Roman"/>
                <w:color w:val="000000"/>
                <w:sz w:val="24"/>
                <w:szCs w:val="24"/>
              </w:rPr>
              <w:t>依托湛江市养老服务中心的</w:t>
            </w:r>
            <w:r>
              <w:rPr>
                <w:rFonts w:hint="eastAsia" w:ascii="Times New Roman" w:hAnsi="Times New Roman" w:eastAsia="宋体" w:cs="Times New Roman"/>
                <w:color w:val="000000"/>
                <w:sz w:val="24"/>
                <w:szCs w:val="24"/>
                <w:lang w:val="en-US" w:eastAsia="zh-CN"/>
              </w:rPr>
              <w:t>油烟净化器</w:t>
            </w:r>
            <w:r>
              <w:rPr>
                <w:rFonts w:ascii="Times New Roman" w:hAnsi="Times New Roman" w:eastAsia="宋体" w:cs="Times New Roman"/>
                <w:color w:val="000000"/>
                <w:sz w:val="24"/>
                <w:szCs w:val="24"/>
              </w:rPr>
              <w:t>处理后经管道引至高空排放，处理后的油烟废气符合《饮食业油烟排放标准（试行）》（GB18483-2001）的要求；污水站进行密闭加盖</w:t>
            </w:r>
            <w:r>
              <w:rPr>
                <w:rFonts w:hint="eastAsia" w:ascii="Times New Roman" w:hAnsi="Times New Roman" w:eastAsia="宋体" w:cs="Times New Roman"/>
                <w:color w:val="000000"/>
                <w:sz w:val="24"/>
                <w:szCs w:val="24"/>
                <w:lang w:val="en-US" w:eastAsia="zh-CN"/>
              </w:rPr>
              <w:t>投放除臭剂，</w:t>
            </w:r>
            <w:r>
              <w:rPr>
                <w:rFonts w:ascii="Times New Roman" w:hAnsi="Times New Roman" w:eastAsia="宋体" w:cs="Times New Roman"/>
                <w:color w:val="000000"/>
                <w:sz w:val="24"/>
                <w:szCs w:val="24"/>
              </w:rPr>
              <w:t>进行除臭的异味处理效果较好，在任何季节都能满足各地最严格的环保要求；垃圾分类收集堆放，及时清运，产生的恶臭较少，对环境无影响；备用发电机用于停电时供电，燃料为0#柴油，为较清洁的燃料，污染物排放量较少，对本项目周边环境无影响。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废气产生量少，本项目所在区域为环境空气功能区划的二类区，根据《湛江市生态环境质量年报简报（2021年）》结论，项目所在的评价区域为环境空气达标区域。且采用可行技术对废气进行处理，处理后的废气均可达标排放，对周边环境影响不大。</w:t>
            </w:r>
          </w:p>
          <w:p>
            <w:pPr>
              <w:pStyle w:val="20"/>
              <w:spacing w:before="0" w:after="0" w:line="360" w:lineRule="auto"/>
              <w:ind w:right="0" w:firstLine="482" w:firstLineChars="200"/>
              <w:rPr>
                <w:rFonts w:ascii="Times New Roman" w:hAnsi="Times New Roman" w:eastAsia="宋体" w:cs="Times New Roman"/>
                <w:b/>
                <w:bCs/>
                <w:color w:val="000000"/>
                <w:sz w:val="24"/>
                <w:szCs w:val="24"/>
              </w:rPr>
            </w:pPr>
          </w:p>
          <w:p>
            <w:pPr>
              <w:pStyle w:val="20"/>
              <w:spacing w:before="0" w:after="0" w:line="360" w:lineRule="auto"/>
              <w:ind w:right="0" w:firstLine="482" w:firstLineChars="200"/>
              <w:rPr>
                <w:rFonts w:ascii="Times New Roman" w:hAnsi="Times New Roman" w:eastAsia="宋体" w:cs="Times New Roman"/>
                <w:b/>
                <w:bCs/>
                <w:color w:val="000000"/>
                <w:sz w:val="24"/>
                <w:szCs w:val="24"/>
              </w:rPr>
            </w:pPr>
          </w:p>
          <w:p>
            <w:pPr>
              <w:pStyle w:val="20"/>
              <w:spacing w:before="0" w:after="0" w:line="360" w:lineRule="auto"/>
              <w:ind w:right="0" w:firstLine="482" w:firstLineChars="200"/>
              <w:rPr>
                <w:rFonts w:ascii="Times New Roman" w:hAnsi="Times New Roman" w:eastAsia="宋体" w:cs="Times New Roman"/>
                <w:b/>
                <w:bCs/>
                <w:color w:val="000000"/>
                <w:sz w:val="24"/>
                <w:szCs w:val="24"/>
              </w:rPr>
            </w:pPr>
          </w:p>
          <w:p>
            <w:pPr>
              <w:pStyle w:val="20"/>
              <w:spacing w:before="0" w:after="0" w:line="360" w:lineRule="auto"/>
              <w:ind w:right="0" w:firstLine="482" w:firstLineChars="200"/>
              <w:rPr>
                <w:rFonts w:ascii="Times New Roman" w:hAnsi="Times New Roman" w:eastAsia="宋体" w:cs="Times New Roman"/>
                <w:b/>
                <w:bCs/>
                <w:color w:val="000000"/>
                <w:sz w:val="24"/>
                <w:szCs w:val="24"/>
              </w:rPr>
            </w:pPr>
          </w:p>
          <w:p>
            <w:pPr>
              <w:pStyle w:val="20"/>
              <w:spacing w:before="0" w:after="0" w:line="360" w:lineRule="auto"/>
              <w:ind w:right="0" w:firstLine="482" w:firstLineChars="200"/>
              <w:rPr>
                <w:rFonts w:ascii="Times New Roman" w:hAnsi="Times New Roman" w:eastAsia="宋体" w:cs="Times New Roman"/>
                <w:b/>
                <w:bCs/>
                <w:color w:val="000000"/>
                <w:sz w:val="24"/>
                <w:szCs w:val="24"/>
              </w:rPr>
            </w:pPr>
          </w:p>
          <w:p>
            <w:pPr>
              <w:pStyle w:val="20"/>
              <w:spacing w:before="0" w:after="0" w:line="360" w:lineRule="auto"/>
              <w:ind w:right="0" w:firstLine="482" w:firstLineChars="200"/>
              <w:rPr>
                <w:rFonts w:ascii="Times New Roman" w:hAnsi="Times New Roman" w:eastAsia="宋体" w:cs="Times New Roman"/>
                <w:b/>
                <w:bCs/>
                <w:color w:val="000000"/>
                <w:sz w:val="24"/>
                <w:szCs w:val="24"/>
              </w:rPr>
            </w:pPr>
          </w:p>
          <w:p>
            <w:pPr>
              <w:pStyle w:val="20"/>
              <w:spacing w:before="0" w:after="0" w:line="360" w:lineRule="auto"/>
              <w:ind w:right="0" w:firstLine="482" w:firstLineChars="200"/>
              <w:rPr>
                <w:rFonts w:ascii="Times New Roman" w:hAnsi="Times New Roman" w:eastAsia="宋体" w:cs="Times New Roman"/>
                <w:b/>
                <w:bCs/>
                <w:color w:val="000000"/>
                <w:sz w:val="24"/>
                <w:szCs w:val="24"/>
              </w:rPr>
            </w:pPr>
          </w:p>
          <w:p>
            <w:pPr>
              <w:pStyle w:val="20"/>
              <w:spacing w:before="0" w:after="0" w:line="360" w:lineRule="auto"/>
              <w:ind w:right="0" w:firstLine="482" w:firstLineChars="200"/>
              <w:rPr>
                <w:rFonts w:ascii="Times New Roman" w:hAnsi="Times New Roman" w:eastAsia="宋体" w:cs="Times New Roman"/>
                <w:b/>
                <w:bCs/>
                <w:color w:val="000000"/>
                <w:sz w:val="24"/>
                <w:szCs w:val="24"/>
              </w:rPr>
            </w:pPr>
          </w:p>
          <w:p>
            <w:pPr>
              <w:pStyle w:val="20"/>
              <w:spacing w:before="0" w:after="0" w:line="360" w:lineRule="auto"/>
              <w:ind w:right="0" w:firstLine="482" w:firstLineChars="200"/>
              <w:rPr>
                <w:rFonts w:ascii="Times New Roman" w:hAnsi="Times New Roman" w:eastAsia="宋体" w:cs="Times New Roman"/>
                <w:b/>
                <w:bCs/>
                <w:color w:val="000000"/>
                <w:sz w:val="24"/>
                <w:szCs w:val="24"/>
              </w:rPr>
            </w:pPr>
            <w:r>
              <w:rPr>
                <w:rFonts w:ascii="Times New Roman" w:hAnsi="Times New Roman" w:eastAsia="宋体" w:cs="Times New Roman"/>
                <w:b/>
                <w:bCs/>
                <w:color w:val="000000"/>
                <w:sz w:val="24"/>
                <w:szCs w:val="24"/>
              </w:rPr>
              <w:t>4、非正常排放情况</w:t>
            </w:r>
          </w:p>
          <w:p>
            <w:pPr>
              <w:pStyle w:val="20"/>
              <w:spacing w:before="0" w:after="0" w:line="360" w:lineRule="auto"/>
              <w:ind w:right="0"/>
              <w:jc w:val="center"/>
              <w:rPr>
                <w:rFonts w:ascii="Times New Roman" w:hAnsi="Times New Roman" w:eastAsia="宋体" w:cs="Times New Roman"/>
                <w:b/>
                <w:bCs/>
                <w:color w:val="000000"/>
                <w:sz w:val="24"/>
                <w:szCs w:val="24"/>
              </w:rPr>
            </w:pPr>
            <w:r>
              <w:rPr>
                <w:rFonts w:ascii="Times New Roman" w:hAnsi="Times New Roman" w:eastAsia="宋体" w:cs="Times New Roman"/>
                <w:b/>
                <w:bCs/>
                <w:color w:val="000000"/>
                <w:sz w:val="24"/>
                <w:szCs w:val="24"/>
              </w:rPr>
              <w:t>表4-</w:t>
            </w:r>
            <w:r>
              <w:rPr>
                <w:rFonts w:hint="eastAsia" w:ascii="Times New Roman" w:hAnsi="Times New Roman" w:eastAsia="宋体" w:cs="Times New Roman"/>
                <w:b/>
                <w:bCs/>
                <w:color w:val="000000"/>
                <w:sz w:val="24"/>
                <w:szCs w:val="24"/>
              </w:rPr>
              <w:t>6</w:t>
            </w:r>
            <w:r>
              <w:rPr>
                <w:rFonts w:ascii="Times New Roman" w:hAnsi="Times New Roman" w:eastAsia="宋体" w:cs="Times New Roman"/>
                <w:b/>
                <w:bCs/>
                <w:color w:val="000000"/>
                <w:sz w:val="24"/>
                <w:szCs w:val="24"/>
              </w:rPr>
              <w:t>污染源非正常排放一览表</w:t>
            </w:r>
          </w:p>
          <w:tbl>
            <w:tblPr>
              <w:tblStyle w:val="2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1089"/>
              <w:gridCol w:w="1726"/>
              <w:gridCol w:w="541"/>
              <w:gridCol w:w="999"/>
              <w:gridCol w:w="894"/>
              <w:gridCol w:w="889"/>
              <w:gridCol w:w="1042"/>
              <w:gridCol w:w="15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913" w:hRule="exact"/>
                <w:jc w:val="center"/>
              </w:trPr>
              <w:tc>
                <w:tcPr>
                  <w:tcW w:w="626"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污染源</w:t>
                  </w:r>
                </w:p>
              </w:tc>
              <w:tc>
                <w:tcPr>
                  <w:tcW w:w="992"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非正常排放原因</w:t>
                  </w:r>
                </w:p>
              </w:tc>
              <w:tc>
                <w:tcPr>
                  <w:tcW w:w="311"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污染物</w:t>
                  </w:r>
                </w:p>
              </w:tc>
              <w:tc>
                <w:tcPr>
                  <w:tcW w:w="574" w:type="pct"/>
                  <w:tcBorders>
                    <w:tl2br w:val="nil"/>
                    <w:tr2bl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非正常排放浓度（mg/m</w:t>
                  </w:r>
                  <w:r>
                    <w:rPr>
                      <w:rFonts w:ascii="Times New Roman" w:hAnsi="Times New Roman" w:eastAsia="宋体" w:cs="Times New Roman"/>
                      <w:color w:val="000000"/>
                      <w:kern w:val="0"/>
                      <w:szCs w:val="21"/>
                      <w:vertAlign w:val="superscript"/>
                      <w:lang w:bidi="ar"/>
                    </w:rPr>
                    <w:t>3</w:t>
                  </w:r>
                  <w:r>
                    <w:rPr>
                      <w:rFonts w:ascii="Times New Roman" w:hAnsi="Times New Roman" w:eastAsia="宋体" w:cs="Times New Roman"/>
                      <w:color w:val="000000"/>
                      <w:kern w:val="0"/>
                      <w:szCs w:val="21"/>
                      <w:lang w:bidi="ar"/>
                    </w:rPr>
                    <w:t>）</w:t>
                  </w:r>
                </w:p>
              </w:tc>
              <w:tc>
                <w:tcPr>
                  <w:tcW w:w="514"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非正常排放量kg</w:t>
                  </w:r>
                </w:p>
              </w:tc>
              <w:tc>
                <w:tcPr>
                  <w:tcW w:w="511"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单次持续时间</w:t>
                  </w:r>
                  <w:r>
                    <w:rPr>
                      <w:rStyle w:val="34"/>
                      <w:rFonts w:ascii="Times New Roman" w:hAnsi="Times New Roman" w:eastAsia="宋体" w:cs="Times New Roman"/>
                      <w:szCs w:val="21"/>
                      <w:lang w:eastAsia="en-US"/>
                    </w:rPr>
                    <w:t>（h）</w:t>
                  </w:r>
                </w:p>
              </w:tc>
              <w:tc>
                <w:tcPr>
                  <w:tcW w:w="599"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年发生频次（次）</w:t>
                  </w:r>
                </w:p>
              </w:tc>
              <w:tc>
                <w:tcPr>
                  <w:tcW w:w="871" w:type="pct"/>
                  <w:tcBorders>
                    <w:tl2br w:val="nil"/>
                    <w:tr2bl w:val="nil"/>
                  </w:tcBorders>
                  <w:shd w:val="clear" w:color="auto" w:fill="auto"/>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应对措施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890" w:hRule="exact"/>
                <w:jc w:val="center"/>
              </w:trPr>
              <w:tc>
                <w:tcPr>
                  <w:tcW w:w="626"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DA001</w:t>
                  </w:r>
                </w:p>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厨房油烟废气</w:t>
                  </w:r>
                </w:p>
              </w:tc>
              <w:tc>
                <w:tcPr>
                  <w:tcW w:w="992"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废气治理设施（油烟净化器）故障</w:t>
                  </w:r>
                </w:p>
              </w:tc>
              <w:tc>
                <w:tcPr>
                  <w:tcW w:w="311"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油烟</w:t>
                  </w:r>
                </w:p>
              </w:tc>
              <w:tc>
                <w:tcPr>
                  <w:tcW w:w="574"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5.28</w:t>
                  </w:r>
                </w:p>
              </w:tc>
              <w:tc>
                <w:tcPr>
                  <w:tcW w:w="514"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0.0132</w:t>
                  </w:r>
                </w:p>
              </w:tc>
              <w:tc>
                <w:tcPr>
                  <w:tcW w:w="511" w:type="pct"/>
                  <w:tcBorders>
                    <w:tl2br w:val="nil"/>
                    <w:tr2bl w:val="nil"/>
                  </w:tcBorders>
                  <w:shd w:val="clear" w:color="auto" w:fill="auto"/>
                  <w:vAlign w:val="center"/>
                </w:tcPr>
                <w:p>
                  <w:pPr>
                    <w:jc w:val="center"/>
                    <w:rPr>
                      <w:rStyle w:val="34"/>
                      <w:rFonts w:ascii="Times New Roman" w:hAnsi="Times New Roman" w:eastAsia="宋体" w:cs="Times New Roman"/>
                      <w:szCs w:val="21"/>
                      <w:lang w:eastAsia="en-US"/>
                    </w:rPr>
                  </w:pPr>
                  <w:r>
                    <w:rPr>
                      <w:rStyle w:val="34"/>
                      <w:rFonts w:ascii="Times New Roman" w:hAnsi="Times New Roman" w:eastAsia="宋体" w:cs="Times New Roman"/>
                      <w:szCs w:val="21"/>
                      <w:lang w:eastAsia="en-US"/>
                    </w:rPr>
                    <w:t>1</w:t>
                  </w:r>
                </w:p>
              </w:tc>
              <w:tc>
                <w:tcPr>
                  <w:tcW w:w="599"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1</w:t>
                  </w:r>
                </w:p>
              </w:tc>
              <w:tc>
                <w:tcPr>
                  <w:tcW w:w="871" w:type="pct"/>
                  <w:vMerge w:val="restart"/>
                  <w:tcBorders>
                    <w:tl2br w:val="nil"/>
                    <w:tr2bl w:val="nil"/>
                  </w:tcBorders>
                  <w:shd w:val="clear" w:color="auto" w:fill="auto"/>
                  <w:vAlign w:val="center"/>
                </w:tcPr>
                <w:p>
                  <w:pPr>
                    <w:jc w:val="center"/>
                    <w:rPr>
                      <w:rFonts w:hint="default" w:ascii="Times New Roman" w:hAnsi="Times New Roman" w:eastAsia="宋体" w:cs="Times New Roman"/>
                      <w:szCs w:val="21"/>
                      <w:lang w:val="en-US" w:eastAsia="zh-CN"/>
                    </w:rPr>
                  </w:pPr>
                  <w:r>
                    <w:rPr>
                      <w:rFonts w:ascii="Times New Roman" w:hAnsi="Times New Roman" w:eastAsia="宋体" w:cs="Times New Roman"/>
                      <w:szCs w:val="21"/>
                    </w:rPr>
                    <w:t>立即停止作业，维修废气治理设备</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及时投加除臭剂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717" w:hRule="exact"/>
                <w:jc w:val="center"/>
              </w:trPr>
              <w:tc>
                <w:tcPr>
                  <w:tcW w:w="626" w:type="pct"/>
                  <w:vMerge w:val="restar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污水处理站无组织排放</w:t>
                  </w:r>
                </w:p>
              </w:tc>
              <w:tc>
                <w:tcPr>
                  <w:tcW w:w="992" w:type="pct"/>
                  <w:vMerge w:val="restar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hint="eastAsia"/>
                      <w:lang w:val="en-US" w:eastAsia="zh-CN"/>
                    </w:rPr>
                    <w:t>未投加除臭剂，</w:t>
                  </w:r>
                  <w:r>
                    <w:rPr>
                      <w:rStyle w:val="34"/>
                      <w:rFonts w:ascii="Times New Roman" w:hAnsi="Times New Roman" w:eastAsia="宋体" w:cs="Times New Roman"/>
                      <w:szCs w:val="21"/>
                    </w:rPr>
                    <w:t>废气未能得到有效的处理便排放</w:t>
                  </w:r>
                </w:p>
              </w:tc>
              <w:tc>
                <w:tcPr>
                  <w:tcW w:w="311"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氨</w:t>
                  </w:r>
                </w:p>
              </w:tc>
              <w:tc>
                <w:tcPr>
                  <w:tcW w:w="574" w:type="pct"/>
                  <w:tcBorders>
                    <w:tl2br w:val="nil"/>
                    <w:tr2bl w:val="nil"/>
                  </w:tcBorders>
                  <w:shd w:val="clear" w:color="auto" w:fill="auto"/>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0.130</w:t>
                  </w:r>
                </w:p>
              </w:tc>
              <w:tc>
                <w:tcPr>
                  <w:tcW w:w="514"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Fonts w:ascii="Times New Roman" w:hAnsi="Times New Roman" w:eastAsia="宋体" w:cs="Times New Roman"/>
                      <w:color w:val="000000"/>
                      <w:szCs w:val="21"/>
                    </w:rPr>
                    <w:t>3.2×10</w:t>
                  </w:r>
                  <w:r>
                    <w:rPr>
                      <w:rFonts w:ascii="Times New Roman" w:hAnsi="Times New Roman" w:eastAsia="宋体" w:cs="Times New Roman"/>
                      <w:color w:val="000000"/>
                      <w:szCs w:val="21"/>
                      <w:vertAlign w:val="superscript"/>
                    </w:rPr>
                    <w:t>-4</w:t>
                  </w:r>
                </w:p>
              </w:tc>
              <w:tc>
                <w:tcPr>
                  <w:tcW w:w="511"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1</w:t>
                  </w:r>
                </w:p>
              </w:tc>
              <w:tc>
                <w:tcPr>
                  <w:tcW w:w="599"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1</w:t>
                  </w:r>
                </w:p>
              </w:tc>
              <w:tc>
                <w:tcPr>
                  <w:tcW w:w="871" w:type="pct"/>
                  <w:vMerge w:val="continue"/>
                  <w:tcBorders>
                    <w:tl2br w:val="nil"/>
                    <w:tr2bl w:val="nil"/>
                  </w:tcBorders>
                  <w:shd w:val="clear" w:color="auto" w:fill="auto"/>
                  <w:vAlign w:val="center"/>
                </w:tcPr>
                <w:p>
                  <w:pPr>
                    <w:jc w:val="center"/>
                    <w:rPr>
                      <w:rFonts w:ascii="Times New Roman" w:hAnsi="Times New Roman" w:eastAsia="宋体"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707" w:hRule="exact"/>
                <w:jc w:val="center"/>
              </w:trPr>
              <w:tc>
                <w:tcPr>
                  <w:tcW w:w="626" w:type="pct"/>
                  <w:vMerge w:val="continue"/>
                  <w:tcBorders>
                    <w:tl2br w:val="nil"/>
                    <w:tr2bl w:val="nil"/>
                  </w:tcBorders>
                  <w:shd w:val="clear" w:color="auto" w:fill="auto"/>
                  <w:vAlign w:val="center"/>
                </w:tcPr>
                <w:p>
                  <w:pPr>
                    <w:jc w:val="center"/>
                    <w:rPr>
                      <w:rStyle w:val="34"/>
                      <w:rFonts w:ascii="Times New Roman" w:hAnsi="Times New Roman" w:eastAsia="宋体" w:cs="Times New Roman"/>
                      <w:szCs w:val="21"/>
                    </w:rPr>
                  </w:pPr>
                </w:p>
              </w:tc>
              <w:tc>
                <w:tcPr>
                  <w:tcW w:w="992" w:type="pct"/>
                  <w:vMerge w:val="continue"/>
                  <w:tcBorders>
                    <w:tl2br w:val="nil"/>
                    <w:tr2bl w:val="nil"/>
                  </w:tcBorders>
                  <w:shd w:val="clear" w:color="auto" w:fill="auto"/>
                  <w:vAlign w:val="center"/>
                </w:tcPr>
                <w:p>
                  <w:pPr>
                    <w:jc w:val="center"/>
                    <w:rPr>
                      <w:rStyle w:val="34"/>
                      <w:rFonts w:ascii="Times New Roman" w:hAnsi="Times New Roman" w:eastAsia="宋体" w:cs="Times New Roman"/>
                      <w:szCs w:val="21"/>
                    </w:rPr>
                  </w:pPr>
                </w:p>
              </w:tc>
              <w:tc>
                <w:tcPr>
                  <w:tcW w:w="311"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硫化氢</w:t>
                  </w:r>
                </w:p>
              </w:tc>
              <w:tc>
                <w:tcPr>
                  <w:tcW w:w="574" w:type="pct"/>
                  <w:tcBorders>
                    <w:tl2br w:val="nil"/>
                    <w:tr2bl w:val="nil"/>
                  </w:tcBorders>
                  <w:shd w:val="clear" w:color="auto" w:fill="auto"/>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0.005</w:t>
                  </w:r>
                </w:p>
              </w:tc>
              <w:tc>
                <w:tcPr>
                  <w:tcW w:w="514"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Fonts w:ascii="Times New Roman" w:hAnsi="Times New Roman" w:eastAsia="宋体" w:cs="Times New Roman"/>
                      <w:color w:val="000000"/>
                      <w:szCs w:val="21"/>
                    </w:rPr>
                    <w:t>1.3×10</w:t>
                  </w:r>
                  <w:r>
                    <w:rPr>
                      <w:rFonts w:ascii="Times New Roman" w:hAnsi="Times New Roman" w:eastAsia="宋体" w:cs="Times New Roman"/>
                      <w:color w:val="000000"/>
                      <w:szCs w:val="21"/>
                      <w:vertAlign w:val="superscript"/>
                    </w:rPr>
                    <w:t>-5</w:t>
                  </w:r>
                </w:p>
              </w:tc>
              <w:tc>
                <w:tcPr>
                  <w:tcW w:w="511"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1</w:t>
                  </w:r>
                </w:p>
              </w:tc>
              <w:tc>
                <w:tcPr>
                  <w:tcW w:w="599"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1</w:t>
                  </w:r>
                </w:p>
              </w:tc>
              <w:tc>
                <w:tcPr>
                  <w:tcW w:w="871" w:type="pct"/>
                  <w:vMerge w:val="continue"/>
                  <w:tcBorders>
                    <w:tl2br w:val="nil"/>
                    <w:tr2bl w:val="nil"/>
                  </w:tcBorders>
                  <w:shd w:val="clear" w:color="auto" w:fill="auto"/>
                  <w:vAlign w:val="center"/>
                </w:tcPr>
                <w:p>
                  <w:pPr>
                    <w:jc w:val="center"/>
                    <w:rPr>
                      <w:rFonts w:ascii="Times New Roman" w:hAnsi="Times New Roman" w:eastAsia="宋体"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707" w:hRule="exact"/>
                <w:jc w:val="center"/>
              </w:trPr>
              <w:tc>
                <w:tcPr>
                  <w:tcW w:w="626" w:type="pct"/>
                  <w:vMerge w:val="continue"/>
                  <w:tcBorders>
                    <w:tl2br w:val="nil"/>
                    <w:tr2bl w:val="nil"/>
                  </w:tcBorders>
                  <w:shd w:val="clear" w:color="auto" w:fill="auto"/>
                  <w:vAlign w:val="center"/>
                </w:tcPr>
                <w:p>
                  <w:pPr>
                    <w:jc w:val="center"/>
                    <w:rPr>
                      <w:rStyle w:val="34"/>
                      <w:rFonts w:ascii="Times New Roman" w:hAnsi="Times New Roman" w:eastAsia="宋体" w:cs="Times New Roman"/>
                      <w:szCs w:val="21"/>
                    </w:rPr>
                  </w:pPr>
                </w:p>
              </w:tc>
              <w:tc>
                <w:tcPr>
                  <w:tcW w:w="992" w:type="pct"/>
                  <w:vMerge w:val="continue"/>
                  <w:tcBorders>
                    <w:tl2br w:val="nil"/>
                    <w:tr2bl w:val="nil"/>
                  </w:tcBorders>
                  <w:shd w:val="clear" w:color="auto" w:fill="auto"/>
                  <w:vAlign w:val="center"/>
                </w:tcPr>
                <w:p>
                  <w:pPr>
                    <w:jc w:val="center"/>
                    <w:rPr>
                      <w:rStyle w:val="34"/>
                      <w:rFonts w:ascii="Times New Roman" w:hAnsi="Times New Roman" w:eastAsia="宋体" w:cs="Times New Roman"/>
                      <w:szCs w:val="21"/>
                    </w:rPr>
                  </w:pPr>
                </w:p>
              </w:tc>
              <w:tc>
                <w:tcPr>
                  <w:tcW w:w="311" w:type="pct"/>
                  <w:tcBorders>
                    <w:tl2br w:val="nil"/>
                    <w:tr2bl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臭气浓度</w:t>
                  </w:r>
                </w:p>
              </w:tc>
              <w:tc>
                <w:tcPr>
                  <w:tcW w:w="574" w:type="pct"/>
                  <w:tcBorders>
                    <w:tl2br w:val="nil"/>
                    <w:tr2bl w:val="nil"/>
                  </w:tcBorders>
                  <w:shd w:val="clear" w:color="auto" w:fill="auto"/>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514" w:type="pct"/>
                  <w:tcBorders>
                    <w:tl2br w:val="nil"/>
                    <w:tr2bl w:val="nil"/>
                  </w:tcBorders>
                  <w:shd w:val="clear" w:color="auto" w:fill="auto"/>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511"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1</w:t>
                  </w:r>
                </w:p>
              </w:tc>
              <w:tc>
                <w:tcPr>
                  <w:tcW w:w="599" w:type="pct"/>
                  <w:tcBorders>
                    <w:tl2br w:val="nil"/>
                    <w:tr2bl w:val="nil"/>
                  </w:tcBorders>
                  <w:shd w:val="clear" w:color="auto" w:fill="auto"/>
                  <w:vAlign w:val="center"/>
                </w:tcPr>
                <w:p>
                  <w:pPr>
                    <w:jc w:val="center"/>
                    <w:rPr>
                      <w:rStyle w:val="34"/>
                      <w:rFonts w:ascii="Times New Roman" w:hAnsi="Times New Roman" w:eastAsia="宋体" w:cs="Times New Roman"/>
                      <w:szCs w:val="21"/>
                    </w:rPr>
                  </w:pPr>
                  <w:r>
                    <w:rPr>
                      <w:rStyle w:val="34"/>
                      <w:rFonts w:ascii="Times New Roman" w:hAnsi="Times New Roman" w:eastAsia="宋体" w:cs="Times New Roman"/>
                      <w:szCs w:val="21"/>
                    </w:rPr>
                    <w:t>1</w:t>
                  </w:r>
                </w:p>
              </w:tc>
              <w:tc>
                <w:tcPr>
                  <w:tcW w:w="871" w:type="pct"/>
                  <w:vMerge w:val="continue"/>
                  <w:tcBorders>
                    <w:tl2br w:val="nil"/>
                    <w:tr2bl w:val="nil"/>
                  </w:tcBorders>
                  <w:shd w:val="clear" w:color="auto" w:fill="auto"/>
                  <w:vAlign w:val="center"/>
                </w:tcPr>
                <w:p>
                  <w:pPr>
                    <w:jc w:val="center"/>
                    <w:rPr>
                      <w:rFonts w:ascii="Times New Roman" w:hAnsi="Times New Roman" w:eastAsia="宋体" w:cs="Times New Roman"/>
                      <w:szCs w:val="21"/>
                    </w:rPr>
                  </w:pPr>
                </w:p>
              </w:tc>
            </w:tr>
          </w:tbl>
          <w:p>
            <w:pPr>
              <w:pStyle w:val="20"/>
              <w:spacing w:before="0" w:after="0" w:line="360" w:lineRule="auto"/>
              <w:ind w:right="0" w:firstLine="482" w:firstLineChars="200"/>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5</w:t>
            </w:r>
            <w:r>
              <w:rPr>
                <w:rFonts w:ascii="Times New Roman" w:hAnsi="Times New Roman" w:eastAsia="宋体" w:cs="Times New Roman"/>
                <w:b/>
                <w:bCs/>
                <w:color w:val="000000"/>
                <w:sz w:val="24"/>
                <w:szCs w:val="24"/>
              </w:rPr>
              <w:t>、排气口设置情况及监控计划表</w:t>
            </w:r>
          </w:p>
          <w:p>
            <w:pPr>
              <w:pStyle w:val="20"/>
              <w:spacing w:before="0" w:after="0" w:line="360" w:lineRule="auto"/>
              <w:ind w:right="0"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szCs w:val="24"/>
              </w:rPr>
              <w:t>根据《排污单位自行监测技术指南 总则》（HJ819-2017）及《排污许可证申请与核发技术规范 医疗机构》（HJ1105-2020），项目制定</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废气监测计划详见表4-</w:t>
            </w:r>
            <w:r>
              <w:rPr>
                <w:rFonts w:hint="eastAsia" w:ascii="Times New Roman" w:hAnsi="Times New Roman" w:eastAsia="宋体" w:cs="Times New Roman"/>
                <w:color w:val="000000"/>
                <w:sz w:val="24"/>
                <w:szCs w:val="24"/>
              </w:rPr>
              <w:t>7</w:t>
            </w:r>
            <w:r>
              <w:rPr>
                <w:rFonts w:ascii="Times New Roman" w:hAnsi="Times New Roman" w:eastAsia="宋体" w:cs="Times New Roman"/>
                <w:color w:val="000000"/>
                <w:sz w:val="24"/>
                <w:szCs w:val="24"/>
              </w:rPr>
              <w:t>。</w:t>
            </w:r>
          </w:p>
          <w:p>
            <w:pPr>
              <w:widowControl/>
              <w:spacing w:line="360" w:lineRule="auto"/>
              <w:jc w:val="center"/>
              <w:rPr>
                <w:rFonts w:ascii="Times New Roman" w:hAnsi="Times New Roman" w:eastAsia="宋体" w:cs="Times New Roman"/>
                <w:b/>
                <w:bCs/>
                <w:color w:val="FF0000"/>
                <w:sz w:val="24"/>
              </w:rPr>
            </w:pPr>
            <w:bookmarkStart w:id="31" w:name="_Toc23922"/>
            <w:r>
              <w:rPr>
                <w:rFonts w:ascii="Times New Roman" w:hAnsi="Times New Roman" w:eastAsia="宋体" w:cs="Times New Roman"/>
                <w:b/>
                <w:bCs/>
                <w:sz w:val="24"/>
              </w:rPr>
              <w:t>表4-</w:t>
            </w:r>
            <w:r>
              <w:rPr>
                <w:rFonts w:hint="eastAsia" w:ascii="Times New Roman" w:hAnsi="Times New Roman" w:eastAsia="宋体" w:cs="Times New Roman"/>
                <w:b/>
                <w:bCs/>
                <w:sz w:val="24"/>
              </w:rPr>
              <w:t>7运营期</w:t>
            </w:r>
            <w:r>
              <w:rPr>
                <w:rFonts w:ascii="Times New Roman" w:hAnsi="Times New Roman" w:eastAsia="宋体" w:cs="Times New Roman"/>
                <w:b/>
                <w:bCs/>
                <w:sz w:val="24"/>
              </w:rPr>
              <w:t>废气监测</w:t>
            </w:r>
            <w:bookmarkEnd w:id="31"/>
            <w:r>
              <w:rPr>
                <w:rFonts w:hint="eastAsia" w:ascii="Times New Roman" w:hAnsi="Times New Roman" w:eastAsia="宋体" w:cs="Times New Roman"/>
                <w:b/>
                <w:bCs/>
                <w:sz w:val="24"/>
              </w:rPr>
              <w:t>计划表</w:t>
            </w:r>
          </w:p>
          <w:tbl>
            <w:tblPr>
              <w:tblStyle w:val="30"/>
              <w:tblW w:w="4997"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91"/>
              <w:gridCol w:w="1183"/>
              <w:gridCol w:w="1250"/>
              <w:gridCol w:w="506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685" w:type="pct"/>
                  <w:tcBorders>
                    <w:tl2br w:val="nil"/>
                    <w:tr2bl w:val="nil"/>
                  </w:tcBorders>
                  <w:vAlign w:val="center"/>
                </w:tcPr>
                <w:p>
                  <w:pPr>
                    <w:jc w:val="center"/>
                    <w:rPr>
                      <w:rFonts w:ascii="Times New Roman" w:hAnsi="Times New Roman" w:eastAsia="宋体" w:cs="Times New Roman"/>
                      <w:color w:val="000000"/>
                      <w:szCs w:val="21"/>
                    </w:rPr>
                  </w:pPr>
                  <w:bookmarkStart w:id="32" w:name="_Toc20428"/>
                  <w:r>
                    <w:rPr>
                      <w:rFonts w:ascii="Times New Roman" w:hAnsi="Times New Roman" w:eastAsia="宋体" w:cs="Times New Roman"/>
                      <w:color w:val="000000"/>
                      <w:szCs w:val="21"/>
                    </w:rPr>
                    <w:t>监测点位</w:t>
                  </w:r>
                  <w:bookmarkEnd w:id="32"/>
                </w:p>
              </w:tc>
              <w:tc>
                <w:tcPr>
                  <w:tcW w:w="680" w:type="pct"/>
                  <w:tcBorders>
                    <w:tl2br w:val="nil"/>
                    <w:tr2bl w:val="nil"/>
                  </w:tcBorders>
                  <w:vAlign w:val="center"/>
                </w:tcPr>
                <w:p>
                  <w:pPr>
                    <w:jc w:val="center"/>
                    <w:rPr>
                      <w:rFonts w:ascii="Times New Roman" w:hAnsi="Times New Roman" w:eastAsia="宋体" w:cs="Times New Roman"/>
                      <w:color w:val="000000"/>
                      <w:szCs w:val="21"/>
                    </w:rPr>
                  </w:pPr>
                  <w:bookmarkStart w:id="33" w:name="_Toc31149"/>
                  <w:r>
                    <w:rPr>
                      <w:rFonts w:ascii="Times New Roman" w:hAnsi="Times New Roman" w:eastAsia="宋体" w:cs="Times New Roman"/>
                      <w:color w:val="000000"/>
                      <w:szCs w:val="21"/>
                    </w:rPr>
                    <w:t>监测</w:t>
                  </w:r>
                  <w:bookmarkEnd w:id="33"/>
                  <w:r>
                    <w:rPr>
                      <w:rFonts w:ascii="Times New Roman" w:hAnsi="Times New Roman" w:eastAsia="宋体" w:cs="Times New Roman"/>
                      <w:color w:val="000000"/>
                      <w:szCs w:val="21"/>
                    </w:rPr>
                    <w:t>因子</w:t>
                  </w:r>
                </w:p>
              </w:tc>
              <w:tc>
                <w:tcPr>
                  <w:tcW w:w="719" w:type="pct"/>
                  <w:tcBorders>
                    <w:tl2br w:val="nil"/>
                    <w:tr2bl w:val="nil"/>
                  </w:tcBorders>
                  <w:vAlign w:val="center"/>
                </w:tcPr>
                <w:p>
                  <w:pPr>
                    <w:jc w:val="center"/>
                    <w:rPr>
                      <w:rFonts w:ascii="Times New Roman" w:hAnsi="Times New Roman" w:eastAsia="宋体" w:cs="Times New Roman"/>
                      <w:color w:val="000000"/>
                      <w:szCs w:val="21"/>
                    </w:rPr>
                  </w:pPr>
                  <w:bookmarkStart w:id="34" w:name="_Toc6576"/>
                  <w:r>
                    <w:rPr>
                      <w:rFonts w:ascii="Times New Roman" w:hAnsi="Times New Roman" w:eastAsia="宋体" w:cs="Times New Roman"/>
                      <w:color w:val="000000"/>
                      <w:szCs w:val="21"/>
                    </w:rPr>
                    <w:t>监测频次</w:t>
                  </w:r>
                  <w:bookmarkEnd w:id="34"/>
                </w:p>
              </w:tc>
              <w:tc>
                <w:tcPr>
                  <w:tcW w:w="2914" w:type="pct"/>
                  <w:tcBorders>
                    <w:tl2br w:val="nil"/>
                    <w:tr2bl w:val="nil"/>
                  </w:tcBorders>
                  <w:vAlign w:val="center"/>
                </w:tcPr>
                <w:p>
                  <w:pPr>
                    <w:jc w:val="center"/>
                    <w:rPr>
                      <w:rFonts w:ascii="Times New Roman" w:hAnsi="Times New Roman" w:eastAsia="宋体" w:cs="Times New Roman"/>
                      <w:color w:val="000000"/>
                      <w:szCs w:val="21"/>
                    </w:rPr>
                  </w:pPr>
                  <w:bookmarkStart w:id="35" w:name="_Toc16223"/>
                  <w:r>
                    <w:rPr>
                      <w:rFonts w:ascii="Times New Roman" w:hAnsi="Times New Roman" w:eastAsia="宋体" w:cs="Times New Roman"/>
                      <w:color w:val="000000"/>
                      <w:szCs w:val="21"/>
                    </w:rPr>
                    <w:t>执行排放标准</w:t>
                  </w:r>
                  <w:bookmarkEnd w:id="35"/>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890" w:hRule="atLeast"/>
              </w:trPr>
              <w:tc>
                <w:tcPr>
                  <w:tcW w:w="685" w:type="pct"/>
                  <w:tcBorders>
                    <w:tl2br w:val="nil"/>
                    <w:tr2bl w:val="nil"/>
                  </w:tcBorders>
                  <w:vAlign w:val="center"/>
                </w:tcPr>
                <w:p>
                  <w:pPr>
                    <w:jc w:val="center"/>
                    <w:rPr>
                      <w:rFonts w:ascii="Times New Roman" w:hAnsi="Times New Roman" w:eastAsia="宋体" w:cs="Times New Roman"/>
                      <w:color w:val="000000"/>
                      <w:szCs w:val="21"/>
                    </w:rPr>
                  </w:pPr>
                  <w:r>
                    <w:rPr>
                      <w:rStyle w:val="34"/>
                      <w:rFonts w:ascii="Times New Roman" w:hAnsi="Times New Roman" w:eastAsia="宋体" w:cs="Times New Roman"/>
                    </w:rPr>
                    <w:t>污水站周边废气</w:t>
                  </w:r>
                </w:p>
              </w:tc>
              <w:tc>
                <w:tcPr>
                  <w:tcW w:w="680"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t>
                  </w:r>
                  <w:r>
                    <w:rPr>
                      <w:rFonts w:ascii="Times New Roman" w:hAnsi="Times New Roman" w:eastAsia="宋体" w:cs="Times New Roman"/>
                      <w:color w:val="000000"/>
                      <w:szCs w:val="21"/>
                      <w:vertAlign w:val="subscript"/>
                    </w:rPr>
                    <w:t>2</w:t>
                  </w:r>
                  <w:r>
                    <w:rPr>
                      <w:rFonts w:ascii="Times New Roman" w:hAnsi="Times New Roman" w:eastAsia="宋体" w:cs="Times New Roman"/>
                      <w:color w:val="000000"/>
                      <w:szCs w:val="21"/>
                    </w:rPr>
                    <w:t>S、NH</w:t>
                  </w:r>
                  <w:r>
                    <w:rPr>
                      <w:rFonts w:ascii="Times New Roman" w:hAnsi="Times New Roman" w:eastAsia="宋体" w:cs="Times New Roman"/>
                      <w:color w:val="000000"/>
                      <w:szCs w:val="21"/>
                      <w:vertAlign w:val="subscript"/>
                    </w:rPr>
                    <w:t>3</w:t>
                  </w:r>
                  <w:r>
                    <w:rPr>
                      <w:rFonts w:ascii="Times New Roman" w:hAnsi="Times New Roman" w:eastAsia="宋体" w:cs="Times New Roman"/>
                      <w:color w:val="000000"/>
                      <w:szCs w:val="21"/>
                    </w:rPr>
                    <w:t>、臭气浓度</w:t>
                  </w:r>
                </w:p>
              </w:tc>
              <w:tc>
                <w:tcPr>
                  <w:tcW w:w="719" w:type="pct"/>
                  <w:tcBorders>
                    <w:tl2br w:val="nil"/>
                    <w:tr2bl w:val="nil"/>
                  </w:tcBorders>
                  <w:vAlign w:val="center"/>
                </w:tcPr>
                <w:p>
                  <w:pPr>
                    <w:jc w:val="center"/>
                    <w:rPr>
                      <w:rFonts w:ascii="Times New Roman" w:hAnsi="Times New Roman" w:eastAsia="宋体" w:cs="Times New Roman"/>
                      <w:color w:val="000000"/>
                      <w:szCs w:val="21"/>
                    </w:rPr>
                  </w:pPr>
                  <w:bookmarkStart w:id="36" w:name="_Toc25518"/>
                  <w:r>
                    <w:rPr>
                      <w:rFonts w:ascii="Times New Roman" w:hAnsi="Times New Roman" w:eastAsia="宋体" w:cs="Times New Roman"/>
                      <w:color w:val="000000"/>
                      <w:szCs w:val="21"/>
                    </w:rPr>
                    <w:t>每季度一次</w:t>
                  </w:r>
                  <w:bookmarkEnd w:id="36"/>
                </w:p>
              </w:tc>
              <w:tc>
                <w:tcPr>
                  <w:tcW w:w="2914" w:type="pct"/>
                  <w:tcBorders>
                    <w:tl2br w:val="nil"/>
                    <w:tr2bl w:val="nil"/>
                  </w:tcBorders>
                  <w:vAlign w:val="center"/>
                </w:tcPr>
                <w:p>
                  <w:pPr>
                    <w:jc w:val="center"/>
                    <w:rPr>
                      <w:rFonts w:ascii="Times New Roman" w:hAnsi="Times New Roman" w:eastAsia="宋体" w:cs="Times New Roman"/>
                      <w:color w:val="000000"/>
                      <w:szCs w:val="21"/>
                    </w:rPr>
                  </w:pPr>
                  <w:bookmarkStart w:id="37" w:name="_Toc9717"/>
                  <w:r>
                    <w:rPr>
                      <w:rFonts w:ascii="Times New Roman" w:hAnsi="Times New Roman" w:eastAsia="宋体" w:cs="Times New Roman"/>
                      <w:color w:val="000000"/>
                      <w:szCs w:val="21"/>
                    </w:rPr>
                    <w:t>《医疗机构水污染物排放标准》（GB18466-2005）表3污水处理站周边大气污染物最高允许浓度</w:t>
                  </w:r>
                  <w:bookmarkEnd w:id="37"/>
                </w:p>
              </w:tc>
            </w:tr>
          </w:tbl>
          <w:p>
            <w:pPr>
              <w:snapToGrid w:val="0"/>
              <w:spacing w:line="360" w:lineRule="auto"/>
              <w:rPr>
                <w:rFonts w:ascii="Times New Roman" w:hAnsi="Times New Roman" w:eastAsia="宋体" w:cs="Times New Roman"/>
                <w:b/>
                <w:bCs/>
                <w:snapToGrid w:val="0"/>
                <w:color w:val="000000"/>
                <w:sz w:val="24"/>
              </w:rPr>
            </w:pPr>
            <w:r>
              <w:rPr>
                <w:rFonts w:ascii="Times New Roman" w:hAnsi="Times New Roman" w:eastAsia="宋体" w:cs="Times New Roman"/>
                <w:b/>
                <w:bCs/>
                <w:color w:val="000000"/>
                <w:sz w:val="24"/>
              </w:rPr>
              <w:t>二</w:t>
            </w:r>
            <w:r>
              <w:rPr>
                <w:rFonts w:ascii="Times New Roman" w:hAnsi="Times New Roman" w:eastAsia="宋体" w:cs="Times New Roman"/>
                <w:b/>
                <w:bCs/>
                <w:snapToGrid w:val="0"/>
                <w:color w:val="000000"/>
                <w:sz w:val="24"/>
              </w:rPr>
              <w:t>、废水影响分析：</w:t>
            </w:r>
          </w:p>
          <w:p>
            <w:pPr>
              <w:pStyle w:val="39"/>
              <w:snapToGrid w:val="0"/>
              <w:spacing w:line="360" w:lineRule="auto"/>
              <w:ind w:firstLine="482" w:firstLineChars="200"/>
              <w:rPr>
                <w:rFonts w:ascii="Times New Roman" w:hAnsi="Times New Roman" w:eastAsia="宋体" w:cs="Times New Roman"/>
                <w:b/>
                <w:bCs/>
                <w:snapToGrid w:val="0"/>
                <w:color w:val="000000"/>
                <w:sz w:val="24"/>
              </w:rPr>
            </w:pPr>
            <w:r>
              <w:rPr>
                <w:rFonts w:ascii="Times New Roman" w:hAnsi="Times New Roman" w:eastAsia="宋体" w:cs="Times New Roman"/>
                <w:b/>
                <w:bCs/>
                <w:snapToGrid w:val="0"/>
                <w:color w:val="000000"/>
                <w:sz w:val="24"/>
              </w:rPr>
              <w:t>1、项目废水源强估算</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运营期产生的废水主要为生活污水、医疗废水和雨水，项目实施雨污分流，雨水收集后排入市政雨水管网，医疗废水（检验科废水经中和预处理）、生活污水经三级化粪池和医院自建污水处理站预处理后排入市政污水管网。</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rPr>
              <w:t>项目职工就餐依托湛江市养老服务中心的员工食堂，产生的食堂废水依托湛江市养老服务中心的三级化粪池、隔油池进行处理后，达到广东省《水污染物排放限值》（DB44/26-2001）第二时段三级标准，直接排入市政管网。</w:t>
            </w:r>
          </w:p>
          <w:p>
            <w:pPr>
              <w:pStyle w:val="39"/>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（1）生活污水</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项目运营期生活污水来自医院后勤职工废水和员工食堂废水等排放的污水，主要污染因子包括COD</w:t>
            </w:r>
            <w:r>
              <w:rPr>
                <w:rFonts w:ascii="Times New Roman" w:hAnsi="Times New Roman" w:eastAsia="宋体" w:cs="Times New Roman"/>
                <w:color w:val="000000"/>
                <w:sz w:val="24"/>
                <w:szCs w:val="24"/>
                <w:vertAlign w:val="subscript"/>
              </w:rPr>
              <w:t>cr</w:t>
            </w:r>
            <w:r>
              <w:rPr>
                <w:rFonts w:ascii="Times New Roman" w:hAnsi="Times New Roman" w:eastAsia="宋体" w:cs="Times New Roman"/>
                <w:color w:val="000000"/>
                <w:sz w:val="24"/>
                <w:szCs w:val="24"/>
              </w:rPr>
              <w:t>、BOD</w:t>
            </w:r>
            <w:r>
              <w:rPr>
                <w:rFonts w:ascii="Times New Roman" w:hAnsi="Times New Roman" w:eastAsia="宋体" w:cs="Times New Roman"/>
                <w:color w:val="000000"/>
                <w:sz w:val="24"/>
                <w:szCs w:val="24"/>
                <w:vertAlign w:val="subscript"/>
              </w:rPr>
              <w:t>5</w:t>
            </w:r>
            <w:r>
              <w:rPr>
                <w:rFonts w:ascii="Times New Roman" w:hAnsi="Times New Roman" w:eastAsia="宋体" w:cs="Times New Roman"/>
                <w:color w:val="000000"/>
                <w:sz w:val="24"/>
                <w:szCs w:val="24"/>
              </w:rPr>
              <w:t>、SS、NH</w:t>
            </w:r>
            <w:r>
              <w:rPr>
                <w:rFonts w:ascii="Times New Roman" w:hAnsi="Times New Roman" w:eastAsia="宋体" w:cs="Times New Roman"/>
                <w:color w:val="000000"/>
                <w:sz w:val="24"/>
                <w:szCs w:val="24"/>
                <w:vertAlign w:val="subscript"/>
              </w:rPr>
              <w:t>3</w:t>
            </w:r>
            <w:r>
              <w:rPr>
                <w:rFonts w:ascii="Times New Roman" w:hAnsi="Times New Roman" w:eastAsia="宋体" w:cs="Times New Roman"/>
                <w:color w:val="000000"/>
                <w:sz w:val="24"/>
                <w:szCs w:val="24"/>
              </w:rPr>
              <w:t>-N</w:t>
            </w:r>
            <w:r>
              <w:rPr>
                <w:rFonts w:hint="eastAsia" w:ascii="Times New Roman" w:hAnsi="Times New Roman" w:eastAsia="宋体" w:cs="Times New Roman"/>
                <w:color w:val="000000"/>
                <w:sz w:val="24"/>
                <w:szCs w:val="24"/>
                <w:lang w:eastAsia="zh-CN"/>
              </w:rPr>
              <w:t>、</w:t>
            </w:r>
            <w:r>
              <w:rPr>
                <w:rFonts w:hint="eastAsia" w:ascii="Times New Roman" w:hAnsi="Times New Roman" w:eastAsia="宋体" w:cs="Times New Roman"/>
                <w:color w:val="000000"/>
                <w:sz w:val="24"/>
                <w:szCs w:val="24"/>
                <w:lang w:val="en-US" w:eastAsia="zh-CN"/>
              </w:rPr>
              <w:t>动植物油</w:t>
            </w:r>
            <w:r>
              <w:rPr>
                <w:rFonts w:ascii="Times New Roman" w:hAnsi="Times New Roman" w:eastAsia="宋体" w:cs="Times New Roman"/>
                <w:color w:val="000000"/>
                <w:sz w:val="24"/>
                <w:szCs w:val="24"/>
              </w:rPr>
              <w:t>等。</w:t>
            </w:r>
          </w:p>
          <w:p>
            <w:pPr>
              <w:pStyle w:val="39"/>
              <w:widowControl/>
              <w:wordWrap w:val="0"/>
              <w:autoSpaceDE/>
              <w:autoSpaceDN/>
              <w:snapToGrid w:val="0"/>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①医院后勤职工废水</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项目运营期医院后勤职工用水主要为普通清洗、饮用和冲厕等，根据《综合医院建筑设计规范》（GB51039-2014）表6.2.2，医院后勤职工用水定额为80~100L/人·班，项目医院后勤职工用水取</w:t>
            </w:r>
            <w:r>
              <w:rPr>
                <w:rFonts w:hint="eastAsia" w:ascii="Times New Roman" w:hAnsi="Times New Roman" w:eastAsia="宋体" w:cs="Times New Roman"/>
                <w:color w:val="000000"/>
                <w:sz w:val="24"/>
                <w:szCs w:val="24"/>
                <w:lang w:val="en-US" w:eastAsia="zh-CN"/>
              </w:rPr>
              <w:t>90</w:t>
            </w:r>
            <w:r>
              <w:rPr>
                <w:rFonts w:ascii="Times New Roman" w:hAnsi="Times New Roman" w:eastAsia="宋体" w:cs="Times New Roman"/>
                <w:color w:val="000000"/>
                <w:sz w:val="24"/>
                <w:szCs w:val="24"/>
              </w:rPr>
              <w:t>L/人·班，项目的后勤职工为3人，则医院后勤职工用水量为0.2</w:t>
            </w:r>
            <w:r>
              <w:rPr>
                <w:rFonts w:hint="eastAsia" w:ascii="Times New Roman" w:hAnsi="Times New Roman" w:eastAsia="宋体" w:cs="Times New Roman"/>
                <w:color w:val="000000"/>
                <w:sz w:val="24"/>
                <w:szCs w:val="24"/>
                <w:lang w:val="en-US" w:eastAsia="zh-CN"/>
              </w:rPr>
              <w:t>7</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lang w:val="en-US" w:eastAsia="zh-CN"/>
              </w:rPr>
              <w:t>98.6</w:t>
            </w:r>
            <w:r>
              <w:rPr>
                <w:rFonts w:ascii="Times New Roman" w:hAnsi="Times New Roman" w:eastAsia="宋体" w:cs="Times New Roman"/>
                <w:color w:val="000000"/>
                <w:sz w:val="24"/>
                <w:szCs w:val="24"/>
              </w:rPr>
              <w:t>m³/a；医院后勤职工废水产污系数取0.9计，则医院后勤职废水量为0.2</w:t>
            </w:r>
            <w:r>
              <w:rPr>
                <w:rFonts w:hint="eastAsia" w:ascii="Times New Roman" w:hAnsi="Times New Roman" w:eastAsia="宋体" w:cs="Times New Roman"/>
                <w:color w:val="000000"/>
                <w:sz w:val="24"/>
                <w:szCs w:val="24"/>
                <w:lang w:val="en-US" w:eastAsia="zh-CN"/>
              </w:rPr>
              <w:t>4</w:t>
            </w:r>
            <w:r>
              <w:rPr>
                <w:rFonts w:ascii="Times New Roman" w:hAnsi="Times New Roman" w:eastAsia="宋体" w:cs="Times New Roman"/>
                <w:color w:val="000000"/>
                <w:sz w:val="24"/>
                <w:szCs w:val="24"/>
              </w:rPr>
              <w:t>m</w:t>
            </w:r>
            <w:r>
              <w:rPr>
                <w:rFonts w:ascii="Times New Roman" w:hAnsi="Times New Roman" w:eastAsia="宋体" w:cs="Times New Roman"/>
                <w:color w:val="000000"/>
                <w:sz w:val="24"/>
                <w:szCs w:val="24"/>
                <w:vertAlign w:val="superscript"/>
              </w:rPr>
              <w:t>3</w:t>
            </w:r>
            <w:r>
              <w:rPr>
                <w:rFonts w:ascii="Times New Roman" w:hAnsi="Times New Roman" w:eastAsia="宋体" w:cs="Times New Roman"/>
                <w:color w:val="000000"/>
                <w:sz w:val="24"/>
                <w:szCs w:val="24"/>
              </w:rPr>
              <w:t>/d，</w:t>
            </w:r>
            <w:r>
              <w:rPr>
                <w:rFonts w:hint="eastAsia" w:ascii="Times New Roman" w:hAnsi="Times New Roman" w:eastAsia="宋体" w:cs="Times New Roman"/>
                <w:color w:val="000000"/>
                <w:sz w:val="24"/>
                <w:szCs w:val="24"/>
                <w:lang w:val="en-US" w:eastAsia="zh-CN"/>
              </w:rPr>
              <w:t>88.7</w:t>
            </w:r>
            <w:r>
              <w:rPr>
                <w:rFonts w:ascii="Times New Roman" w:hAnsi="Times New Roman" w:eastAsia="宋体" w:cs="Times New Roman"/>
                <w:color w:val="000000"/>
                <w:sz w:val="24"/>
                <w:szCs w:val="24"/>
              </w:rPr>
              <w:t>m³/a。</w:t>
            </w:r>
          </w:p>
          <w:p>
            <w:pPr>
              <w:pStyle w:val="39"/>
              <w:widowControl/>
              <w:wordWrap w:val="0"/>
              <w:autoSpaceDE/>
              <w:autoSpaceDN/>
              <w:snapToGrid w:val="0"/>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②员工食堂废水</w:t>
            </w:r>
          </w:p>
          <w:p>
            <w:pPr>
              <w:pStyle w:val="20"/>
              <w:spacing w:before="0" w:after="0" w:line="360" w:lineRule="auto"/>
              <w:ind w:right="0" w:firstLine="480" w:firstLineChars="200"/>
              <w:rPr>
                <w:rFonts w:ascii="Times New Roman" w:hAnsi="Times New Roman" w:eastAsia="宋体" w:cs="Times New Roman"/>
                <w:b/>
                <w:bCs/>
                <w:color w:val="000000"/>
                <w:sz w:val="24"/>
              </w:rPr>
            </w:pPr>
            <w:r>
              <w:rPr>
                <w:rFonts w:ascii="Times New Roman" w:hAnsi="Times New Roman" w:eastAsia="宋体" w:cs="Times New Roman"/>
                <w:color w:val="000000"/>
                <w:sz w:val="24"/>
                <w:szCs w:val="24"/>
              </w:rPr>
              <w:t>根据《综合医院建筑设计规范》（GB51039-2014）表6.2.2，员工食堂用水定额为20~25L/人·次，项目员工食堂用水取</w:t>
            </w:r>
            <w:r>
              <w:rPr>
                <w:rFonts w:hint="eastAsia" w:ascii="Times New Roman" w:hAnsi="Times New Roman" w:eastAsia="宋体" w:cs="Times New Roman"/>
                <w:color w:val="000000"/>
                <w:sz w:val="24"/>
                <w:szCs w:val="24"/>
                <w:lang w:val="en-US" w:eastAsia="zh-CN"/>
              </w:rPr>
              <w:t>22.5</w:t>
            </w:r>
            <w:r>
              <w:rPr>
                <w:rFonts w:ascii="Times New Roman" w:hAnsi="Times New Roman" w:eastAsia="宋体" w:cs="Times New Roman"/>
                <w:color w:val="000000"/>
                <w:sz w:val="24"/>
                <w:szCs w:val="24"/>
              </w:rPr>
              <w:t>L/人·次，项目员工食堂用餐人数为88人/d，则员工食堂用水量为</w:t>
            </w:r>
            <w:r>
              <w:rPr>
                <w:rFonts w:hint="eastAsia" w:ascii="Times New Roman" w:hAnsi="Times New Roman" w:eastAsia="宋体" w:cs="Times New Roman"/>
                <w:color w:val="000000"/>
                <w:sz w:val="24"/>
                <w:szCs w:val="24"/>
                <w:lang w:val="en-US" w:eastAsia="zh-CN"/>
              </w:rPr>
              <w:t>1.98</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lang w:val="en-US" w:eastAsia="zh-CN"/>
              </w:rPr>
              <w:t>722.7</w:t>
            </w:r>
            <w:r>
              <w:rPr>
                <w:rFonts w:ascii="Times New Roman" w:hAnsi="Times New Roman" w:eastAsia="宋体" w:cs="Times New Roman"/>
                <w:color w:val="000000"/>
                <w:sz w:val="24"/>
                <w:szCs w:val="24"/>
              </w:rPr>
              <w:t>m³/a，员工食堂废水产污系数取0.9计，则员工食堂废水量为</w:t>
            </w:r>
            <w:r>
              <w:rPr>
                <w:rFonts w:hint="eastAsia" w:ascii="Times New Roman" w:hAnsi="Times New Roman" w:eastAsia="宋体" w:cs="Times New Roman"/>
                <w:color w:val="000000"/>
                <w:sz w:val="24"/>
                <w:szCs w:val="24"/>
                <w:lang w:val="en-US" w:eastAsia="zh-CN"/>
              </w:rPr>
              <w:t>1.78</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lang w:val="en-US" w:eastAsia="zh-CN"/>
              </w:rPr>
              <w:t>650.4</w:t>
            </w:r>
            <w:r>
              <w:rPr>
                <w:rFonts w:ascii="Times New Roman" w:hAnsi="Times New Roman" w:eastAsia="宋体" w:cs="Times New Roman"/>
                <w:color w:val="000000"/>
                <w:sz w:val="24"/>
                <w:szCs w:val="24"/>
              </w:rPr>
              <w:t>m³/a。</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表4-</w:t>
            </w:r>
            <w:r>
              <w:rPr>
                <w:rFonts w:hint="eastAsia" w:ascii="Times New Roman" w:hAnsi="Times New Roman" w:eastAsia="宋体" w:cs="Times New Roman"/>
                <w:b/>
                <w:bCs/>
                <w:color w:val="000000"/>
                <w:sz w:val="24"/>
              </w:rPr>
              <w:t>8</w:t>
            </w:r>
            <w:r>
              <w:rPr>
                <w:rFonts w:ascii="Times New Roman" w:hAnsi="Times New Roman" w:eastAsia="宋体" w:cs="Times New Roman"/>
                <w:b/>
                <w:bCs/>
                <w:color w:val="000000"/>
                <w:sz w:val="24"/>
              </w:rPr>
              <w:t>项目运营期生活用水量与排水量预测一览表</w:t>
            </w:r>
          </w:p>
          <w:tbl>
            <w:tblPr>
              <w:tblStyle w:val="2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32"/>
              <w:gridCol w:w="755"/>
              <w:gridCol w:w="1176"/>
              <w:gridCol w:w="920"/>
              <w:gridCol w:w="1039"/>
              <w:gridCol w:w="1047"/>
              <w:gridCol w:w="871"/>
              <w:gridCol w:w="105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1053" w:type="pct"/>
                  <w:vMerge w:val="restar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用水项目</w:t>
                  </w:r>
                </w:p>
              </w:tc>
              <w:tc>
                <w:tcPr>
                  <w:tcW w:w="434" w:type="pct"/>
                  <w:vMerge w:val="restar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数量</w:t>
                  </w:r>
                </w:p>
              </w:tc>
              <w:tc>
                <w:tcPr>
                  <w:tcW w:w="676" w:type="pct"/>
                  <w:vMerge w:val="restar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用水标准</w:t>
                  </w:r>
                </w:p>
              </w:tc>
              <w:tc>
                <w:tcPr>
                  <w:tcW w:w="1126" w:type="pct"/>
                  <w:gridSpan w:val="2"/>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用水量</w:t>
                  </w:r>
                </w:p>
              </w:tc>
              <w:tc>
                <w:tcPr>
                  <w:tcW w:w="602" w:type="pct"/>
                  <w:vMerge w:val="restar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产污</w:t>
                  </w:r>
                </w:p>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系数</w:t>
                  </w:r>
                </w:p>
              </w:tc>
              <w:tc>
                <w:tcPr>
                  <w:tcW w:w="1106" w:type="pct"/>
                  <w:gridSpan w:val="2"/>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排放量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1053" w:type="pct"/>
                  <w:vMerge w:val="continue"/>
                  <w:vAlign w:val="center"/>
                </w:tcPr>
                <w:p>
                  <w:pPr>
                    <w:adjustRightInd w:val="0"/>
                    <w:snapToGrid w:val="0"/>
                    <w:jc w:val="center"/>
                    <w:rPr>
                      <w:rFonts w:ascii="Times New Roman" w:hAnsi="Times New Roman" w:eastAsia="宋体" w:cs="Times New Roman"/>
                      <w:color w:val="000000"/>
                      <w:szCs w:val="21"/>
                    </w:rPr>
                  </w:pPr>
                </w:p>
              </w:tc>
              <w:tc>
                <w:tcPr>
                  <w:tcW w:w="434" w:type="pct"/>
                  <w:vMerge w:val="continue"/>
                  <w:vAlign w:val="center"/>
                </w:tcPr>
                <w:p>
                  <w:pPr>
                    <w:adjustRightInd w:val="0"/>
                    <w:snapToGrid w:val="0"/>
                    <w:jc w:val="center"/>
                    <w:rPr>
                      <w:rFonts w:ascii="Times New Roman" w:hAnsi="Times New Roman" w:eastAsia="宋体" w:cs="Times New Roman"/>
                      <w:color w:val="000000"/>
                      <w:szCs w:val="21"/>
                    </w:rPr>
                  </w:pPr>
                </w:p>
              </w:tc>
              <w:tc>
                <w:tcPr>
                  <w:tcW w:w="676" w:type="pct"/>
                  <w:vMerge w:val="continue"/>
                  <w:vAlign w:val="center"/>
                </w:tcPr>
                <w:p>
                  <w:pPr>
                    <w:adjustRightInd w:val="0"/>
                    <w:snapToGrid w:val="0"/>
                    <w:jc w:val="center"/>
                    <w:rPr>
                      <w:rFonts w:ascii="Times New Roman" w:hAnsi="Times New Roman" w:eastAsia="宋体" w:cs="Times New Roman"/>
                      <w:color w:val="000000"/>
                      <w:szCs w:val="21"/>
                    </w:rPr>
                  </w:pPr>
                </w:p>
              </w:tc>
              <w:tc>
                <w:tcPr>
                  <w:tcW w:w="529" w:type="pc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m</w:t>
                  </w:r>
                  <w:r>
                    <w:rPr>
                      <w:rFonts w:ascii="Times New Roman" w:hAnsi="Times New Roman" w:eastAsia="宋体" w:cs="Times New Roman"/>
                      <w:bCs/>
                      <w:color w:val="000000"/>
                      <w:szCs w:val="21"/>
                      <w:vertAlign w:val="superscript"/>
                    </w:rPr>
                    <w:t>3</w:t>
                  </w:r>
                  <w:r>
                    <w:rPr>
                      <w:rFonts w:ascii="Times New Roman" w:hAnsi="Times New Roman" w:eastAsia="宋体" w:cs="Times New Roman"/>
                      <w:color w:val="000000"/>
                      <w:szCs w:val="21"/>
                    </w:rPr>
                    <w:t>/d</w:t>
                  </w:r>
                </w:p>
              </w:tc>
              <w:tc>
                <w:tcPr>
                  <w:tcW w:w="596" w:type="pc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m</w:t>
                  </w:r>
                  <w:r>
                    <w:rPr>
                      <w:rFonts w:ascii="Times New Roman" w:hAnsi="Times New Roman" w:eastAsia="宋体" w:cs="Times New Roman"/>
                      <w:bCs/>
                      <w:color w:val="000000"/>
                      <w:szCs w:val="21"/>
                      <w:vertAlign w:val="superscript"/>
                    </w:rPr>
                    <w:t>3</w:t>
                  </w:r>
                  <w:r>
                    <w:rPr>
                      <w:rFonts w:ascii="Times New Roman" w:hAnsi="Times New Roman" w:eastAsia="宋体" w:cs="Times New Roman"/>
                      <w:color w:val="000000"/>
                      <w:szCs w:val="21"/>
                    </w:rPr>
                    <w:t>/a</w:t>
                  </w:r>
                </w:p>
              </w:tc>
              <w:tc>
                <w:tcPr>
                  <w:tcW w:w="602" w:type="pct"/>
                  <w:vMerge w:val="continue"/>
                  <w:vAlign w:val="center"/>
                </w:tcPr>
                <w:p>
                  <w:pPr>
                    <w:adjustRightInd w:val="0"/>
                    <w:snapToGrid w:val="0"/>
                    <w:jc w:val="center"/>
                    <w:rPr>
                      <w:rFonts w:ascii="Times New Roman" w:hAnsi="Times New Roman" w:eastAsia="宋体" w:cs="Times New Roman"/>
                      <w:color w:val="000000"/>
                      <w:szCs w:val="21"/>
                    </w:rPr>
                  </w:pPr>
                </w:p>
              </w:tc>
              <w:tc>
                <w:tcPr>
                  <w:tcW w:w="500" w:type="pc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m</w:t>
                  </w:r>
                  <w:r>
                    <w:rPr>
                      <w:rFonts w:ascii="Times New Roman" w:hAnsi="Times New Roman" w:eastAsia="宋体" w:cs="Times New Roman"/>
                      <w:bCs/>
                      <w:color w:val="000000"/>
                      <w:szCs w:val="21"/>
                      <w:vertAlign w:val="superscript"/>
                    </w:rPr>
                    <w:t>3</w:t>
                  </w:r>
                  <w:r>
                    <w:rPr>
                      <w:rFonts w:ascii="Times New Roman" w:hAnsi="Times New Roman" w:eastAsia="宋体" w:cs="Times New Roman"/>
                      <w:color w:val="000000"/>
                      <w:szCs w:val="21"/>
                    </w:rPr>
                    <w:t>/d</w:t>
                  </w:r>
                </w:p>
              </w:tc>
              <w:tc>
                <w:tcPr>
                  <w:tcW w:w="606" w:type="pc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bCs/>
                      <w:color w:val="000000"/>
                      <w:szCs w:val="21"/>
                    </w:rPr>
                    <w:t>m</w:t>
                  </w:r>
                  <w:r>
                    <w:rPr>
                      <w:rFonts w:ascii="Times New Roman" w:hAnsi="Times New Roman" w:eastAsia="宋体" w:cs="Times New Roman"/>
                      <w:bCs/>
                      <w:color w:val="000000"/>
                      <w:szCs w:val="21"/>
                      <w:vertAlign w:val="superscript"/>
                    </w:rPr>
                    <w:t>3</w:t>
                  </w:r>
                  <w:r>
                    <w:rPr>
                      <w:rFonts w:ascii="Times New Roman" w:hAnsi="Times New Roman" w:eastAsia="宋体" w:cs="Times New Roman"/>
                      <w:color w:val="000000"/>
                      <w:szCs w:val="21"/>
                    </w:rPr>
                    <w: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53"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医院后勤职工用水</w:t>
                  </w:r>
                </w:p>
              </w:tc>
              <w:tc>
                <w:tcPr>
                  <w:tcW w:w="434"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3人</w:t>
                  </w:r>
                </w:p>
              </w:tc>
              <w:tc>
                <w:tcPr>
                  <w:tcW w:w="676" w:type="pct"/>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90</w:t>
                  </w:r>
                  <w:r>
                    <w:rPr>
                      <w:rFonts w:ascii="Times New Roman" w:hAnsi="Times New Roman" w:eastAsia="宋体" w:cs="Times New Roman"/>
                      <w:color w:val="000000"/>
                      <w:szCs w:val="21"/>
                    </w:rPr>
                    <w:t>L/人·班</w:t>
                  </w:r>
                </w:p>
              </w:tc>
              <w:tc>
                <w:tcPr>
                  <w:tcW w:w="529" w:type="pct"/>
                  <w:vAlign w:val="center"/>
                </w:tcPr>
                <w:p>
                  <w:pPr>
                    <w:widowControl/>
                    <w:jc w:val="center"/>
                    <w:textAlignment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0.27</w:t>
                  </w:r>
                </w:p>
              </w:tc>
              <w:tc>
                <w:tcPr>
                  <w:tcW w:w="596"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98.6</w:t>
                  </w:r>
                </w:p>
              </w:tc>
              <w:tc>
                <w:tcPr>
                  <w:tcW w:w="602" w:type="pct"/>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0.9</w:t>
                  </w:r>
                </w:p>
              </w:tc>
              <w:tc>
                <w:tcPr>
                  <w:tcW w:w="500"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0.24</w:t>
                  </w:r>
                </w:p>
              </w:tc>
              <w:tc>
                <w:tcPr>
                  <w:tcW w:w="606"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88.7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53"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员工食堂用水</w:t>
                  </w:r>
                </w:p>
              </w:tc>
              <w:tc>
                <w:tcPr>
                  <w:tcW w:w="434"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88人</w:t>
                  </w:r>
                </w:p>
              </w:tc>
              <w:tc>
                <w:tcPr>
                  <w:tcW w:w="676" w:type="pct"/>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22.5</w:t>
                  </w:r>
                  <w:r>
                    <w:rPr>
                      <w:rFonts w:ascii="Times New Roman" w:hAnsi="Times New Roman" w:eastAsia="宋体" w:cs="Times New Roman"/>
                      <w:color w:val="000000"/>
                      <w:szCs w:val="21"/>
                    </w:rPr>
                    <w:t>L人·次</w:t>
                  </w:r>
                </w:p>
              </w:tc>
              <w:tc>
                <w:tcPr>
                  <w:tcW w:w="529"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1.98</w:t>
                  </w:r>
                </w:p>
              </w:tc>
              <w:tc>
                <w:tcPr>
                  <w:tcW w:w="596"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722.7</w:t>
                  </w:r>
                </w:p>
              </w:tc>
              <w:tc>
                <w:tcPr>
                  <w:tcW w:w="602" w:type="pct"/>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0.9</w:t>
                  </w:r>
                </w:p>
              </w:tc>
              <w:tc>
                <w:tcPr>
                  <w:tcW w:w="500"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1.78</w:t>
                  </w:r>
                </w:p>
              </w:tc>
              <w:tc>
                <w:tcPr>
                  <w:tcW w:w="606"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650.4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53"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合计</w:t>
                  </w:r>
                </w:p>
              </w:tc>
              <w:tc>
                <w:tcPr>
                  <w:tcW w:w="1110" w:type="pct"/>
                  <w:gridSpan w:val="2"/>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529"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2.25</w:t>
                  </w:r>
                </w:p>
              </w:tc>
              <w:tc>
                <w:tcPr>
                  <w:tcW w:w="596"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821.3</w:t>
                  </w:r>
                </w:p>
              </w:tc>
              <w:tc>
                <w:tcPr>
                  <w:tcW w:w="602" w:type="pct"/>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w:t>
                  </w:r>
                </w:p>
              </w:tc>
              <w:tc>
                <w:tcPr>
                  <w:tcW w:w="500"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2.03</w:t>
                  </w:r>
                </w:p>
              </w:tc>
              <w:tc>
                <w:tcPr>
                  <w:tcW w:w="606"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739.1</w:t>
                  </w:r>
                </w:p>
              </w:tc>
            </w:tr>
          </w:tbl>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生活污水主要污染物是COD</w:t>
            </w:r>
            <w:r>
              <w:rPr>
                <w:rFonts w:ascii="Times New Roman" w:hAnsi="Times New Roman" w:eastAsia="宋体" w:cs="Times New Roman"/>
                <w:color w:val="000000"/>
                <w:sz w:val="24"/>
                <w:szCs w:val="24"/>
                <w:vertAlign w:val="subscript"/>
              </w:rPr>
              <w:t>cr</w:t>
            </w:r>
            <w:r>
              <w:rPr>
                <w:rFonts w:ascii="Times New Roman" w:hAnsi="Times New Roman" w:eastAsia="宋体" w:cs="Times New Roman"/>
                <w:color w:val="000000"/>
                <w:sz w:val="24"/>
                <w:szCs w:val="24"/>
              </w:rPr>
              <w:t>、BOD</w:t>
            </w:r>
            <w:r>
              <w:rPr>
                <w:rFonts w:ascii="Times New Roman" w:hAnsi="Times New Roman" w:eastAsia="宋体" w:cs="Times New Roman"/>
                <w:color w:val="000000"/>
                <w:sz w:val="24"/>
                <w:szCs w:val="24"/>
                <w:vertAlign w:val="subscript"/>
              </w:rPr>
              <w:t>5</w:t>
            </w:r>
            <w:r>
              <w:rPr>
                <w:rFonts w:ascii="Times New Roman" w:hAnsi="Times New Roman" w:eastAsia="宋体" w:cs="Times New Roman"/>
                <w:color w:val="000000"/>
                <w:sz w:val="24"/>
                <w:szCs w:val="24"/>
              </w:rPr>
              <w:t>、SS、NH</w:t>
            </w:r>
            <w:r>
              <w:rPr>
                <w:rFonts w:ascii="Times New Roman" w:hAnsi="Times New Roman" w:eastAsia="宋体" w:cs="Times New Roman"/>
                <w:color w:val="000000"/>
                <w:sz w:val="24"/>
                <w:szCs w:val="24"/>
                <w:vertAlign w:val="subscript"/>
              </w:rPr>
              <w:t>3</w:t>
            </w:r>
            <w:r>
              <w:rPr>
                <w:rFonts w:ascii="Times New Roman" w:hAnsi="Times New Roman" w:eastAsia="宋体" w:cs="Times New Roman"/>
                <w:color w:val="000000"/>
                <w:sz w:val="24"/>
                <w:szCs w:val="24"/>
              </w:rPr>
              <w:t>-N等，主要污染物产生量见下表：</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表4-</w:t>
            </w:r>
            <w:r>
              <w:rPr>
                <w:rFonts w:hint="eastAsia" w:ascii="Times New Roman" w:hAnsi="Times New Roman" w:eastAsia="宋体" w:cs="Times New Roman"/>
                <w:b/>
                <w:bCs/>
                <w:color w:val="000000"/>
                <w:sz w:val="24"/>
              </w:rPr>
              <w:t>9</w:t>
            </w:r>
            <w:r>
              <w:rPr>
                <w:rFonts w:ascii="Times New Roman" w:hAnsi="Times New Roman" w:eastAsia="宋体" w:cs="Times New Roman"/>
                <w:b/>
                <w:bCs/>
                <w:color w:val="000000"/>
                <w:sz w:val="24"/>
              </w:rPr>
              <w:t>项目</w:t>
            </w:r>
            <w:r>
              <w:rPr>
                <w:rFonts w:hint="eastAsia" w:ascii="Times New Roman" w:hAnsi="Times New Roman" w:eastAsia="宋体" w:cs="Times New Roman"/>
                <w:b/>
                <w:bCs/>
                <w:color w:val="000000"/>
                <w:sz w:val="24"/>
              </w:rPr>
              <w:t>运营期</w:t>
            </w:r>
            <w:r>
              <w:rPr>
                <w:rFonts w:ascii="Times New Roman" w:hAnsi="Times New Roman" w:eastAsia="宋体" w:cs="Times New Roman"/>
                <w:b/>
                <w:bCs/>
                <w:color w:val="000000"/>
                <w:sz w:val="24"/>
              </w:rPr>
              <w:t>生活污水主要污染物产生一览表</w:t>
            </w:r>
          </w:p>
          <w:tbl>
            <w:tblPr>
              <w:tblStyle w:val="29"/>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1750"/>
              <w:gridCol w:w="1874"/>
              <w:gridCol w:w="3036"/>
              <w:gridCol w:w="2035"/>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1006" w:type="pct"/>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污水量</w:t>
                  </w:r>
                </w:p>
              </w:tc>
              <w:tc>
                <w:tcPr>
                  <w:tcW w:w="1077" w:type="pct"/>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水污染物</w:t>
                  </w:r>
                </w:p>
              </w:tc>
              <w:tc>
                <w:tcPr>
                  <w:tcW w:w="1745" w:type="pct"/>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产生浓度mg/L</w:t>
                  </w:r>
                </w:p>
              </w:tc>
              <w:tc>
                <w:tcPr>
                  <w:tcW w:w="1170" w:type="pct"/>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产生量t/a</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5" w:hRule="atLeast"/>
              </w:trPr>
              <w:tc>
                <w:tcPr>
                  <w:tcW w:w="1006" w:type="pct"/>
                  <w:vMerge w:val="restart"/>
                  <w:vAlign w:val="center"/>
                </w:tcPr>
                <w:p>
                  <w:pPr>
                    <w:jc w:val="center"/>
                    <w:rPr>
                      <w:rFonts w:ascii="Times New Roman" w:hAnsi="Times New Roman" w:eastAsia="宋体" w:cs="Times New Roman"/>
                      <w:bCs/>
                      <w:color w:val="000000"/>
                      <w:szCs w:val="21"/>
                    </w:rPr>
                  </w:pPr>
                  <w:r>
                    <w:rPr>
                      <w:rFonts w:hint="eastAsia" w:ascii="Times New Roman" w:hAnsi="Times New Roman" w:eastAsia="宋体" w:cs="Times New Roman"/>
                      <w:bCs/>
                      <w:color w:val="000000"/>
                      <w:kern w:val="0"/>
                      <w:szCs w:val="21"/>
                      <w:lang w:val="en-US" w:eastAsia="zh-CN" w:bidi="ar"/>
                    </w:rPr>
                    <w:t>739.1</w:t>
                  </w:r>
                  <w:r>
                    <w:rPr>
                      <w:rFonts w:ascii="Times New Roman" w:hAnsi="Times New Roman" w:eastAsia="宋体" w:cs="Times New Roman"/>
                      <w:bCs/>
                      <w:color w:val="000000"/>
                      <w:szCs w:val="21"/>
                    </w:rPr>
                    <w:t>m</w:t>
                  </w:r>
                  <w:r>
                    <w:rPr>
                      <w:rFonts w:ascii="Times New Roman" w:hAnsi="Times New Roman" w:eastAsia="宋体" w:cs="Times New Roman"/>
                      <w:bCs/>
                      <w:color w:val="000000"/>
                      <w:szCs w:val="21"/>
                      <w:vertAlign w:val="superscript"/>
                    </w:rPr>
                    <w:t>3</w:t>
                  </w:r>
                  <w:r>
                    <w:rPr>
                      <w:rFonts w:ascii="Times New Roman" w:hAnsi="Times New Roman" w:eastAsia="宋体" w:cs="Times New Roman"/>
                      <w:bCs/>
                      <w:color w:val="000000"/>
                      <w:szCs w:val="21"/>
                    </w:rPr>
                    <w:t>/a</w:t>
                  </w:r>
                </w:p>
              </w:tc>
              <w:tc>
                <w:tcPr>
                  <w:tcW w:w="1077" w:type="pct"/>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COD</w:t>
                  </w:r>
                  <w:r>
                    <w:rPr>
                      <w:rFonts w:ascii="Times New Roman" w:hAnsi="Times New Roman" w:eastAsia="宋体" w:cs="Times New Roman"/>
                      <w:bCs/>
                      <w:color w:val="000000"/>
                      <w:szCs w:val="21"/>
                      <w:vertAlign w:val="subscript"/>
                    </w:rPr>
                    <w:t>cr</w:t>
                  </w:r>
                </w:p>
              </w:tc>
              <w:tc>
                <w:tcPr>
                  <w:tcW w:w="1745" w:type="pct"/>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300</w:t>
                  </w:r>
                </w:p>
              </w:tc>
              <w:tc>
                <w:tcPr>
                  <w:tcW w:w="1170" w:type="pct"/>
                  <w:vAlign w:val="center"/>
                </w:tcPr>
                <w:p>
                  <w:pPr>
                    <w:jc w:val="center"/>
                    <w:rPr>
                      <w:rFonts w:hint="default" w:ascii="Times New Roman" w:hAnsi="Times New Roman" w:eastAsia="宋体" w:cs="Times New Roman"/>
                      <w:bCs/>
                      <w:color w:val="000000"/>
                      <w:szCs w:val="21"/>
                      <w:lang w:val="en-US" w:eastAsia="zh-CN"/>
                    </w:rPr>
                  </w:pPr>
                  <w:r>
                    <w:rPr>
                      <w:rFonts w:hint="eastAsia" w:ascii="Times New Roman" w:hAnsi="Times New Roman" w:eastAsia="宋体" w:cs="Times New Roman"/>
                      <w:bCs/>
                      <w:color w:val="000000"/>
                      <w:szCs w:val="21"/>
                      <w:lang w:val="en-US" w:eastAsia="zh-CN"/>
                    </w:rPr>
                    <w:t>0.222</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1006" w:type="pct"/>
                  <w:vMerge w:val="continue"/>
                  <w:vAlign w:val="center"/>
                </w:tcPr>
                <w:p>
                  <w:pPr>
                    <w:jc w:val="center"/>
                    <w:rPr>
                      <w:rFonts w:ascii="Times New Roman" w:hAnsi="Times New Roman" w:eastAsia="宋体" w:cs="Times New Roman"/>
                      <w:bCs/>
                      <w:color w:val="000000"/>
                      <w:szCs w:val="21"/>
                    </w:rPr>
                  </w:pPr>
                </w:p>
              </w:tc>
              <w:tc>
                <w:tcPr>
                  <w:tcW w:w="1077" w:type="pct"/>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BOD</w:t>
                  </w:r>
                  <w:r>
                    <w:rPr>
                      <w:rFonts w:ascii="Times New Roman" w:hAnsi="Times New Roman" w:eastAsia="宋体" w:cs="Times New Roman"/>
                      <w:bCs/>
                      <w:color w:val="000000"/>
                      <w:szCs w:val="21"/>
                      <w:vertAlign w:val="subscript"/>
                    </w:rPr>
                    <w:t>5</w:t>
                  </w:r>
                </w:p>
              </w:tc>
              <w:tc>
                <w:tcPr>
                  <w:tcW w:w="1745" w:type="pct"/>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200</w:t>
                  </w:r>
                </w:p>
              </w:tc>
              <w:tc>
                <w:tcPr>
                  <w:tcW w:w="1170" w:type="pct"/>
                  <w:vAlign w:val="center"/>
                </w:tcPr>
                <w:p>
                  <w:pPr>
                    <w:jc w:val="center"/>
                    <w:rPr>
                      <w:rFonts w:hint="default" w:ascii="Times New Roman" w:hAnsi="Times New Roman" w:eastAsia="宋体" w:cs="Times New Roman"/>
                      <w:bCs/>
                      <w:color w:val="000000"/>
                      <w:szCs w:val="21"/>
                      <w:lang w:val="en-US" w:eastAsia="zh-CN"/>
                    </w:rPr>
                  </w:pPr>
                  <w:r>
                    <w:rPr>
                      <w:rFonts w:hint="eastAsia" w:ascii="Times New Roman" w:hAnsi="Times New Roman" w:eastAsia="宋体" w:cs="Times New Roman"/>
                      <w:bCs/>
                      <w:color w:val="000000"/>
                      <w:szCs w:val="21"/>
                      <w:lang w:val="en-US" w:eastAsia="zh-CN"/>
                    </w:rPr>
                    <w:t>0.148</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1006" w:type="pct"/>
                  <w:vMerge w:val="continue"/>
                  <w:vAlign w:val="center"/>
                </w:tcPr>
                <w:p>
                  <w:pPr>
                    <w:jc w:val="center"/>
                    <w:rPr>
                      <w:rFonts w:ascii="Times New Roman" w:hAnsi="Times New Roman" w:eastAsia="宋体" w:cs="Times New Roman"/>
                      <w:bCs/>
                      <w:color w:val="000000"/>
                      <w:szCs w:val="21"/>
                    </w:rPr>
                  </w:pPr>
                </w:p>
              </w:tc>
              <w:tc>
                <w:tcPr>
                  <w:tcW w:w="1077" w:type="pct"/>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SS</w:t>
                  </w:r>
                </w:p>
              </w:tc>
              <w:tc>
                <w:tcPr>
                  <w:tcW w:w="1745" w:type="pct"/>
                  <w:vAlign w:val="center"/>
                </w:tcPr>
                <w:p>
                  <w:pPr>
                    <w:jc w:val="center"/>
                    <w:rPr>
                      <w:rFonts w:ascii="Times New Roman" w:hAnsi="Times New Roman" w:eastAsia="宋体" w:cs="Times New Roman"/>
                      <w:bCs/>
                      <w:color w:val="000000"/>
                      <w:szCs w:val="21"/>
                    </w:rPr>
                  </w:pPr>
                  <w:r>
                    <w:rPr>
                      <w:rFonts w:hint="eastAsia" w:ascii="Times New Roman" w:hAnsi="Times New Roman" w:eastAsia="宋体" w:cs="Times New Roman"/>
                      <w:bCs/>
                      <w:color w:val="000000"/>
                      <w:szCs w:val="21"/>
                      <w:lang w:val="en-US" w:eastAsia="zh-CN"/>
                    </w:rPr>
                    <w:t>25</w:t>
                  </w:r>
                  <w:r>
                    <w:rPr>
                      <w:rFonts w:ascii="Times New Roman" w:hAnsi="Times New Roman" w:eastAsia="宋体" w:cs="Times New Roman"/>
                      <w:bCs/>
                      <w:color w:val="000000"/>
                      <w:szCs w:val="21"/>
                    </w:rPr>
                    <w:t>0</w:t>
                  </w:r>
                </w:p>
              </w:tc>
              <w:tc>
                <w:tcPr>
                  <w:tcW w:w="1170" w:type="pct"/>
                  <w:vAlign w:val="center"/>
                </w:tcPr>
                <w:p>
                  <w:pPr>
                    <w:jc w:val="center"/>
                    <w:rPr>
                      <w:rFonts w:hint="default" w:ascii="Times New Roman" w:hAnsi="Times New Roman" w:eastAsia="宋体" w:cs="Times New Roman"/>
                      <w:bCs/>
                      <w:color w:val="000000"/>
                      <w:szCs w:val="21"/>
                      <w:lang w:val="en-US" w:eastAsia="zh-CN"/>
                    </w:rPr>
                  </w:pPr>
                  <w:r>
                    <w:rPr>
                      <w:rFonts w:hint="eastAsia" w:ascii="Times New Roman" w:hAnsi="Times New Roman" w:eastAsia="宋体" w:cs="Times New Roman"/>
                      <w:bCs/>
                      <w:color w:val="000000"/>
                      <w:szCs w:val="21"/>
                      <w:lang w:val="en-US" w:eastAsia="zh-CN"/>
                    </w:rPr>
                    <w:t>0.185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1006" w:type="pct"/>
                  <w:vMerge w:val="continue"/>
                  <w:vAlign w:val="center"/>
                </w:tcPr>
                <w:p>
                  <w:pPr>
                    <w:jc w:val="center"/>
                    <w:rPr>
                      <w:rFonts w:ascii="Times New Roman" w:hAnsi="Times New Roman" w:eastAsia="宋体" w:cs="Times New Roman"/>
                      <w:bCs/>
                      <w:color w:val="000000"/>
                      <w:szCs w:val="21"/>
                    </w:rPr>
                  </w:pPr>
                </w:p>
              </w:tc>
              <w:tc>
                <w:tcPr>
                  <w:tcW w:w="1077" w:type="pct"/>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NH</w:t>
                  </w:r>
                  <w:r>
                    <w:rPr>
                      <w:rFonts w:ascii="Times New Roman" w:hAnsi="Times New Roman" w:eastAsia="宋体" w:cs="Times New Roman"/>
                      <w:bCs/>
                      <w:color w:val="000000"/>
                      <w:szCs w:val="21"/>
                      <w:vertAlign w:val="subscript"/>
                    </w:rPr>
                    <w:t>3</w:t>
                  </w:r>
                  <w:r>
                    <w:rPr>
                      <w:rFonts w:ascii="Times New Roman" w:hAnsi="Times New Roman" w:eastAsia="宋体" w:cs="Times New Roman"/>
                      <w:bCs/>
                      <w:color w:val="000000"/>
                      <w:szCs w:val="21"/>
                    </w:rPr>
                    <w:t>-N</w:t>
                  </w:r>
                </w:p>
              </w:tc>
              <w:tc>
                <w:tcPr>
                  <w:tcW w:w="1745" w:type="pct"/>
                  <w:vAlign w:val="center"/>
                </w:tcPr>
                <w:p>
                  <w:pPr>
                    <w:jc w:val="center"/>
                    <w:rPr>
                      <w:rFonts w:ascii="Times New Roman" w:hAnsi="Times New Roman" w:eastAsia="宋体" w:cs="Times New Roman"/>
                      <w:bCs/>
                      <w:color w:val="000000"/>
                      <w:szCs w:val="21"/>
                    </w:rPr>
                  </w:pPr>
                  <w:r>
                    <w:rPr>
                      <w:rFonts w:ascii="Times New Roman" w:hAnsi="Times New Roman" w:eastAsia="宋体" w:cs="Times New Roman"/>
                      <w:bCs/>
                      <w:color w:val="000000"/>
                      <w:szCs w:val="21"/>
                    </w:rPr>
                    <w:t>30</w:t>
                  </w:r>
                </w:p>
              </w:tc>
              <w:tc>
                <w:tcPr>
                  <w:tcW w:w="1170" w:type="pct"/>
                  <w:vAlign w:val="center"/>
                </w:tcPr>
                <w:p>
                  <w:pPr>
                    <w:jc w:val="center"/>
                    <w:rPr>
                      <w:rFonts w:hint="default" w:ascii="Times New Roman" w:hAnsi="Times New Roman" w:eastAsia="宋体" w:cs="Times New Roman"/>
                      <w:bCs/>
                      <w:color w:val="000000"/>
                      <w:szCs w:val="21"/>
                      <w:lang w:val="en-US" w:eastAsia="zh-CN"/>
                    </w:rPr>
                  </w:pPr>
                  <w:r>
                    <w:rPr>
                      <w:rFonts w:hint="eastAsia" w:ascii="Times New Roman" w:hAnsi="Times New Roman" w:eastAsia="宋体" w:cs="Times New Roman"/>
                      <w:bCs/>
                      <w:color w:val="000000"/>
                      <w:szCs w:val="21"/>
                      <w:lang w:val="en-US" w:eastAsia="zh-CN"/>
                    </w:rPr>
                    <w:t>0.022</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1006" w:type="pct"/>
                  <w:vMerge w:val="continue"/>
                  <w:vAlign w:val="center"/>
                </w:tcPr>
                <w:p>
                  <w:pPr>
                    <w:jc w:val="center"/>
                    <w:rPr>
                      <w:rFonts w:ascii="Times New Roman" w:hAnsi="Times New Roman" w:eastAsia="宋体" w:cs="Times New Roman"/>
                      <w:bCs/>
                      <w:color w:val="000000"/>
                      <w:szCs w:val="21"/>
                    </w:rPr>
                  </w:pPr>
                </w:p>
              </w:tc>
              <w:tc>
                <w:tcPr>
                  <w:tcW w:w="1077" w:type="pct"/>
                  <w:vAlign w:val="center"/>
                </w:tcPr>
                <w:p>
                  <w:pPr>
                    <w:jc w:val="center"/>
                    <w:rPr>
                      <w:rFonts w:hint="default" w:ascii="Times New Roman" w:hAnsi="Times New Roman" w:eastAsia="宋体" w:cs="Times New Roman"/>
                      <w:bCs/>
                      <w:color w:val="000000"/>
                      <w:szCs w:val="21"/>
                      <w:lang w:val="en-US" w:eastAsia="zh-CN"/>
                    </w:rPr>
                  </w:pPr>
                  <w:r>
                    <w:rPr>
                      <w:rFonts w:hint="eastAsia" w:ascii="Times New Roman" w:hAnsi="Times New Roman" w:eastAsia="宋体" w:cs="Times New Roman"/>
                      <w:bCs/>
                      <w:color w:val="000000"/>
                      <w:szCs w:val="21"/>
                      <w:lang w:val="en-US" w:eastAsia="zh-CN"/>
                    </w:rPr>
                    <w:t>动植物油</w:t>
                  </w:r>
                </w:p>
              </w:tc>
              <w:tc>
                <w:tcPr>
                  <w:tcW w:w="1745" w:type="pct"/>
                  <w:vAlign w:val="center"/>
                </w:tcPr>
                <w:p>
                  <w:pPr>
                    <w:jc w:val="center"/>
                    <w:rPr>
                      <w:rFonts w:hint="default" w:ascii="Times New Roman" w:hAnsi="Times New Roman" w:eastAsia="宋体" w:cs="Times New Roman"/>
                      <w:bCs/>
                      <w:color w:val="000000"/>
                      <w:szCs w:val="21"/>
                      <w:lang w:val="en-US" w:eastAsia="zh-CN"/>
                    </w:rPr>
                  </w:pPr>
                  <w:r>
                    <w:rPr>
                      <w:rFonts w:hint="eastAsia" w:ascii="Times New Roman" w:hAnsi="Times New Roman" w:eastAsia="宋体" w:cs="Times New Roman"/>
                      <w:bCs/>
                      <w:color w:val="000000"/>
                      <w:szCs w:val="21"/>
                      <w:lang w:val="en-US" w:eastAsia="zh-CN"/>
                    </w:rPr>
                    <w:t>80</w:t>
                  </w:r>
                </w:p>
              </w:tc>
              <w:tc>
                <w:tcPr>
                  <w:tcW w:w="1170" w:type="pct"/>
                  <w:vAlign w:val="center"/>
                </w:tcPr>
                <w:p>
                  <w:pPr>
                    <w:jc w:val="center"/>
                    <w:rPr>
                      <w:rFonts w:hint="default" w:ascii="Times New Roman" w:hAnsi="Times New Roman" w:eastAsia="宋体" w:cs="Times New Roman"/>
                      <w:bCs/>
                      <w:color w:val="000000"/>
                      <w:szCs w:val="21"/>
                      <w:lang w:val="en-US" w:eastAsia="zh-CN"/>
                    </w:rPr>
                  </w:pPr>
                  <w:r>
                    <w:rPr>
                      <w:rFonts w:hint="eastAsia" w:ascii="Times New Roman" w:hAnsi="Times New Roman" w:eastAsia="宋体" w:cs="Times New Roman"/>
                      <w:bCs/>
                      <w:color w:val="000000"/>
                      <w:szCs w:val="21"/>
                      <w:lang w:val="en-US" w:eastAsia="zh-CN"/>
                    </w:rPr>
                    <w:t>0.059</w:t>
                  </w:r>
                </w:p>
              </w:tc>
            </w:tr>
          </w:tbl>
          <w:p>
            <w:pPr>
              <w:pStyle w:val="39"/>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（2）医疗废水</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医疗废水主要为医疗机构在对病人诊断、检验、处置等医疗活动中产生的诊疗、生活污水，主要来源于门诊部、病房和各类检验科、住院部等。这类污水含有一定浓度的有机物，部分具有传染性。主要污染因子包括：</w:t>
            </w:r>
            <w:r>
              <w:rPr>
                <w:rFonts w:hint="eastAsia" w:ascii="Times New Roman" w:hAnsi="Times New Roman" w:eastAsia="宋体" w:cs="Times New Roman"/>
                <w:color w:val="000000"/>
                <w:sz w:val="24"/>
                <w:szCs w:val="24"/>
                <w:lang w:val="en-US" w:eastAsia="zh-CN"/>
              </w:rPr>
              <w:t>PH、</w:t>
            </w:r>
            <w:r>
              <w:rPr>
                <w:rFonts w:ascii="Times New Roman" w:hAnsi="Times New Roman" w:eastAsia="宋体" w:cs="Times New Roman"/>
                <w:color w:val="000000"/>
                <w:sz w:val="24"/>
                <w:szCs w:val="24"/>
              </w:rPr>
              <w:t>悬浮物、粪大肠菌群、COD</w:t>
            </w:r>
            <w:r>
              <w:rPr>
                <w:rFonts w:ascii="Times New Roman" w:hAnsi="Times New Roman" w:eastAsia="宋体" w:cs="Times New Roman"/>
                <w:color w:val="000000"/>
                <w:sz w:val="24"/>
                <w:szCs w:val="24"/>
                <w:vertAlign w:val="subscript"/>
              </w:rPr>
              <w:t>cr</w:t>
            </w:r>
            <w:r>
              <w:rPr>
                <w:rFonts w:ascii="Times New Roman" w:hAnsi="Times New Roman" w:eastAsia="宋体" w:cs="Times New Roman"/>
                <w:color w:val="000000"/>
                <w:sz w:val="24"/>
                <w:szCs w:val="24"/>
              </w:rPr>
              <w:t>、BOD</w:t>
            </w:r>
            <w:r>
              <w:rPr>
                <w:rFonts w:ascii="Times New Roman" w:hAnsi="Times New Roman" w:eastAsia="宋体" w:cs="Times New Roman"/>
                <w:color w:val="000000"/>
                <w:sz w:val="24"/>
                <w:szCs w:val="24"/>
                <w:vertAlign w:val="subscript"/>
              </w:rPr>
              <w:t>5</w:t>
            </w:r>
            <w:r>
              <w:rPr>
                <w:rFonts w:ascii="Times New Roman" w:hAnsi="Times New Roman" w:eastAsia="宋体" w:cs="Times New Roman"/>
                <w:color w:val="000000"/>
                <w:sz w:val="24"/>
                <w:szCs w:val="24"/>
              </w:rPr>
              <w:t>、NH</w:t>
            </w:r>
            <w:r>
              <w:rPr>
                <w:rFonts w:ascii="Times New Roman" w:hAnsi="Times New Roman" w:eastAsia="宋体" w:cs="Times New Roman"/>
                <w:color w:val="000000"/>
                <w:sz w:val="24"/>
                <w:szCs w:val="24"/>
                <w:vertAlign w:val="subscript"/>
              </w:rPr>
              <w:t>3</w:t>
            </w:r>
            <w:r>
              <w:rPr>
                <w:rFonts w:ascii="Times New Roman" w:hAnsi="Times New Roman" w:eastAsia="宋体" w:cs="Times New Roman"/>
                <w:color w:val="000000"/>
                <w:sz w:val="24"/>
                <w:szCs w:val="24"/>
              </w:rPr>
              <w:t>-N等。</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①住院病房废水</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住院病房用水包括病人的食宿、医疗诊断处理、清洁等各种生活用水。根据《综合医院建筑设计规范》（GB51039-2014）表6.2.2，每病床（病房设浴室、卫生间、盥洗）用水定额为250~400L/床·d，项目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住院病房用水系数取</w:t>
            </w:r>
            <w:r>
              <w:rPr>
                <w:rFonts w:hint="eastAsia" w:ascii="Times New Roman" w:hAnsi="Times New Roman" w:eastAsia="宋体" w:cs="Times New Roman"/>
                <w:color w:val="000000"/>
                <w:sz w:val="24"/>
                <w:szCs w:val="24"/>
                <w:lang w:val="en-US" w:eastAsia="zh-CN"/>
              </w:rPr>
              <w:t>325</w:t>
            </w:r>
            <w:r>
              <w:rPr>
                <w:rFonts w:ascii="Times New Roman" w:hAnsi="Times New Roman" w:eastAsia="宋体" w:cs="Times New Roman"/>
                <w:color w:val="000000"/>
                <w:sz w:val="24"/>
                <w:szCs w:val="24"/>
              </w:rPr>
              <w:t>L/床·d，项目病床位50张，则住院病房用水量为</w:t>
            </w:r>
            <w:r>
              <w:rPr>
                <w:rFonts w:hint="eastAsia" w:ascii="Times New Roman" w:hAnsi="Times New Roman" w:eastAsia="宋体" w:cs="Times New Roman"/>
                <w:color w:val="000000"/>
                <w:sz w:val="24"/>
                <w:szCs w:val="24"/>
                <w:lang w:val="en-US" w:eastAsia="zh-CN"/>
              </w:rPr>
              <w:t>16.25</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lang w:val="en-US" w:eastAsia="zh-CN"/>
              </w:rPr>
              <w:t>5931.3</w:t>
            </w:r>
            <w:r>
              <w:rPr>
                <w:rFonts w:ascii="Times New Roman" w:hAnsi="Times New Roman" w:eastAsia="宋体" w:cs="Times New Roman"/>
                <w:color w:val="000000"/>
                <w:sz w:val="24"/>
                <w:szCs w:val="24"/>
              </w:rPr>
              <w:t>m³/a，住院病房废水产污系数取0.9计，则住院病房废水产生量为</w:t>
            </w:r>
            <w:r>
              <w:rPr>
                <w:rFonts w:hint="eastAsia" w:ascii="Times New Roman" w:hAnsi="Times New Roman" w:eastAsia="宋体" w:cs="Times New Roman"/>
                <w:color w:val="000000"/>
                <w:sz w:val="24"/>
                <w:szCs w:val="24"/>
                <w:lang w:val="en-US" w:eastAsia="zh-CN"/>
              </w:rPr>
              <w:t>14.63</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lang w:val="en-US" w:eastAsia="zh-CN"/>
              </w:rPr>
              <w:t>5338.1</w:t>
            </w:r>
            <w:r>
              <w:rPr>
                <w:rFonts w:ascii="Times New Roman" w:hAnsi="Times New Roman" w:eastAsia="宋体" w:cs="Times New Roman"/>
                <w:color w:val="000000"/>
                <w:sz w:val="24"/>
                <w:szCs w:val="24"/>
              </w:rPr>
              <w:t>m³/a。</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②门诊患者废水</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根据《综合医院建筑设计规范》（GB51039-2014）表6.2.2，门急诊患者用水定额为10～15L/人·次，项目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门诊患者用水系数取</w:t>
            </w:r>
            <w:r>
              <w:rPr>
                <w:rFonts w:hint="eastAsia" w:ascii="Times New Roman" w:hAnsi="Times New Roman" w:eastAsia="宋体" w:cs="Times New Roman"/>
                <w:color w:val="000000"/>
                <w:sz w:val="24"/>
                <w:szCs w:val="24"/>
                <w:lang w:val="en-US" w:eastAsia="zh-CN"/>
              </w:rPr>
              <w:t>12.5</w:t>
            </w:r>
            <w:r>
              <w:rPr>
                <w:rFonts w:ascii="Times New Roman" w:hAnsi="Times New Roman" w:eastAsia="宋体" w:cs="Times New Roman"/>
                <w:color w:val="000000"/>
                <w:sz w:val="24"/>
                <w:szCs w:val="24"/>
              </w:rPr>
              <w:t>L/人·次，项目日门诊量为35人次，则门诊患者用水量约为</w:t>
            </w:r>
            <w:r>
              <w:rPr>
                <w:rFonts w:hint="eastAsia" w:ascii="Times New Roman" w:hAnsi="Times New Roman" w:eastAsia="宋体" w:cs="Times New Roman"/>
                <w:color w:val="000000"/>
                <w:sz w:val="24"/>
                <w:szCs w:val="24"/>
                <w:lang w:val="en-US" w:eastAsia="zh-CN"/>
              </w:rPr>
              <w:t>0.44</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lang w:val="en-US" w:eastAsia="zh-CN"/>
              </w:rPr>
              <w:t>159.7</w:t>
            </w:r>
            <w:r>
              <w:rPr>
                <w:rFonts w:ascii="Times New Roman" w:hAnsi="Times New Roman" w:eastAsia="宋体" w:cs="Times New Roman"/>
                <w:color w:val="000000"/>
                <w:sz w:val="24"/>
                <w:szCs w:val="24"/>
              </w:rPr>
              <w:t>m³/a，门诊患者废水产污系数取0.9计，则门诊患者废水量为</w:t>
            </w:r>
            <w:r>
              <w:rPr>
                <w:rFonts w:hint="eastAsia" w:ascii="Times New Roman" w:hAnsi="Times New Roman" w:eastAsia="宋体" w:cs="Times New Roman"/>
                <w:color w:val="000000"/>
                <w:sz w:val="24"/>
                <w:szCs w:val="24"/>
                <w:lang w:val="en-US" w:eastAsia="zh-CN"/>
              </w:rPr>
              <w:t>0.39</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lang w:val="en-US" w:eastAsia="zh-CN"/>
              </w:rPr>
              <w:t>143.7</w:t>
            </w:r>
            <w:r>
              <w:rPr>
                <w:rFonts w:ascii="Times New Roman" w:hAnsi="Times New Roman" w:eastAsia="宋体" w:cs="Times New Roman"/>
                <w:color w:val="000000"/>
                <w:sz w:val="24"/>
                <w:szCs w:val="24"/>
              </w:rPr>
              <w:t>m³/a。</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③医务人员废水</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根据《综合医院建筑设计规范》（GB51039-2014）表6.2.2，医务人员用水定额为150～250L/人·班，项目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医务人员用水量取</w:t>
            </w:r>
            <w:r>
              <w:rPr>
                <w:rFonts w:hint="eastAsia" w:ascii="Times New Roman" w:hAnsi="Times New Roman" w:eastAsia="宋体" w:cs="Times New Roman"/>
                <w:color w:val="000000"/>
                <w:sz w:val="24"/>
                <w:szCs w:val="24"/>
                <w:lang w:val="en-US" w:eastAsia="zh-CN"/>
              </w:rPr>
              <w:t>200</w:t>
            </w:r>
            <w:r>
              <w:rPr>
                <w:rFonts w:ascii="Times New Roman" w:hAnsi="Times New Roman" w:eastAsia="宋体" w:cs="Times New Roman"/>
                <w:color w:val="000000"/>
                <w:sz w:val="24"/>
                <w:szCs w:val="24"/>
              </w:rPr>
              <w:t>L/人·班计，项目医务人员为35人，则医务人员的用水量约为</w:t>
            </w:r>
            <w:r>
              <w:rPr>
                <w:rFonts w:hint="eastAsia" w:ascii="Times New Roman" w:hAnsi="Times New Roman" w:eastAsia="宋体" w:cs="Times New Roman"/>
                <w:color w:val="000000"/>
                <w:sz w:val="24"/>
                <w:szCs w:val="24"/>
                <w:lang w:val="en-US" w:eastAsia="zh-CN"/>
              </w:rPr>
              <w:t>7.00</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lang w:val="en-US" w:eastAsia="zh-CN"/>
              </w:rPr>
              <w:t>2555.0</w:t>
            </w:r>
            <w:r>
              <w:rPr>
                <w:rFonts w:ascii="Times New Roman" w:hAnsi="Times New Roman" w:eastAsia="宋体" w:cs="Times New Roman"/>
                <w:color w:val="000000"/>
                <w:sz w:val="24"/>
                <w:szCs w:val="24"/>
              </w:rPr>
              <w:t>m³/a，医务人员废水产污系数取0.9计，则医务人员废水量为</w:t>
            </w:r>
            <w:r>
              <w:rPr>
                <w:rFonts w:hint="eastAsia" w:ascii="Times New Roman" w:hAnsi="Times New Roman" w:eastAsia="宋体" w:cs="Times New Roman"/>
                <w:color w:val="000000"/>
                <w:sz w:val="24"/>
                <w:szCs w:val="24"/>
                <w:lang w:val="en-US" w:eastAsia="zh-CN"/>
              </w:rPr>
              <w:t>6.30</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lang w:val="en-US" w:eastAsia="zh-CN"/>
              </w:rPr>
              <w:t>2299.5</w:t>
            </w:r>
            <w:r>
              <w:rPr>
                <w:rFonts w:ascii="Times New Roman" w:hAnsi="Times New Roman" w:eastAsia="宋体" w:cs="Times New Roman"/>
                <w:color w:val="000000"/>
                <w:sz w:val="24"/>
                <w:szCs w:val="24"/>
              </w:rPr>
              <w:t>m³/a。</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④检验科废水</w:t>
            </w:r>
          </w:p>
          <w:p>
            <w:pPr>
              <w:pStyle w:val="39"/>
              <w:spacing w:line="360" w:lineRule="auto"/>
              <w:ind w:firstLine="480" w:firstLineChars="200"/>
              <w:jc w:val="both"/>
              <w:rPr>
                <w:rFonts w:ascii="Times New Roman" w:hAnsi="Times New Roman" w:eastAsia="宋体" w:cs="Times New Roman"/>
                <w:b/>
                <w:bCs/>
                <w:color w:val="000000"/>
                <w:sz w:val="24"/>
              </w:rPr>
            </w:pPr>
            <w:r>
              <w:rPr>
                <w:rFonts w:ascii="Times New Roman" w:hAnsi="Times New Roman" w:eastAsia="宋体" w:cs="Times New Roman"/>
                <w:color w:val="000000"/>
                <w:sz w:val="24"/>
              </w:rPr>
              <w:t>检验科废水主要为检验科产生的酸性或碱性废水，项目检验科使用药剂不含重金属，检验科用水量为0.02m</w:t>
            </w:r>
            <w:r>
              <w:rPr>
                <w:rFonts w:ascii="Times New Roman" w:hAnsi="Times New Roman" w:eastAsia="宋体" w:cs="Times New Roman"/>
                <w:color w:val="000000"/>
                <w:sz w:val="24"/>
                <w:vertAlign w:val="superscript"/>
              </w:rPr>
              <w:t>3</w:t>
            </w:r>
            <w:r>
              <w:rPr>
                <w:rFonts w:ascii="Times New Roman" w:hAnsi="Times New Roman" w:eastAsia="宋体" w:cs="Times New Roman"/>
                <w:color w:val="000000"/>
                <w:sz w:val="24"/>
              </w:rPr>
              <w:t>/d，</w:t>
            </w:r>
            <w:r>
              <w:rPr>
                <w:rFonts w:hint="eastAsia" w:ascii="Times New Roman" w:hAnsi="Times New Roman" w:eastAsia="宋体" w:cs="Times New Roman"/>
                <w:color w:val="000000"/>
                <w:sz w:val="24"/>
                <w:lang w:val="en-US" w:eastAsia="zh-CN"/>
              </w:rPr>
              <w:t>8.0</w:t>
            </w:r>
            <w:r>
              <w:rPr>
                <w:rFonts w:ascii="Times New Roman" w:hAnsi="Times New Roman" w:eastAsia="宋体" w:cs="Times New Roman"/>
                <w:color w:val="000000"/>
                <w:sz w:val="24"/>
              </w:rPr>
              <w:t>m</w:t>
            </w:r>
            <w:r>
              <w:rPr>
                <w:rFonts w:ascii="Times New Roman" w:hAnsi="Times New Roman" w:eastAsia="宋体" w:cs="Times New Roman"/>
                <w:color w:val="000000"/>
                <w:sz w:val="24"/>
                <w:vertAlign w:val="superscript"/>
              </w:rPr>
              <w:t>3</w:t>
            </w:r>
            <w:r>
              <w:rPr>
                <w:rFonts w:ascii="Times New Roman" w:hAnsi="Times New Roman" w:eastAsia="宋体" w:cs="Times New Roman"/>
                <w:color w:val="000000"/>
                <w:sz w:val="24"/>
              </w:rPr>
              <w:t>/a。检验科废水产污系数取0.9计，则检验科废水量为0.02m</w:t>
            </w:r>
            <w:r>
              <w:rPr>
                <w:rFonts w:ascii="Times New Roman" w:hAnsi="Times New Roman" w:eastAsia="宋体" w:cs="Times New Roman"/>
                <w:color w:val="000000"/>
                <w:sz w:val="24"/>
                <w:vertAlign w:val="superscript"/>
              </w:rPr>
              <w:t>3</w:t>
            </w:r>
            <w:r>
              <w:rPr>
                <w:rFonts w:ascii="Times New Roman" w:hAnsi="Times New Roman" w:eastAsia="宋体" w:cs="Times New Roman"/>
                <w:color w:val="000000"/>
                <w:sz w:val="24"/>
              </w:rPr>
              <w:t>/d，</w:t>
            </w:r>
            <w:r>
              <w:rPr>
                <w:rFonts w:hint="eastAsia" w:ascii="Times New Roman" w:hAnsi="Times New Roman" w:eastAsia="宋体" w:cs="Times New Roman"/>
                <w:color w:val="000000"/>
                <w:sz w:val="24"/>
                <w:lang w:val="en-US" w:eastAsia="zh-CN"/>
              </w:rPr>
              <w:t>7.2</w:t>
            </w:r>
            <w:r>
              <w:rPr>
                <w:rFonts w:ascii="Times New Roman" w:hAnsi="Times New Roman" w:eastAsia="宋体" w:cs="Times New Roman"/>
                <w:color w:val="000000"/>
                <w:sz w:val="24"/>
              </w:rPr>
              <w:t>m</w:t>
            </w:r>
            <w:r>
              <w:rPr>
                <w:rFonts w:ascii="Times New Roman" w:hAnsi="Times New Roman" w:eastAsia="宋体" w:cs="Times New Roman"/>
                <w:color w:val="000000"/>
                <w:sz w:val="24"/>
                <w:vertAlign w:val="superscript"/>
              </w:rPr>
              <w:t>3</w:t>
            </w:r>
            <w:r>
              <w:rPr>
                <w:rFonts w:ascii="Times New Roman" w:hAnsi="Times New Roman" w:eastAsia="宋体" w:cs="Times New Roman"/>
                <w:color w:val="000000"/>
                <w:sz w:val="24"/>
              </w:rPr>
              <w:t>/a。</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表4-</w:t>
            </w:r>
            <w:r>
              <w:rPr>
                <w:rFonts w:hint="eastAsia" w:ascii="Times New Roman" w:hAnsi="Times New Roman" w:eastAsia="宋体" w:cs="Times New Roman"/>
                <w:b/>
                <w:bCs/>
                <w:color w:val="000000"/>
                <w:sz w:val="24"/>
              </w:rPr>
              <w:t>10</w:t>
            </w:r>
            <w:r>
              <w:rPr>
                <w:rFonts w:ascii="Times New Roman" w:hAnsi="Times New Roman" w:eastAsia="宋体" w:cs="Times New Roman"/>
                <w:b/>
                <w:bCs/>
                <w:color w:val="000000"/>
                <w:sz w:val="24"/>
              </w:rPr>
              <w:t>项目</w:t>
            </w:r>
            <w:r>
              <w:rPr>
                <w:rFonts w:hint="eastAsia" w:ascii="Times New Roman" w:hAnsi="Times New Roman" w:eastAsia="宋体" w:cs="Times New Roman"/>
                <w:b/>
                <w:bCs/>
                <w:color w:val="000000"/>
                <w:sz w:val="24"/>
              </w:rPr>
              <w:t>运营期</w:t>
            </w:r>
            <w:r>
              <w:rPr>
                <w:rFonts w:ascii="Times New Roman" w:hAnsi="Times New Roman" w:eastAsia="宋体" w:cs="Times New Roman"/>
                <w:b/>
                <w:bCs/>
                <w:color w:val="000000"/>
                <w:sz w:val="24"/>
              </w:rPr>
              <w:t>医疗用水量与排水量预测一览表</w:t>
            </w:r>
          </w:p>
          <w:tbl>
            <w:tblPr>
              <w:tblStyle w:val="2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86"/>
              <w:gridCol w:w="774"/>
              <w:gridCol w:w="1582"/>
              <w:gridCol w:w="844"/>
              <w:gridCol w:w="1037"/>
              <w:gridCol w:w="1047"/>
              <w:gridCol w:w="786"/>
              <w:gridCol w:w="113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pct"/>
                  <w:vMerge w:val="restar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用水项目</w:t>
                  </w:r>
                </w:p>
              </w:tc>
              <w:tc>
                <w:tcPr>
                  <w:tcW w:w="445" w:type="pct"/>
                  <w:vMerge w:val="restar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数量</w:t>
                  </w:r>
                </w:p>
              </w:tc>
              <w:tc>
                <w:tcPr>
                  <w:tcW w:w="908" w:type="pct"/>
                  <w:vMerge w:val="restar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用水标准</w:t>
                  </w:r>
                </w:p>
              </w:tc>
              <w:tc>
                <w:tcPr>
                  <w:tcW w:w="1081" w:type="pct"/>
                  <w:gridSpan w:val="2"/>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用水量</w:t>
                  </w:r>
                </w:p>
              </w:tc>
              <w:tc>
                <w:tcPr>
                  <w:tcW w:w="602" w:type="pct"/>
                  <w:vMerge w:val="restar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产污</w:t>
                  </w:r>
                </w:p>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系数</w:t>
                  </w:r>
                </w:p>
              </w:tc>
              <w:tc>
                <w:tcPr>
                  <w:tcW w:w="1106" w:type="pct"/>
                  <w:gridSpan w:val="2"/>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排放量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pct"/>
                  <w:vMerge w:val="continue"/>
                  <w:vAlign w:val="center"/>
                </w:tcPr>
                <w:p>
                  <w:pPr>
                    <w:adjustRightInd w:val="0"/>
                    <w:snapToGrid w:val="0"/>
                    <w:jc w:val="center"/>
                    <w:rPr>
                      <w:rFonts w:ascii="Times New Roman" w:hAnsi="Times New Roman" w:eastAsia="宋体" w:cs="Times New Roman"/>
                      <w:color w:val="000000"/>
                      <w:szCs w:val="21"/>
                    </w:rPr>
                  </w:pPr>
                </w:p>
              </w:tc>
              <w:tc>
                <w:tcPr>
                  <w:tcW w:w="445" w:type="pct"/>
                  <w:vMerge w:val="continue"/>
                  <w:vAlign w:val="center"/>
                </w:tcPr>
                <w:p>
                  <w:pPr>
                    <w:adjustRightInd w:val="0"/>
                    <w:snapToGrid w:val="0"/>
                    <w:jc w:val="center"/>
                    <w:rPr>
                      <w:rFonts w:ascii="Times New Roman" w:hAnsi="Times New Roman" w:eastAsia="宋体" w:cs="Times New Roman"/>
                      <w:color w:val="000000"/>
                      <w:szCs w:val="21"/>
                    </w:rPr>
                  </w:pPr>
                </w:p>
              </w:tc>
              <w:tc>
                <w:tcPr>
                  <w:tcW w:w="908" w:type="pct"/>
                  <w:vMerge w:val="continue"/>
                  <w:vAlign w:val="center"/>
                </w:tcPr>
                <w:p>
                  <w:pPr>
                    <w:adjustRightInd w:val="0"/>
                    <w:snapToGrid w:val="0"/>
                    <w:jc w:val="center"/>
                    <w:rPr>
                      <w:rFonts w:ascii="Times New Roman" w:hAnsi="Times New Roman" w:eastAsia="宋体" w:cs="Times New Roman"/>
                      <w:color w:val="000000"/>
                      <w:szCs w:val="21"/>
                    </w:rPr>
                  </w:pPr>
                </w:p>
              </w:tc>
              <w:tc>
                <w:tcPr>
                  <w:tcW w:w="485" w:type="pc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/d</w:t>
                  </w:r>
                </w:p>
              </w:tc>
              <w:tc>
                <w:tcPr>
                  <w:tcW w:w="596" w:type="pc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/a</w:t>
                  </w:r>
                </w:p>
              </w:tc>
              <w:tc>
                <w:tcPr>
                  <w:tcW w:w="602" w:type="pct"/>
                  <w:vMerge w:val="continue"/>
                  <w:vAlign w:val="center"/>
                </w:tcPr>
                <w:p>
                  <w:pPr>
                    <w:widowControl/>
                    <w:jc w:val="center"/>
                    <w:rPr>
                      <w:rFonts w:ascii="Times New Roman" w:hAnsi="Times New Roman" w:eastAsia="宋体" w:cs="Times New Roman"/>
                      <w:color w:val="000000"/>
                      <w:szCs w:val="21"/>
                    </w:rPr>
                  </w:pPr>
                </w:p>
              </w:tc>
              <w:tc>
                <w:tcPr>
                  <w:tcW w:w="452" w:type="pc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/d</w:t>
                  </w:r>
                </w:p>
              </w:tc>
              <w:tc>
                <w:tcPr>
                  <w:tcW w:w="654" w:type="pc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rPr>
                    <w:t>住院病房</w:t>
                  </w:r>
                  <w:r>
                    <w:rPr>
                      <w:rFonts w:ascii="Times New Roman" w:hAnsi="Times New Roman" w:eastAsia="宋体" w:cs="Times New Roman"/>
                      <w:color w:val="000000"/>
                      <w:szCs w:val="21"/>
                    </w:rPr>
                    <w:t>用水</w:t>
                  </w:r>
                </w:p>
              </w:tc>
              <w:tc>
                <w:tcPr>
                  <w:tcW w:w="44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50张</w:t>
                  </w:r>
                </w:p>
              </w:tc>
              <w:tc>
                <w:tcPr>
                  <w:tcW w:w="908" w:type="pct"/>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325</w:t>
                  </w:r>
                  <w:r>
                    <w:rPr>
                      <w:rFonts w:ascii="Times New Roman" w:hAnsi="Times New Roman" w:eastAsia="宋体" w:cs="Times New Roman"/>
                      <w:color w:val="000000"/>
                      <w:szCs w:val="21"/>
                    </w:rPr>
                    <w:t>L/床·d</w:t>
                  </w:r>
                </w:p>
              </w:tc>
              <w:tc>
                <w:tcPr>
                  <w:tcW w:w="844"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16.25 </w:t>
                  </w:r>
                </w:p>
              </w:tc>
              <w:tc>
                <w:tcPr>
                  <w:tcW w:w="1037"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5931.3 </w:t>
                  </w:r>
                </w:p>
              </w:tc>
              <w:tc>
                <w:tcPr>
                  <w:tcW w:w="602"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0.9</w:t>
                  </w:r>
                </w:p>
              </w:tc>
              <w:tc>
                <w:tcPr>
                  <w:tcW w:w="786"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14.63 </w:t>
                  </w:r>
                </w:p>
              </w:tc>
              <w:tc>
                <w:tcPr>
                  <w:tcW w:w="1139"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5338.1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门诊患者用水</w:t>
                  </w:r>
                </w:p>
              </w:tc>
              <w:tc>
                <w:tcPr>
                  <w:tcW w:w="44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35人</w:t>
                  </w:r>
                </w:p>
              </w:tc>
              <w:tc>
                <w:tcPr>
                  <w:tcW w:w="908" w:type="pct"/>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12.5</w:t>
                  </w:r>
                  <w:r>
                    <w:rPr>
                      <w:rFonts w:ascii="Times New Roman" w:hAnsi="Times New Roman" w:eastAsia="宋体" w:cs="Times New Roman"/>
                      <w:color w:val="000000"/>
                      <w:szCs w:val="21"/>
                    </w:rPr>
                    <w:t>L/人·次</w:t>
                  </w:r>
                </w:p>
              </w:tc>
              <w:tc>
                <w:tcPr>
                  <w:tcW w:w="844"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0.44 </w:t>
                  </w:r>
                </w:p>
              </w:tc>
              <w:tc>
                <w:tcPr>
                  <w:tcW w:w="1037"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159.7 </w:t>
                  </w:r>
                </w:p>
              </w:tc>
              <w:tc>
                <w:tcPr>
                  <w:tcW w:w="602"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0.9</w:t>
                  </w:r>
                </w:p>
              </w:tc>
              <w:tc>
                <w:tcPr>
                  <w:tcW w:w="786"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0.39 </w:t>
                  </w:r>
                </w:p>
              </w:tc>
              <w:tc>
                <w:tcPr>
                  <w:tcW w:w="1139"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143.7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医务人员用水</w:t>
                  </w:r>
                </w:p>
              </w:tc>
              <w:tc>
                <w:tcPr>
                  <w:tcW w:w="44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35人</w:t>
                  </w:r>
                </w:p>
              </w:tc>
              <w:tc>
                <w:tcPr>
                  <w:tcW w:w="908" w:type="pct"/>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200</w:t>
                  </w:r>
                  <w:r>
                    <w:rPr>
                      <w:rFonts w:ascii="Times New Roman" w:hAnsi="Times New Roman" w:eastAsia="宋体" w:cs="Times New Roman"/>
                      <w:color w:val="000000"/>
                      <w:szCs w:val="21"/>
                    </w:rPr>
                    <w:t>L/人·班</w:t>
                  </w:r>
                </w:p>
              </w:tc>
              <w:tc>
                <w:tcPr>
                  <w:tcW w:w="844"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7.00 </w:t>
                  </w:r>
                </w:p>
              </w:tc>
              <w:tc>
                <w:tcPr>
                  <w:tcW w:w="1037"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2555.0 </w:t>
                  </w:r>
                </w:p>
              </w:tc>
              <w:tc>
                <w:tcPr>
                  <w:tcW w:w="602"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0.9</w:t>
                  </w:r>
                </w:p>
              </w:tc>
              <w:tc>
                <w:tcPr>
                  <w:tcW w:w="786"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6.30 </w:t>
                  </w:r>
                </w:p>
              </w:tc>
              <w:tc>
                <w:tcPr>
                  <w:tcW w:w="1139"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2299.5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检验科废水</w:t>
                  </w:r>
                </w:p>
              </w:tc>
              <w:tc>
                <w:tcPr>
                  <w:tcW w:w="44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908"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44"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0.02 </w:t>
                  </w:r>
                </w:p>
              </w:tc>
              <w:tc>
                <w:tcPr>
                  <w:tcW w:w="1037"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8.0 </w:t>
                  </w:r>
                </w:p>
              </w:tc>
              <w:tc>
                <w:tcPr>
                  <w:tcW w:w="602"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0.9</w:t>
                  </w:r>
                </w:p>
              </w:tc>
              <w:tc>
                <w:tcPr>
                  <w:tcW w:w="786"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0.02 </w:t>
                  </w:r>
                </w:p>
              </w:tc>
              <w:tc>
                <w:tcPr>
                  <w:tcW w:w="1139"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7.2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合计</w:t>
                  </w:r>
                </w:p>
              </w:tc>
              <w:tc>
                <w:tcPr>
                  <w:tcW w:w="1354" w:type="pct"/>
                  <w:gridSpan w:val="2"/>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44"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23.71 </w:t>
                  </w:r>
                </w:p>
              </w:tc>
              <w:tc>
                <w:tcPr>
                  <w:tcW w:w="1037"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8653.9 </w:t>
                  </w:r>
                </w:p>
              </w:tc>
              <w:tc>
                <w:tcPr>
                  <w:tcW w:w="602" w:type="pc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786"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21.34 </w:t>
                  </w:r>
                </w:p>
              </w:tc>
              <w:tc>
                <w:tcPr>
                  <w:tcW w:w="1139"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7788.5 </w:t>
                  </w:r>
                </w:p>
              </w:tc>
            </w:tr>
          </w:tbl>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污水的主要污染因子是</w:t>
            </w:r>
            <w:r>
              <w:rPr>
                <w:rFonts w:hint="eastAsia" w:ascii="Times New Roman" w:hAnsi="Times New Roman" w:eastAsia="宋体" w:cs="Times New Roman"/>
                <w:color w:val="000000"/>
                <w:sz w:val="24"/>
                <w:szCs w:val="24"/>
                <w:lang w:val="en-US" w:eastAsia="zh-CN"/>
              </w:rPr>
              <w:t>PH、</w:t>
            </w:r>
            <w:r>
              <w:rPr>
                <w:rFonts w:ascii="Times New Roman" w:hAnsi="Times New Roman" w:eastAsia="宋体" w:cs="Times New Roman"/>
                <w:color w:val="000000"/>
                <w:sz w:val="24"/>
                <w:szCs w:val="24"/>
              </w:rPr>
              <w:t>COD</w:t>
            </w:r>
            <w:r>
              <w:rPr>
                <w:rFonts w:ascii="Times New Roman" w:hAnsi="Times New Roman" w:eastAsia="宋体" w:cs="Times New Roman"/>
                <w:color w:val="000000"/>
                <w:szCs w:val="21"/>
                <w:vertAlign w:val="subscript"/>
              </w:rPr>
              <w:t>cr</w:t>
            </w:r>
            <w:r>
              <w:rPr>
                <w:rFonts w:ascii="Times New Roman" w:hAnsi="Times New Roman" w:eastAsia="宋体" w:cs="Times New Roman"/>
                <w:color w:val="000000"/>
                <w:sz w:val="24"/>
                <w:szCs w:val="24"/>
              </w:rPr>
              <w:t>、BOD</w:t>
            </w:r>
            <w:r>
              <w:rPr>
                <w:rFonts w:ascii="Times New Roman" w:hAnsi="Times New Roman" w:eastAsia="宋体" w:cs="Times New Roman"/>
                <w:color w:val="000000"/>
                <w:sz w:val="24"/>
                <w:szCs w:val="24"/>
                <w:vertAlign w:val="subscript"/>
              </w:rPr>
              <w:t>5</w:t>
            </w:r>
            <w:r>
              <w:rPr>
                <w:rFonts w:ascii="Times New Roman" w:hAnsi="Times New Roman" w:eastAsia="宋体" w:cs="Times New Roman"/>
                <w:color w:val="000000"/>
                <w:sz w:val="24"/>
                <w:szCs w:val="24"/>
              </w:rPr>
              <w:t>、氨氮、SS、粪大肠菌群数，根据《医院污水处理工程技术规范》（HJ2029-2013）中医疗废水水质分析，确定项目医疗废水水质和污染物产生量见下表：</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表4-</w:t>
            </w:r>
            <w:r>
              <w:rPr>
                <w:rFonts w:hint="eastAsia" w:ascii="Times New Roman" w:hAnsi="Times New Roman" w:eastAsia="宋体" w:cs="Times New Roman"/>
                <w:b/>
                <w:bCs/>
                <w:color w:val="000000"/>
                <w:sz w:val="24"/>
              </w:rPr>
              <w:t>11</w:t>
            </w:r>
            <w:r>
              <w:rPr>
                <w:rFonts w:ascii="Times New Roman" w:hAnsi="Times New Roman" w:eastAsia="宋体" w:cs="Times New Roman"/>
                <w:b/>
                <w:bCs/>
                <w:color w:val="000000"/>
                <w:sz w:val="24"/>
              </w:rPr>
              <w:t>项目医疗废水主要污染物产生一览表</w:t>
            </w:r>
          </w:p>
          <w:tbl>
            <w:tblPr>
              <w:tblStyle w:val="29"/>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1305"/>
              <w:gridCol w:w="2697"/>
              <w:gridCol w:w="2808"/>
              <w:gridCol w:w="1885"/>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92" w:hRule="atLeast"/>
                <w:jc w:val="center"/>
              </w:trPr>
              <w:tc>
                <w:tcPr>
                  <w:tcW w:w="750" w:type="pct"/>
                  <w:vAlign w:val="center"/>
                </w:tcPr>
                <w:p>
                  <w:pPr>
                    <w:jc w:val="center"/>
                    <w:rPr>
                      <w:rFonts w:ascii="Times New Roman" w:hAnsi="Times New Roman" w:eastAsia="宋体" w:cs="Times New Roman"/>
                      <w:b/>
                      <w:color w:val="000000"/>
                      <w:szCs w:val="21"/>
                    </w:rPr>
                  </w:pPr>
                  <w:r>
                    <w:rPr>
                      <w:rFonts w:ascii="Times New Roman" w:hAnsi="Times New Roman" w:eastAsia="宋体" w:cs="Times New Roman"/>
                      <w:b/>
                      <w:color w:val="000000"/>
                      <w:szCs w:val="21"/>
                    </w:rPr>
                    <w:t>污水量</w:t>
                  </w:r>
                </w:p>
              </w:tc>
              <w:tc>
                <w:tcPr>
                  <w:tcW w:w="1550" w:type="pct"/>
                  <w:vAlign w:val="center"/>
                </w:tcPr>
                <w:p>
                  <w:pPr>
                    <w:jc w:val="center"/>
                    <w:rPr>
                      <w:rFonts w:ascii="Times New Roman" w:hAnsi="Times New Roman" w:eastAsia="宋体" w:cs="Times New Roman"/>
                      <w:b/>
                      <w:color w:val="000000"/>
                      <w:szCs w:val="21"/>
                    </w:rPr>
                  </w:pPr>
                  <w:r>
                    <w:rPr>
                      <w:rFonts w:ascii="Times New Roman" w:hAnsi="Times New Roman" w:eastAsia="宋体" w:cs="Times New Roman"/>
                      <w:b/>
                      <w:color w:val="000000"/>
                      <w:szCs w:val="21"/>
                    </w:rPr>
                    <w:t>水污染物</w:t>
                  </w:r>
                </w:p>
              </w:tc>
              <w:tc>
                <w:tcPr>
                  <w:tcW w:w="1614" w:type="pct"/>
                  <w:vAlign w:val="center"/>
                </w:tcPr>
                <w:p>
                  <w:pPr>
                    <w:jc w:val="center"/>
                    <w:rPr>
                      <w:rFonts w:ascii="Times New Roman" w:hAnsi="Times New Roman" w:eastAsia="宋体" w:cs="Times New Roman"/>
                      <w:b/>
                      <w:color w:val="000000"/>
                      <w:szCs w:val="21"/>
                    </w:rPr>
                  </w:pPr>
                  <w:r>
                    <w:rPr>
                      <w:rFonts w:ascii="Times New Roman" w:hAnsi="Times New Roman" w:eastAsia="宋体" w:cs="Times New Roman"/>
                      <w:b/>
                      <w:color w:val="000000"/>
                      <w:szCs w:val="21"/>
                    </w:rPr>
                    <w:t>产生浓度mg/L</w:t>
                  </w:r>
                </w:p>
              </w:tc>
              <w:tc>
                <w:tcPr>
                  <w:tcW w:w="1083" w:type="pct"/>
                  <w:vAlign w:val="center"/>
                </w:tcPr>
                <w:p>
                  <w:pPr>
                    <w:jc w:val="center"/>
                    <w:rPr>
                      <w:rFonts w:ascii="Times New Roman" w:hAnsi="Times New Roman" w:eastAsia="宋体" w:cs="Times New Roman"/>
                      <w:b/>
                      <w:color w:val="000000"/>
                      <w:szCs w:val="21"/>
                    </w:rPr>
                  </w:pPr>
                  <w:r>
                    <w:rPr>
                      <w:rFonts w:ascii="Times New Roman" w:hAnsi="Times New Roman" w:eastAsia="宋体" w:cs="Times New Roman"/>
                      <w:b/>
                      <w:color w:val="000000"/>
                      <w:szCs w:val="21"/>
                    </w:rPr>
                    <w:t>产生量t/a</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292" w:hRule="atLeast"/>
                <w:jc w:val="center"/>
              </w:trPr>
              <w:tc>
                <w:tcPr>
                  <w:tcW w:w="750" w:type="pct"/>
                  <w:vMerge w:val="restart"/>
                  <w:vAlign w:val="center"/>
                </w:tcPr>
                <w:p>
                  <w:pPr>
                    <w:jc w:val="center"/>
                    <w:rPr>
                      <w:rFonts w:ascii="Times New Roman" w:hAnsi="Times New Roman" w:eastAsia="宋体" w:cs="Times New Roman"/>
                      <w:color w:val="000000"/>
                      <w:szCs w:val="21"/>
                    </w:rPr>
                  </w:pPr>
                  <w:r>
                    <w:rPr>
                      <w:rFonts w:hint="eastAsia" w:ascii="Times New Roman" w:hAnsi="Times New Roman" w:eastAsia="宋体" w:cs="Times New Roman"/>
                      <w:bCs/>
                      <w:color w:val="000000"/>
                      <w:szCs w:val="21"/>
                      <w:lang w:val="en-US" w:eastAsia="zh-CN"/>
                    </w:rPr>
                    <w:t>7788.5</w:t>
                  </w:r>
                  <w:r>
                    <w:rPr>
                      <w:rFonts w:ascii="Times New Roman" w:hAnsi="Times New Roman" w:eastAsia="宋体" w:cs="Times New Roman"/>
                      <w:bCs/>
                      <w:color w:val="000000"/>
                      <w:szCs w:val="21"/>
                    </w:rPr>
                    <w:t>m</w:t>
                  </w:r>
                  <w:r>
                    <w:rPr>
                      <w:rFonts w:ascii="Times New Roman" w:hAnsi="Times New Roman" w:eastAsia="宋体" w:cs="Times New Roman"/>
                      <w:bCs/>
                      <w:color w:val="000000"/>
                      <w:szCs w:val="21"/>
                      <w:vertAlign w:val="superscript"/>
                    </w:rPr>
                    <w:t>3</w:t>
                  </w:r>
                  <w:r>
                    <w:rPr>
                      <w:rFonts w:ascii="Times New Roman" w:hAnsi="Times New Roman" w:eastAsia="宋体" w:cs="Times New Roman"/>
                      <w:color w:val="000000"/>
                      <w:szCs w:val="21"/>
                    </w:rPr>
                    <w:t>/a</w:t>
                  </w:r>
                </w:p>
              </w:tc>
              <w:tc>
                <w:tcPr>
                  <w:tcW w:w="1550" w:type="pct"/>
                  <w:vAlign w:val="center"/>
                </w:tcPr>
                <w:p>
                  <w:pPr>
                    <w:jc w:val="center"/>
                    <w:rPr>
                      <w:rFonts w:hint="default" w:ascii="Times New Roman" w:hAnsi="Times New Roman" w:eastAsia="宋体" w:cs="Times New Roman"/>
                      <w:b w:val="0"/>
                      <w:bCs/>
                      <w:color w:val="000000"/>
                      <w:szCs w:val="21"/>
                      <w:lang w:val="en-US" w:eastAsia="zh-CN"/>
                    </w:rPr>
                  </w:pPr>
                  <w:r>
                    <w:rPr>
                      <w:rFonts w:hint="eastAsia" w:ascii="Times New Roman" w:hAnsi="Times New Roman" w:eastAsia="宋体" w:cs="Times New Roman"/>
                      <w:b w:val="0"/>
                      <w:bCs/>
                      <w:color w:val="000000"/>
                      <w:szCs w:val="21"/>
                      <w:lang w:val="en-US" w:eastAsia="zh-CN"/>
                    </w:rPr>
                    <w:t>PH</w:t>
                  </w:r>
                </w:p>
              </w:tc>
              <w:tc>
                <w:tcPr>
                  <w:tcW w:w="1614" w:type="pct"/>
                  <w:vAlign w:val="center"/>
                </w:tcPr>
                <w:p>
                  <w:pPr>
                    <w:jc w:val="center"/>
                    <w:rPr>
                      <w:rFonts w:hint="default" w:ascii="Times New Roman" w:hAnsi="Times New Roman" w:eastAsia="宋体" w:cs="Times New Roman"/>
                      <w:b w:val="0"/>
                      <w:bCs/>
                      <w:color w:val="000000"/>
                      <w:szCs w:val="21"/>
                      <w:lang w:val="en-US" w:eastAsia="zh-CN"/>
                    </w:rPr>
                  </w:pPr>
                  <w:r>
                    <w:rPr>
                      <w:rFonts w:hint="eastAsia" w:ascii="Times New Roman" w:hAnsi="Times New Roman" w:eastAsia="宋体" w:cs="Times New Roman"/>
                      <w:b w:val="0"/>
                      <w:bCs/>
                      <w:color w:val="000000"/>
                      <w:szCs w:val="21"/>
                      <w:lang w:val="en-US" w:eastAsia="zh-CN"/>
                    </w:rPr>
                    <w:t>6~9</w:t>
                  </w:r>
                </w:p>
              </w:tc>
              <w:tc>
                <w:tcPr>
                  <w:tcW w:w="1083" w:type="pct"/>
                  <w:vAlign w:val="center"/>
                </w:tcPr>
                <w:p>
                  <w:pPr>
                    <w:jc w:val="center"/>
                    <w:rPr>
                      <w:rFonts w:ascii="Times New Roman" w:hAnsi="Times New Roman" w:eastAsia="宋体" w:cs="Times New Roman"/>
                      <w:b w:val="0"/>
                      <w:bCs/>
                      <w:color w:val="000000"/>
                      <w:szCs w:val="21"/>
                    </w:rPr>
                  </w:pPr>
                  <w:r>
                    <w:rPr>
                      <w:rFonts w:hint="eastAsia" w:ascii="Times New Roman" w:hAnsi="Times New Roman" w:eastAsia="宋体" w:cs="Times New Roman"/>
                      <w:b w:val="0"/>
                      <w:bCs/>
                      <w:color w:val="000000"/>
                      <w:szCs w:val="21"/>
                      <w:lang w:val="en-US" w:eastAsia="zh-CN"/>
                    </w:rPr>
                    <w:t>6~9</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6" w:hRule="atLeast"/>
                <w:jc w:val="center"/>
              </w:trPr>
              <w:tc>
                <w:tcPr>
                  <w:tcW w:w="750" w:type="pct"/>
                  <w:vMerge w:val="continue"/>
                  <w:vAlign w:val="center"/>
                </w:tcPr>
                <w:p>
                  <w:pPr>
                    <w:jc w:val="center"/>
                    <w:rPr>
                      <w:rFonts w:ascii="Times New Roman" w:hAnsi="Times New Roman" w:eastAsia="宋体" w:cs="Times New Roman"/>
                      <w:color w:val="000000"/>
                      <w:szCs w:val="21"/>
                    </w:rPr>
                  </w:pPr>
                </w:p>
              </w:tc>
              <w:tc>
                <w:tcPr>
                  <w:tcW w:w="1550" w:type="pc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COD</w:t>
                  </w:r>
                  <w:r>
                    <w:rPr>
                      <w:rFonts w:ascii="Times New Roman" w:hAnsi="Times New Roman" w:eastAsia="宋体" w:cs="Times New Roman"/>
                      <w:color w:val="000000"/>
                      <w:szCs w:val="21"/>
                      <w:vertAlign w:val="subscript"/>
                    </w:rPr>
                    <w:t>cr</w:t>
                  </w:r>
                </w:p>
              </w:tc>
              <w:tc>
                <w:tcPr>
                  <w:tcW w:w="2808" w:type="dxa"/>
                  <w:vAlign w:val="center"/>
                </w:tcPr>
                <w:p>
                  <w:pPr>
                    <w:keepNext w:val="0"/>
                    <w:keepLines w:val="0"/>
                    <w:widowControl/>
                    <w:suppressLineNumbers w:val="0"/>
                    <w:jc w:val="center"/>
                    <w:textAlignment w:val="center"/>
                    <w:rPr>
                      <w:rFonts w:hint="default" w:ascii="Times New Roman" w:hAnsi="Times New Roman" w:eastAsia="宋体" w:cs="Times New Roman"/>
                      <w:color w:val="000000"/>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300</w:t>
                  </w:r>
                </w:p>
              </w:tc>
              <w:tc>
                <w:tcPr>
                  <w:tcW w:w="1885"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2.34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6" w:hRule="atLeast"/>
                <w:jc w:val="center"/>
              </w:trPr>
              <w:tc>
                <w:tcPr>
                  <w:tcW w:w="750" w:type="pct"/>
                  <w:vMerge w:val="continue"/>
                  <w:vAlign w:val="center"/>
                </w:tcPr>
                <w:p>
                  <w:pPr>
                    <w:jc w:val="center"/>
                    <w:rPr>
                      <w:rFonts w:ascii="Times New Roman" w:hAnsi="Times New Roman" w:eastAsia="宋体" w:cs="Times New Roman"/>
                      <w:color w:val="000000"/>
                      <w:szCs w:val="21"/>
                    </w:rPr>
                  </w:pPr>
                </w:p>
              </w:tc>
              <w:tc>
                <w:tcPr>
                  <w:tcW w:w="1550" w:type="pc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BOD</w:t>
                  </w:r>
                  <w:r>
                    <w:rPr>
                      <w:rFonts w:ascii="Times New Roman" w:hAnsi="Times New Roman" w:eastAsia="宋体" w:cs="Times New Roman"/>
                      <w:color w:val="000000"/>
                      <w:szCs w:val="21"/>
                      <w:vertAlign w:val="subscript"/>
                    </w:rPr>
                    <w:t>5</w:t>
                  </w:r>
                </w:p>
              </w:tc>
              <w:tc>
                <w:tcPr>
                  <w:tcW w:w="2808" w:type="dxa"/>
                  <w:vAlign w:val="center"/>
                </w:tcPr>
                <w:p>
                  <w:pPr>
                    <w:keepNext w:val="0"/>
                    <w:keepLines w:val="0"/>
                    <w:widowControl/>
                    <w:suppressLineNumbers w:val="0"/>
                    <w:jc w:val="center"/>
                    <w:textAlignment w:val="center"/>
                    <w:rPr>
                      <w:rFonts w:hint="default" w:ascii="Times New Roman" w:hAnsi="Times New Roman" w:eastAsia="宋体" w:cs="Times New Roman"/>
                      <w:color w:val="000000"/>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150</w:t>
                  </w:r>
                </w:p>
              </w:tc>
              <w:tc>
                <w:tcPr>
                  <w:tcW w:w="1885"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1.17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6" w:hRule="atLeast"/>
                <w:jc w:val="center"/>
              </w:trPr>
              <w:tc>
                <w:tcPr>
                  <w:tcW w:w="750" w:type="pct"/>
                  <w:vMerge w:val="continue"/>
                  <w:vAlign w:val="center"/>
                </w:tcPr>
                <w:p>
                  <w:pPr>
                    <w:jc w:val="center"/>
                    <w:rPr>
                      <w:rFonts w:ascii="Times New Roman" w:hAnsi="Times New Roman" w:eastAsia="宋体" w:cs="Times New Roman"/>
                      <w:color w:val="000000"/>
                      <w:szCs w:val="21"/>
                    </w:rPr>
                  </w:pPr>
                </w:p>
              </w:tc>
              <w:tc>
                <w:tcPr>
                  <w:tcW w:w="1550" w:type="pc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SS</w:t>
                  </w:r>
                </w:p>
              </w:tc>
              <w:tc>
                <w:tcPr>
                  <w:tcW w:w="2808" w:type="dxa"/>
                  <w:vAlign w:val="center"/>
                </w:tcPr>
                <w:p>
                  <w:pPr>
                    <w:keepNext w:val="0"/>
                    <w:keepLines w:val="0"/>
                    <w:widowControl/>
                    <w:suppressLineNumbers w:val="0"/>
                    <w:jc w:val="center"/>
                    <w:textAlignment w:val="center"/>
                    <w:rPr>
                      <w:rFonts w:hint="default" w:ascii="Times New Roman" w:hAnsi="Times New Roman" w:eastAsia="宋体" w:cs="Times New Roman"/>
                      <w:color w:val="000000"/>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120</w:t>
                  </w:r>
                </w:p>
              </w:tc>
              <w:tc>
                <w:tcPr>
                  <w:tcW w:w="1885"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0.935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6" w:hRule="atLeast"/>
                <w:jc w:val="center"/>
              </w:trPr>
              <w:tc>
                <w:tcPr>
                  <w:tcW w:w="750" w:type="pct"/>
                  <w:vMerge w:val="continue"/>
                  <w:vAlign w:val="center"/>
                </w:tcPr>
                <w:p>
                  <w:pPr>
                    <w:jc w:val="center"/>
                    <w:rPr>
                      <w:rFonts w:ascii="Times New Roman" w:hAnsi="Times New Roman" w:eastAsia="宋体" w:cs="Times New Roman"/>
                      <w:color w:val="000000"/>
                      <w:szCs w:val="21"/>
                    </w:rPr>
                  </w:pPr>
                </w:p>
              </w:tc>
              <w:tc>
                <w:tcPr>
                  <w:tcW w:w="1550" w:type="pc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NH</w:t>
                  </w:r>
                  <w:r>
                    <w:rPr>
                      <w:rFonts w:ascii="Times New Roman" w:hAnsi="Times New Roman" w:eastAsia="宋体" w:cs="Times New Roman"/>
                      <w:color w:val="000000"/>
                      <w:szCs w:val="21"/>
                      <w:vertAlign w:val="subscript"/>
                    </w:rPr>
                    <w:t>3</w:t>
                  </w:r>
                  <w:r>
                    <w:rPr>
                      <w:rFonts w:ascii="Times New Roman" w:hAnsi="Times New Roman" w:eastAsia="宋体" w:cs="Times New Roman"/>
                      <w:color w:val="000000"/>
                      <w:szCs w:val="21"/>
                    </w:rPr>
                    <w:t>-N</w:t>
                  </w:r>
                </w:p>
              </w:tc>
              <w:tc>
                <w:tcPr>
                  <w:tcW w:w="2808" w:type="dxa"/>
                  <w:vAlign w:val="center"/>
                </w:tcPr>
                <w:p>
                  <w:pPr>
                    <w:keepNext w:val="0"/>
                    <w:keepLines w:val="0"/>
                    <w:widowControl/>
                    <w:suppressLineNumbers w:val="0"/>
                    <w:jc w:val="center"/>
                    <w:textAlignment w:val="center"/>
                    <w:rPr>
                      <w:rFonts w:hint="default" w:ascii="Times New Roman" w:hAnsi="Times New Roman" w:eastAsia="宋体" w:cs="Times New Roman"/>
                      <w:color w:val="000000"/>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50</w:t>
                  </w:r>
                </w:p>
              </w:tc>
              <w:tc>
                <w:tcPr>
                  <w:tcW w:w="1885" w:type="dxa"/>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0.389 </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02" w:hRule="atLeast"/>
                <w:jc w:val="center"/>
              </w:trPr>
              <w:tc>
                <w:tcPr>
                  <w:tcW w:w="750" w:type="pct"/>
                  <w:vMerge w:val="continue"/>
                  <w:vAlign w:val="center"/>
                </w:tcPr>
                <w:p>
                  <w:pPr>
                    <w:jc w:val="center"/>
                    <w:rPr>
                      <w:rFonts w:ascii="Times New Roman" w:hAnsi="Times New Roman" w:eastAsia="宋体" w:cs="Times New Roman"/>
                      <w:color w:val="000000"/>
                      <w:szCs w:val="21"/>
                    </w:rPr>
                  </w:pPr>
                </w:p>
              </w:tc>
              <w:tc>
                <w:tcPr>
                  <w:tcW w:w="1550" w:type="pc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粪大肠菌群</w:t>
                  </w:r>
                </w:p>
              </w:tc>
              <w:tc>
                <w:tcPr>
                  <w:tcW w:w="1614" w:type="pct"/>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1.6×10</w:t>
                  </w:r>
                  <w:r>
                    <w:rPr>
                      <w:rFonts w:ascii="Times New Roman" w:hAnsi="Times New Roman" w:eastAsia="宋体" w:cs="Times New Roman"/>
                      <w:color w:val="000000"/>
                      <w:szCs w:val="21"/>
                      <w:vertAlign w:val="superscript"/>
                    </w:rPr>
                    <w:t>8</w:t>
                  </w:r>
                  <w:r>
                    <w:rPr>
                      <w:rFonts w:ascii="Times New Roman" w:hAnsi="Times New Roman" w:eastAsia="宋体" w:cs="Times New Roman"/>
                      <w:bCs/>
                      <w:color w:val="000000"/>
                      <w:szCs w:val="21"/>
                    </w:rPr>
                    <w:t>MPN/L</w:t>
                  </w:r>
                </w:p>
              </w:tc>
              <w:tc>
                <w:tcPr>
                  <w:tcW w:w="1083" w:type="pct"/>
                  <w:vAlign w:val="center"/>
                </w:tcPr>
                <w:p>
                  <w:pPr>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1.25</w:t>
                  </w:r>
                  <w:r>
                    <w:rPr>
                      <w:rFonts w:ascii="Times New Roman" w:hAnsi="Times New Roman" w:eastAsia="宋体" w:cs="Times New Roman"/>
                      <w:color w:val="000000"/>
                      <w:szCs w:val="21"/>
                    </w:rPr>
                    <w:t>×10</w:t>
                  </w:r>
                  <w:r>
                    <w:rPr>
                      <w:rFonts w:ascii="Times New Roman" w:hAnsi="Times New Roman" w:eastAsia="宋体" w:cs="Times New Roman"/>
                      <w:color w:val="000000"/>
                      <w:szCs w:val="21"/>
                      <w:vertAlign w:val="superscript"/>
                    </w:rPr>
                    <w:t>1</w:t>
                  </w:r>
                  <w:r>
                    <w:rPr>
                      <w:rFonts w:hint="eastAsia" w:ascii="Times New Roman" w:hAnsi="Times New Roman" w:eastAsia="宋体" w:cs="Times New Roman"/>
                      <w:color w:val="000000"/>
                      <w:szCs w:val="21"/>
                      <w:vertAlign w:val="superscript"/>
                      <w:lang w:val="en-US" w:eastAsia="zh-CN"/>
                    </w:rPr>
                    <w:t>5</w:t>
                  </w:r>
                  <w:r>
                    <w:rPr>
                      <w:rFonts w:ascii="Times New Roman" w:hAnsi="Times New Roman" w:eastAsia="宋体" w:cs="Times New Roman"/>
                      <w:bCs/>
                      <w:color w:val="000000"/>
                      <w:szCs w:val="21"/>
                    </w:rPr>
                    <w:t>MPN</w:t>
                  </w:r>
                </w:p>
              </w:tc>
            </w:tr>
          </w:tbl>
          <w:p>
            <w:pPr>
              <w:pStyle w:val="39"/>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（3）综合废水情况汇总</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医疗废水（检验科废水经中和预处理）、生活污水经化粪池处理后一起进入医院自建污水处理站（160m³/d），</w:t>
            </w:r>
            <w:r>
              <w:rPr>
                <w:rFonts w:hint="eastAsia" w:ascii="Times New Roman" w:hAnsi="Times New Roman" w:eastAsia="宋体" w:cs="Times New Roman"/>
                <w:color w:val="000000"/>
                <w:sz w:val="24"/>
                <w:szCs w:val="24"/>
                <w:lang w:val="en-US" w:eastAsia="zh-CN"/>
              </w:rPr>
              <w:t>其中</w:t>
            </w:r>
            <w:r>
              <w:rPr>
                <w:rFonts w:hint="eastAsia" w:ascii="Times New Roman" w:hAnsi="Times New Roman" w:eastAsia="宋体" w:cs="Times New Roman"/>
                <w:color w:val="000000"/>
                <w:sz w:val="24"/>
                <w:szCs w:val="24"/>
              </w:rPr>
              <w:t>食堂废水依托湛江市养老服务中心的三级化粪池、隔油池进行处理后，直接排入市政管网。</w:t>
            </w:r>
            <w:r>
              <w:rPr>
                <w:rFonts w:ascii="Times New Roman" w:hAnsi="Times New Roman" w:eastAsia="宋体" w:cs="Times New Roman"/>
                <w:color w:val="000000"/>
                <w:sz w:val="24"/>
                <w:szCs w:val="24"/>
              </w:rPr>
              <w:t>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综合废水量及各类污染物产生量与排放量汇总见下表。</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表4-</w:t>
            </w:r>
            <w:r>
              <w:rPr>
                <w:rFonts w:hint="eastAsia" w:ascii="Times New Roman" w:hAnsi="Times New Roman" w:eastAsia="宋体" w:cs="Times New Roman"/>
                <w:b/>
                <w:bCs/>
                <w:color w:val="000000"/>
                <w:sz w:val="24"/>
              </w:rPr>
              <w:t>12</w:t>
            </w:r>
            <w:r>
              <w:rPr>
                <w:rFonts w:ascii="Times New Roman" w:hAnsi="Times New Roman" w:eastAsia="宋体" w:cs="Times New Roman"/>
                <w:b/>
                <w:bCs/>
                <w:color w:val="000000"/>
                <w:sz w:val="24"/>
              </w:rPr>
              <w:t>项目</w:t>
            </w:r>
            <w:r>
              <w:rPr>
                <w:rFonts w:hint="eastAsia" w:ascii="Times New Roman" w:hAnsi="Times New Roman" w:eastAsia="宋体" w:cs="Times New Roman"/>
                <w:b/>
                <w:bCs/>
                <w:color w:val="000000"/>
                <w:sz w:val="24"/>
              </w:rPr>
              <w:t>运营期</w:t>
            </w:r>
            <w:r>
              <w:rPr>
                <w:rFonts w:ascii="Times New Roman" w:hAnsi="Times New Roman" w:eastAsia="宋体" w:cs="Times New Roman"/>
                <w:b/>
                <w:bCs/>
                <w:color w:val="000000"/>
                <w:sz w:val="24"/>
              </w:rPr>
              <w:t>废水中主要污染物浓度及污染负荷情况</w:t>
            </w:r>
          </w:p>
          <w:tbl>
            <w:tblPr>
              <w:tblStyle w:val="29"/>
              <w:tblW w:w="4998" w:type="pct"/>
              <w:jc w:val="center"/>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autofit"/>
              <w:tblCellMar>
                <w:top w:w="0" w:type="dxa"/>
                <w:left w:w="108" w:type="dxa"/>
                <w:bottom w:w="0" w:type="dxa"/>
                <w:right w:w="108" w:type="dxa"/>
              </w:tblCellMar>
            </w:tblPr>
            <w:tblGrid>
              <w:gridCol w:w="426"/>
              <w:gridCol w:w="1222"/>
              <w:gridCol w:w="869"/>
              <w:gridCol w:w="629"/>
              <w:gridCol w:w="766"/>
              <w:gridCol w:w="728"/>
              <w:gridCol w:w="689"/>
              <w:gridCol w:w="809"/>
              <w:gridCol w:w="1039"/>
              <w:gridCol w:w="1518"/>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3" w:hRule="atLeast"/>
                <w:jc w:val="center"/>
              </w:trPr>
              <w:tc>
                <w:tcPr>
                  <w:tcW w:w="1428" w:type="pct"/>
                  <w:gridSpan w:val="3"/>
                  <w:vAlign w:val="center"/>
                </w:tcPr>
                <w:p>
                  <w:pPr>
                    <w:widowControl/>
                    <w:snapToGrid w:val="0"/>
                    <w:spacing w:line="240" w:lineRule="atLeast"/>
                    <w:ind w:firstLine="36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污染物</w:t>
                  </w:r>
                </w:p>
              </w:tc>
              <w:tc>
                <w:tcPr>
                  <w:tcW w:w="371" w:type="pct"/>
                  <w:vAlign w:val="center"/>
                </w:tcPr>
                <w:p>
                  <w:pPr>
                    <w:widowControl/>
                    <w:snapToGrid w:val="0"/>
                    <w:spacing w:line="240" w:lineRule="atLeast"/>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PH</w:t>
                  </w:r>
                </w:p>
              </w:tc>
              <w:tc>
                <w:tcPr>
                  <w:tcW w:w="440"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COD</w:t>
                  </w:r>
                  <w:r>
                    <w:rPr>
                      <w:rFonts w:ascii="Times New Roman" w:hAnsi="Times New Roman" w:eastAsia="宋体" w:cs="Times New Roman"/>
                      <w:color w:val="000000"/>
                      <w:szCs w:val="21"/>
                      <w:vertAlign w:val="subscript"/>
                    </w:rPr>
                    <w:t>cr</w:t>
                  </w:r>
                </w:p>
              </w:tc>
              <w:tc>
                <w:tcPr>
                  <w:tcW w:w="41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BOD</w:t>
                  </w:r>
                  <w:r>
                    <w:rPr>
                      <w:rFonts w:ascii="Times New Roman" w:hAnsi="Times New Roman" w:eastAsia="宋体" w:cs="Times New Roman"/>
                      <w:color w:val="000000"/>
                      <w:szCs w:val="21"/>
                      <w:vertAlign w:val="subscript"/>
                    </w:rPr>
                    <w:t>5</w:t>
                  </w:r>
                </w:p>
              </w:tc>
              <w:tc>
                <w:tcPr>
                  <w:tcW w:w="396" w:type="pct"/>
                  <w:vAlign w:val="center"/>
                </w:tcPr>
                <w:p>
                  <w:pPr>
                    <w:widowControl/>
                    <w:snapToGrid w:val="0"/>
                    <w:spacing w:line="240" w:lineRule="atLeast"/>
                    <w:jc w:val="center"/>
                    <w:rPr>
                      <w:rFonts w:ascii="Times New Roman" w:hAnsi="Times New Roman" w:eastAsia="宋体" w:cs="Times New Roman"/>
                      <w:color w:val="000000"/>
                    </w:rPr>
                  </w:pPr>
                  <w:r>
                    <w:rPr>
                      <w:rFonts w:ascii="Times New Roman" w:hAnsi="Times New Roman" w:eastAsia="宋体" w:cs="Times New Roman"/>
                      <w:color w:val="000000"/>
                      <w:szCs w:val="21"/>
                    </w:rPr>
                    <w:t>SS</w:t>
                  </w:r>
                </w:p>
              </w:tc>
              <w:tc>
                <w:tcPr>
                  <w:tcW w:w="465"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NH</w:t>
                  </w:r>
                  <w:r>
                    <w:rPr>
                      <w:rFonts w:ascii="Times New Roman" w:hAnsi="Times New Roman" w:eastAsia="宋体" w:cs="Times New Roman"/>
                      <w:color w:val="000000"/>
                      <w:szCs w:val="21"/>
                      <w:vertAlign w:val="subscript"/>
                    </w:rPr>
                    <w:t>3</w:t>
                  </w:r>
                  <w:r>
                    <w:rPr>
                      <w:rFonts w:ascii="Times New Roman" w:hAnsi="Times New Roman" w:eastAsia="宋体" w:cs="Times New Roman"/>
                      <w:color w:val="000000"/>
                      <w:szCs w:val="21"/>
                    </w:rPr>
                    <w:t>-N</w:t>
                  </w:r>
                </w:p>
              </w:tc>
              <w:tc>
                <w:tcPr>
                  <w:tcW w:w="607" w:type="pct"/>
                  <w:vAlign w:val="center"/>
                </w:tcPr>
                <w:p>
                  <w:pPr>
                    <w:widowControl/>
                    <w:snapToGrid w:val="0"/>
                    <w:spacing w:line="240" w:lineRule="atLeast"/>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动植物油</w:t>
                  </w:r>
                </w:p>
              </w:tc>
              <w:tc>
                <w:tcPr>
                  <w:tcW w:w="872"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粪大肠菌群数</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3" w:hRule="atLeast"/>
                <w:jc w:val="center"/>
              </w:trPr>
              <w:tc>
                <w:tcPr>
                  <w:tcW w:w="207" w:type="pct"/>
                  <w:vMerge w:val="restar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生活</w:t>
                  </w:r>
                </w:p>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污水</w:t>
                  </w:r>
                </w:p>
              </w:tc>
              <w:tc>
                <w:tcPr>
                  <w:tcW w:w="712"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污水量</w:t>
                  </w:r>
                </w:p>
              </w:tc>
              <w:tc>
                <w:tcPr>
                  <w:tcW w:w="50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产生浓度(mg/L)</w:t>
                  </w:r>
                </w:p>
              </w:tc>
              <w:tc>
                <w:tcPr>
                  <w:tcW w:w="371" w:type="pct"/>
                  <w:vAlign w:val="center"/>
                </w:tcPr>
                <w:p>
                  <w:pPr>
                    <w:widowControl/>
                    <w:snapToGrid w:val="0"/>
                    <w:spacing w:line="240" w:lineRule="atLeast"/>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6~9</w:t>
                  </w:r>
                </w:p>
              </w:tc>
              <w:tc>
                <w:tcPr>
                  <w:tcW w:w="440"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300</w:t>
                  </w:r>
                </w:p>
              </w:tc>
              <w:tc>
                <w:tcPr>
                  <w:tcW w:w="41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200</w:t>
                  </w:r>
                </w:p>
              </w:tc>
              <w:tc>
                <w:tcPr>
                  <w:tcW w:w="396" w:type="pct"/>
                  <w:vAlign w:val="center"/>
                </w:tcPr>
                <w:p>
                  <w:pPr>
                    <w:widowControl/>
                    <w:snapToGrid w:val="0"/>
                    <w:spacing w:line="240" w:lineRule="atLeast"/>
                    <w:jc w:val="center"/>
                    <w:rPr>
                      <w:rFonts w:ascii="Times New Roman" w:hAnsi="Times New Roman" w:eastAsia="宋体" w:cs="Times New Roman"/>
                      <w:color w:val="000000"/>
                    </w:rPr>
                  </w:pPr>
                  <w:r>
                    <w:rPr>
                      <w:rFonts w:hint="eastAsia" w:ascii="Times New Roman" w:hAnsi="Times New Roman" w:eastAsia="宋体" w:cs="Times New Roman"/>
                      <w:color w:val="000000"/>
                      <w:szCs w:val="21"/>
                      <w:lang w:val="en-US" w:eastAsia="zh-CN"/>
                    </w:rPr>
                    <w:t>2</w:t>
                  </w:r>
                  <w:r>
                    <w:rPr>
                      <w:rFonts w:ascii="Times New Roman" w:hAnsi="Times New Roman" w:eastAsia="宋体" w:cs="Times New Roman"/>
                      <w:color w:val="000000"/>
                      <w:szCs w:val="21"/>
                    </w:rPr>
                    <w:t>50</w:t>
                  </w:r>
                </w:p>
              </w:tc>
              <w:tc>
                <w:tcPr>
                  <w:tcW w:w="465"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30</w:t>
                  </w:r>
                </w:p>
              </w:tc>
              <w:tc>
                <w:tcPr>
                  <w:tcW w:w="607" w:type="pct"/>
                  <w:vAlign w:val="center"/>
                </w:tcPr>
                <w:p>
                  <w:pPr>
                    <w:widowControl/>
                    <w:snapToGrid w:val="0"/>
                    <w:spacing w:line="240" w:lineRule="atLeast"/>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80</w:t>
                  </w:r>
                </w:p>
              </w:tc>
              <w:tc>
                <w:tcPr>
                  <w:tcW w:w="872"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3" w:hRule="atLeast"/>
                <w:jc w:val="center"/>
              </w:trPr>
              <w:tc>
                <w:tcPr>
                  <w:tcW w:w="207" w:type="pct"/>
                  <w:vMerge w:val="continue"/>
                  <w:vAlign w:val="center"/>
                </w:tcPr>
                <w:p>
                  <w:pPr>
                    <w:widowControl/>
                    <w:jc w:val="center"/>
                    <w:rPr>
                      <w:rFonts w:ascii="Times New Roman" w:hAnsi="Times New Roman" w:eastAsia="宋体" w:cs="Times New Roman"/>
                      <w:color w:val="000000"/>
                      <w:szCs w:val="21"/>
                    </w:rPr>
                  </w:pPr>
                </w:p>
              </w:tc>
              <w:tc>
                <w:tcPr>
                  <w:tcW w:w="712" w:type="pct"/>
                  <w:vAlign w:val="center"/>
                </w:tcPr>
                <w:p>
                  <w:pPr>
                    <w:widowControl/>
                    <w:snapToGrid w:val="0"/>
                    <w:spacing w:line="240" w:lineRule="atLeast"/>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739.1</w:t>
                  </w: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/a</w:t>
                  </w:r>
                </w:p>
              </w:tc>
              <w:tc>
                <w:tcPr>
                  <w:tcW w:w="50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年产生量(t/a)</w:t>
                  </w:r>
                </w:p>
              </w:tc>
              <w:tc>
                <w:tcPr>
                  <w:tcW w:w="371"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w:t>
                  </w:r>
                </w:p>
              </w:tc>
              <w:tc>
                <w:tcPr>
                  <w:tcW w:w="440"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0.222</w:t>
                  </w:r>
                </w:p>
              </w:tc>
              <w:tc>
                <w:tcPr>
                  <w:tcW w:w="418"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0.148</w:t>
                  </w:r>
                </w:p>
              </w:tc>
              <w:tc>
                <w:tcPr>
                  <w:tcW w:w="396" w:type="pct"/>
                  <w:vAlign w:val="center"/>
                </w:tcPr>
                <w:p>
                  <w:pPr>
                    <w:keepNext w:val="0"/>
                    <w:keepLines w:val="0"/>
                    <w:widowControl/>
                    <w:suppressLineNumbers w:val="0"/>
                    <w:jc w:val="center"/>
                    <w:textAlignment w:val="center"/>
                    <w:rPr>
                      <w:rFonts w:ascii="Times New Roman" w:hAnsi="Times New Roman" w:eastAsia="宋体" w:cs="Times New Roman"/>
                      <w:color w:val="000000"/>
                    </w:rPr>
                  </w:pPr>
                  <w:r>
                    <w:rPr>
                      <w:rFonts w:hint="default" w:ascii="Times New Roman" w:hAnsi="Times New Roman" w:eastAsia="宋体" w:cs="Times New Roman"/>
                      <w:i w:val="0"/>
                      <w:iCs w:val="0"/>
                      <w:color w:val="000000"/>
                      <w:kern w:val="0"/>
                      <w:sz w:val="21"/>
                      <w:szCs w:val="21"/>
                      <w:u w:val="none"/>
                      <w:lang w:val="en-US" w:eastAsia="zh-CN" w:bidi="ar"/>
                    </w:rPr>
                    <w:t>0.185</w:t>
                  </w:r>
                </w:p>
              </w:tc>
              <w:tc>
                <w:tcPr>
                  <w:tcW w:w="465"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0.022</w:t>
                  </w:r>
                </w:p>
              </w:tc>
              <w:tc>
                <w:tcPr>
                  <w:tcW w:w="607" w:type="pct"/>
                  <w:vAlign w:val="center"/>
                </w:tcPr>
                <w:p>
                  <w:pPr>
                    <w:keepNext w:val="0"/>
                    <w:keepLines w:val="0"/>
                    <w:widowControl/>
                    <w:suppressLineNumbers w:val="0"/>
                    <w:jc w:val="center"/>
                    <w:textAlignment w:val="center"/>
                    <w:rPr>
                      <w:rFonts w:hint="default" w:ascii="Times New Roman" w:hAnsi="Times New Roman" w:eastAsia="宋体" w:cs="Times New Roman"/>
                      <w:color w:val="000000"/>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0.059</w:t>
                  </w:r>
                </w:p>
              </w:tc>
              <w:tc>
                <w:tcPr>
                  <w:tcW w:w="872"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3" w:hRule="atLeast"/>
                <w:jc w:val="center"/>
              </w:trPr>
              <w:tc>
                <w:tcPr>
                  <w:tcW w:w="207" w:type="pct"/>
                  <w:vMerge w:val="restar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医疗</w:t>
                  </w:r>
                </w:p>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废水</w:t>
                  </w:r>
                </w:p>
              </w:tc>
              <w:tc>
                <w:tcPr>
                  <w:tcW w:w="712"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污水量</w:t>
                  </w:r>
                </w:p>
              </w:tc>
              <w:tc>
                <w:tcPr>
                  <w:tcW w:w="50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产生浓度(mg/L)</w:t>
                  </w:r>
                </w:p>
              </w:tc>
              <w:tc>
                <w:tcPr>
                  <w:tcW w:w="371" w:type="pct"/>
                  <w:vAlign w:val="center"/>
                </w:tcPr>
                <w:p>
                  <w:pPr>
                    <w:widowControl/>
                    <w:snapToGrid w:val="0"/>
                    <w:spacing w:line="240" w:lineRule="atLeast"/>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6~9</w:t>
                  </w:r>
                </w:p>
              </w:tc>
              <w:tc>
                <w:tcPr>
                  <w:tcW w:w="440"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300</w:t>
                  </w:r>
                </w:p>
              </w:tc>
              <w:tc>
                <w:tcPr>
                  <w:tcW w:w="41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150</w:t>
                  </w:r>
                </w:p>
              </w:tc>
              <w:tc>
                <w:tcPr>
                  <w:tcW w:w="396" w:type="pct"/>
                  <w:vAlign w:val="center"/>
                </w:tcPr>
                <w:p>
                  <w:pPr>
                    <w:widowControl/>
                    <w:snapToGrid w:val="0"/>
                    <w:spacing w:line="240" w:lineRule="atLeast"/>
                    <w:jc w:val="center"/>
                    <w:rPr>
                      <w:rFonts w:ascii="Times New Roman" w:hAnsi="Times New Roman" w:eastAsia="宋体" w:cs="Times New Roman"/>
                      <w:color w:val="000000"/>
                    </w:rPr>
                  </w:pPr>
                  <w:r>
                    <w:rPr>
                      <w:rFonts w:ascii="Times New Roman" w:hAnsi="Times New Roman" w:eastAsia="宋体" w:cs="Times New Roman"/>
                      <w:color w:val="000000"/>
                      <w:szCs w:val="21"/>
                    </w:rPr>
                    <w:t>120</w:t>
                  </w:r>
                </w:p>
              </w:tc>
              <w:tc>
                <w:tcPr>
                  <w:tcW w:w="465"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w:t>
                  </w:r>
                </w:p>
              </w:tc>
              <w:tc>
                <w:tcPr>
                  <w:tcW w:w="607" w:type="pct"/>
                  <w:vAlign w:val="center"/>
                </w:tcPr>
                <w:p>
                  <w:pPr>
                    <w:widowControl/>
                    <w:snapToGrid w:val="0"/>
                    <w:spacing w:line="240" w:lineRule="atLeast"/>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w:t>
                  </w:r>
                </w:p>
              </w:tc>
              <w:tc>
                <w:tcPr>
                  <w:tcW w:w="872"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1.6×10</w:t>
                  </w:r>
                  <w:r>
                    <w:rPr>
                      <w:rFonts w:ascii="Times New Roman" w:hAnsi="Times New Roman" w:eastAsia="宋体" w:cs="Times New Roman"/>
                      <w:color w:val="000000"/>
                      <w:szCs w:val="21"/>
                      <w:vertAlign w:val="superscript"/>
                    </w:rPr>
                    <w:t>8</w:t>
                  </w:r>
                  <w:r>
                    <w:rPr>
                      <w:rFonts w:ascii="Times New Roman" w:hAnsi="Times New Roman" w:eastAsia="宋体" w:cs="Times New Roman"/>
                      <w:color w:val="000000"/>
                      <w:szCs w:val="21"/>
                    </w:rPr>
                    <w:t>MPN/L</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3" w:hRule="atLeast"/>
                <w:jc w:val="center"/>
              </w:trPr>
              <w:tc>
                <w:tcPr>
                  <w:tcW w:w="207" w:type="pct"/>
                  <w:vMerge w:val="continue"/>
                  <w:vAlign w:val="center"/>
                </w:tcPr>
                <w:p>
                  <w:pPr>
                    <w:widowControl/>
                    <w:jc w:val="center"/>
                    <w:rPr>
                      <w:rFonts w:ascii="Times New Roman" w:hAnsi="Times New Roman" w:eastAsia="宋体" w:cs="Times New Roman"/>
                      <w:color w:val="000000"/>
                      <w:szCs w:val="21"/>
                    </w:rPr>
                  </w:pPr>
                </w:p>
              </w:tc>
              <w:tc>
                <w:tcPr>
                  <w:tcW w:w="712" w:type="pct"/>
                  <w:vAlign w:val="center"/>
                </w:tcPr>
                <w:p>
                  <w:pPr>
                    <w:widowControl/>
                    <w:snapToGrid w:val="0"/>
                    <w:spacing w:line="240" w:lineRule="atLeast"/>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7788.5</w:t>
                  </w: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/a</w:t>
                  </w:r>
                </w:p>
              </w:tc>
              <w:tc>
                <w:tcPr>
                  <w:tcW w:w="50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年产生量(t/a)</w:t>
                  </w:r>
                </w:p>
              </w:tc>
              <w:tc>
                <w:tcPr>
                  <w:tcW w:w="371"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w:t>
                  </w:r>
                </w:p>
              </w:tc>
              <w:tc>
                <w:tcPr>
                  <w:tcW w:w="440"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2.34</w:t>
                  </w:r>
                </w:p>
              </w:tc>
              <w:tc>
                <w:tcPr>
                  <w:tcW w:w="418"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1.17</w:t>
                  </w:r>
                </w:p>
              </w:tc>
              <w:tc>
                <w:tcPr>
                  <w:tcW w:w="396" w:type="pct"/>
                  <w:vAlign w:val="center"/>
                </w:tcPr>
                <w:p>
                  <w:pPr>
                    <w:keepNext w:val="0"/>
                    <w:keepLines w:val="0"/>
                    <w:widowControl/>
                    <w:suppressLineNumbers w:val="0"/>
                    <w:jc w:val="center"/>
                    <w:textAlignment w:val="center"/>
                    <w:rPr>
                      <w:rFonts w:ascii="Times New Roman" w:hAnsi="Times New Roman" w:eastAsia="宋体" w:cs="Times New Roman"/>
                      <w:color w:val="000000"/>
                    </w:rPr>
                  </w:pPr>
                  <w:r>
                    <w:rPr>
                      <w:rFonts w:hint="default" w:ascii="Times New Roman" w:hAnsi="Times New Roman" w:eastAsia="宋体" w:cs="Times New Roman"/>
                      <w:i w:val="0"/>
                      <w:iCs w:val="0"/>
                      <w:color w:val="000000"/>
                      <w:kern w:val="0"/>
                      <w:sz w:val="21"/>
                      <w:szCs w:val="21"/>
                      <w:u w:val="none"/>
                      <w:lang w:val="en-US" w:eastAsia="zh-CN" w:bidi="ar"/>
                    </w:rPr>
                    <w:t>0.935</w:t>
                  </w:r>
                </w:p>
              </w:tc>
              <w:tc>
                <w:tcPr>
                  <w:tcW w:w="465"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0.389</w:t>
                  </w:r>
                </w:p>
              </w:tc>
              <w:tc>
                <w:tcPr>
                  <w:tcW w:w="607"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w:t>
                  </w:r>
                </w:p>
              </w:tc>
              <w:tc>
                <w:tcPr>
                  <w:tcW w:w="872"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1.25×10</w:t>
                  </w:r>
                  <w:r>
                    <w:rPr>
                      <w:rFonts w:hint="default" w:ascii="Times New Roman" w:hAnsi="Times New Roman" w:eastAsia="宋体" w:cs="Times New Roman"/>
                      <w:i w:val="0"/>
                      <w:iCs w:val="0"/>
                      <w:color w:val="000000"/>
                      <w:kern w:val="0"/>
                      <w:sz w:val="21"/>
                      <w:szCs w:val="21"/>
                      <w:u w:val="none"/>
                      <w:vertAlign w:val="superscript"/>
                      <w:lang w:val="en-US" w:eastAsia="zh-CN" w:bidi="ar"/>
                    </w:rPr>
                    <w:t>15</w:t>
                  </w:r>
                  <w:r>
                    <w:rPr>
                      <w:rFonts w:hint="default" w:ascii="Times New Roman" w:hAnsi="Times New Roman" w:eastAsia="宋体" w:cs="Times New Roman"/>
                      <w:i w:val="0"/>
                      <w:iCs w:val="0"/>
                      <w:color w:val="000000"/>
                      <w:kern w:val="0"/>
                      <w:sz w:val="21"/>
                      <w:szCs w:val="21"/>
                      <w:u w:val="none"/>
                      <w:lang w:val="en-US" w:eastAsia="zh-CN" w:bidi="ar"/>
                    </w:rPr>
                    <w:t>MPN</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3" w:hRule="atLeast"/>
                <w:jc w:val="center"/>
              </w:trPr>
              <w:tc>
                <w:tcPr>
                  <w:tcW w:w="207" w:type="pct"/>
                  <w:vMerge w:val="restar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综合废水</w:t>
                  </w:r>
                </w:p>
              </w:tc>
              <w:tc>
                <w:tcPr>
                  <w:tcW w:w="712"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污水量</w:t>
                  </w:r>
                </w:p>
              </w:tc>
              <w:tc>
                <w:tcPr>
                  <w:tcW w:w="50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年产生量(t/a)</w:t>
                  </w:r>
                </w:p>
              </w:tc>
              <w:tc>
                <w:tcPr>
                  <w:tcW w:w="371"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w:t>
                  </w:r>
                </w:p>
              </w:tc>
              <w:tc>
                <w:tcPr>
                  <w:tcW w:w="440"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2.56</w:t>
                  </w:r>
                </w:p>
              </w:tc>
              <w:tc>
                <w:tcPr>
                  <w:tcW w:w="418"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1.32</w:t>
                  </w:r>
                </w:p>
              </w:tc>
              <w:tc>
                <w:tcPr>
                  <w:tcW w:w="396"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1.12</w:t>
                  </w:r>
                </w:p>
              </w:tc>
              <w:tc>
                <w:tcPr>
                  <w:tcW w:w="465"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0.411</w:t>
                  </w:r>
                </w:p>
              </w:tc>
              <w:tc>
                <w:tcPr>
                  <w:tcW w:w="607"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0.059</w:t>
                  </w:r>
                </w:p>
              </w:tc>
              <w:tc>
                <w:tcPr>
                  <w:tcW w:w="872"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1.25×10</w:t>
                  </w:r>
                  <w:r>
                    <w:rPr>
                      <w:rFonts w:hint="default" w:ascii="Times New Roman" w:hAnsi="Times New Roman" w:eastAsia="宋体" w:cs="Times New Roman"/>
                      <w:i w:val="0"/>
                      <w:iCs w:val="0"/>
                      <w:color w:val="000000"/>
                      <w:kern w:val="0"/>
                      <w:sz w:val="21"/>
                      <w:szCs w:val="21"/>
                      <w:u w:val="none"/>
                      <w:vertAlign w:val="superscript"/>
                      <w:lang w:val="en-US" w:eastAsia="zh-CN" w:bidi="ar"/>
                    </w:rPr>
                    <w:t>15</w:t>
                  </w:r>
                  <w:r>
                    <w:rPr>
                      <w:rFonts w:hint="default" w:ascii="Times New Roman" w:hAnsi="Times New Roman" w:eastAsia="宋体" w:cs="Times New Roman"/>
                      <w:i w:val="0"/>
                      <w:iCs w:val="0"/>
                      <w:color w:val="000000"/>
                      <w:kern w:val="0"/>
                      <w:sz w:val="21"/>
                      <w:szCs w:val="21"/>
                      <w:u w:val="none"/>
                      <w:lang w:val="en-US" w:eastAsia="zh-CN" w:bidi="ar"/>
                    </w:rPr>
                    <w:t>MPN</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3" w:hRule="atLeast"/>
                <w:jc w:val="center"/>
              </w:trPr>
              <w:tc>
                <w:tcPr>
                  <w:tcW w:w="207" w:type="pct"/>
                  <w:vMerge w:val="continue"/>
                  <w:vAlign w:val="center"/>
                </w:tcPr>
                <w:p>
                  <w:pPr>
                    <w:widowControl/>
                    <w:jc w:val="center"/>
                    <w:rPr>
                      <w:rFonts w:ascii="Times New Roman" w:hAnsi="Times New Roman" w:eastAsia="宋体" w:cs="Times New Roman"/>
                      <w:color w:val="000000"/>
                      <w:szCs w:val="21"/>
                    </w:rPr>
                  </w:pPr>
                </w:p>
              </w:tc>
              <w:tc>
                <w:tcPr>
                  <w:tcW w:w="712" w:type="pct"/>
                  <w:vMerge w:val="restart"/>
                  <w:vAlign w:val="center"/>
                </w:tcPr>
                <w:p>
                  <w:pPr>
                    <w:widowControl/>
                    <w:snapToGrid w:val="0"/>
                    <w:spacing w:line="240" w:lineRule="atLeast"/>
                    <w:jc w:val="center"/>
                    <w:rPr>
                      <w:rFonts w:ascii="Times New Roman" w:hAnsi="Times New Roman" w:eastAsia="宋体" w:cs="Times New Roman"/>
                      <w:color w:val="000000"/>
                    </w:rPr>
                  </w:pPr>
                  <w:r>
                    <w:rPr>
                      <w:rFonts w:hint="eastAsia" w:ascii="Times New Roman" w:hAnsi="Times New Roman" w:eastAsia="宋体" w:cs="Times New Roman"/>
                      <w:color w:val="000000"/>
                      <w:szCs w:val="21"/>
                    </w:rPr>
                    <w:t>25.96</w:t>
                  </w: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/d</w:t>
                  </w:r>
                </w:p>
                <w:p>
                  <w:pPr>
                    <w:widowControl/>
                    <w:snapToGrid w:val="0"/>
                    <w:spacing w:line="240" w:lineRule="atLeast"/>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9475.2</w:t>
                  </w: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/a</w:t>
                  </w:r>
                </w:p>
              </w:tc>
              <w:tc>
                <w:tcPr>
                  <w:tcW w:w="50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年排放量(t/a)</w:t>
                  </w:r>
                </w:p>
              </w:tc>
              <w:tc>
                <w:tcPr>
                  <w:tcW w:w="371"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440" w:type="pct"/>
                  <w:vAlign w:val="center"/>
                </w:tcPr>
                <w:p>
                  <w:pPr>
                    <w:keepNext w:val="0"/>
                    <w:keepLines w:val="0"/>
                    <w:widowControl/>
                    <w:suppressLineNumbers w:val="0"/>
                    <w:jc w:val="center"/>
                    <w:textAlignment w:val="center"/>
                    <w:rPr>
                      <w:rFonts w:ascii="Times New Roman" w:hAnsi="Times New Roman" w:eastAsia="宋体" w:cs="Times New Roman"/>
                      <w:color w:val="000000"/>
                      <w:kern w:val="0"/>
                      <w:szCs w:val="21"/>
                      <w:lang w:bidi="ar"/>
                    </w:rPr>
                  </w:pPr>
                  <w:r>
                    <w:rPr>
                      <w:rFonts w:hint="default" w:ascii="Times New Roman" w:hAnsi="Times New Roman" w:eastAsia="宋体" w:cs="Times New Roman"/>
                      <w:i w:val="0"/>
                      <w:iCs w:val="0"/>
                      <w:color w:val="000000"/>
                      <w:kern w:val="0"/>
                      <w:sz w:val="21"/>
                      <w:szCs w:val="21"/>
                      <w:u w:val="none"/>
                      <w:lang w:val="en-US" w:eastAsia="zh-CN" w:bidi="ar"/>
                    </w:rPr>
                    <w:t>0.426</w:t>
                  </w:r>
                </w:p>
              </w:tc>
              <w:tc>
                <w:tcPr>
                  <w:tcW w:w="418" w:type="pct"/>
                  <w:vAlign w:val="center"/>
                </w:tcPr>
                <w:p>
                  <w:pPr>
                    <w:keepNext w:val="0"/>
                    <w:keepLines w:val="0"/>
                    <w:widowControl/>
                    <w:suppressLineNumbers w:val="0"/>
                    <w:jc w:val="center"/>
                    <w:textAlignment w:val="center"/>
                    <w:rPr>
                      <w:rFonts w:ascii="Times New Roman" w:hAnsi="Times New Roman" w:eastAsia="宋体" w:cs="Times New Roman"/>
                      <w:color w:val="000000"/>
                      <w:kern w:val="0"/>
                      <w:szCs w:val="21"/>
                      <w:lang w:bidi="ar"/>
                    </w:rPr>
                  </w:pPr>
                  <w:r>
                    <w:rPr>
                      <w:rFonts w:hint="default" w:ascii="Times New Roman" w:hAnsi="Times New Roman" w:eastAsia="宋体" w:cs="Times New Roman"/>
                      <w:i w:val="0"/>
                      <w:iCs w:val="0"/>
                      <w:color w:val="000000"/>
                      <w:kern w:val="0"/>
                      <w:sz w:val="21"/>
                      <w:szCs w:val="21"/>
                      <w:u w:val="none"/>
                      <w:lang w:val="en-US" w:eastAsia="zh-CN" w:bidi="ar"/>
                    </w:rPr>
                    <w:t>0.151</w:t>
                  </w:r>
                </w:p>
              </w:tc>
              <w:tc>
                <w:tcPr>
                  <w:tcW w:w="396" w:type="pct"/>
                  <w:vAlign w:val="center"/>
                </w:tcPr>
                <w:p>
                  <w:pPr>
                    <w:keepNext w:val="0"/>
                    <w:keepLines w:val="0"/>
                    <w:widowControl/>
                    <w:suppressLineNumbers w:val="0"/>
                    <w:jc w:val="center"/>
                    <w:textAlignment w:val="center"/>
                    <w:rPr>
                      <w:rFonts w:ascii="Times New Roman" w:hAnsi="Times New Roman" w:eastAsia="宋体" w:cs="Times New Roman"/>
                      <w:color w:val="000000"/>
                      <w:kern w:val="0"/>
                      <w:szCs w:val="21"/>
                      <w:lang w:bidi="ar"/>
                    </w:rPr>
                  </w:pPr>
                  <w:r>
                    <w:rPr>
                      <w:rFonts w:hint="default" w:ascii="Times New Roman" w:hAnsi="Times New Roman" w:eastAsia="宋体" w:cs="Times New Roman"/>
                      <w:i w:val="0"/>
                      <w:iCs w:val="0"/>
                      <w:color w:val="000000"/>
                      <w:kern w:val="0"/>
                      <w:sz w:val="21"/>
                      <w:szCs w:val="21"/>
                      <w:u w:val="none"/>
                      <w:lang w:val="en-US" w:eastAsia="zh-CN" w:bidi="ar"/>
                    </w:rPr>
                    <w:t>0.133</w:t>
                  </w:r>
                </w:p>
              </w:tc>
              <w:tc>
                <w:tcPr>
                  <w:tcW w:w="465" w:type="pct"/>
                  <w:vAlign w:val="center"/>
                </w:tcPr>
                <w:p>
                  <w:pPr>
                    <w:keepNext w:val="0"/>
                    <w:keepLines w:val="0"/>
                    <w:widowControl/>
                    <w:suppressLineNumbers w:val="0"/>
                    <w:jc w:val="center"/>
                    <w:textAlignment w:val="center"/>
                    <w:rPr>
                      <w:rFonts w:ascii="Times New Roman" w:hAnsi="Times New Roman" w:eastAsia="宋体" w:cs="Times New Roman"/>
                      <w:color w:val="000000"/>
                      <w:kern w:val="0"/>
                      <w:szCs w:val="21"/>
                      <w:lang w:bidi="ar"/>
                    </w:rPr>
                  </w:pPr>
                  <w:r>
                    <w:rPr>
                      <w:rFonts w:hint="default" w:ascii="Times New Roman" w:hAnsi="Times New Roman" w:eastAsia="宋体" w:cs="Times New Roman"/>
                      <w:i w:val="0"/>
                      <w:iCs w:val="0"/>
                      <w:color w:val="000000"/>
                      <w:kern w:val="0"/>
                      <w:sz w:val="21"/>
                      <w:szCs w:val="21"/>
                      <w:u w:val="none"/>
                      <w:lang w:val="en-US" w:eastAsia="zh-CN" w:bidi="ar"/>
                    </w:rPr>
                    <w:t>0.106</w:t>
                  </w:r>
                </w:p>
              </w:tc>
              <w:tc>
                <w:tcPr>
                  <w:tcW w:w="607" w:type="pct"/>
                  <w:vAlign w:val="center"/>
                </w:tcPr>
                <w:p>
                  <w:pPr>
                    <w:widowControl/>
                    <w:jc w:val="center"/>
                    <w:textAlignment w:val="center"/>
                    <w:rPr>
                      <w:rFonts w:hint="default"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0.019</w:t>
                  </w:r>
                </w:p>
              </w:tc>
              <w:tc>
                <w:tcPr>
                  <w:tcW w:w="872"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4.07×10</w:t>
                  </w:r>
                  <w:r>
                    <w:rPr>
                      <w:rFonts w:hint="default" w:ascii="Times New Roman" w:hAnsi="Times New Roman" w:eastAsia="宋体" w:cs="Times New Roman"/>
                      <w:i w:val="0"/>
                      <w:iCs w:val="0"/>
                      <w:color w:val="000000"/>
                      <w:kern w:val="0"/>
                      <w:sz w:val="21"/>
                      <w:szCs w:val="21"/>
                      <w:u w:val="none"/>
                      <w:vertAlign w:val="superscript"/>
                      <w:lang w:val="en-US" w:eastAsia="zh-CN" w:bidi="ar"/>
                    </w:rPr>
                    <w:t>9</w:t>
                  </w:r>
                  <w:r>
                    <w:rPr>
                      <w:rFonts w:hint="default" w:ascii="Times New Roman" w:hAnsi="Times New Roman" w:eastAsia="宋体" w:cs="Times New Roman"/>
                      <w:i w:val="0"/>
                      <w:iCs w:val="0"/>
                      <w:color w:val="000000"/>
                      <w:kern w:val="0"/>
                      <w:sz w:val="21"/>
                      <w:szCs w:val="21"/>
                      <w:u w:val="none"/>
                      <w:lang w:val="en-US" w:eastAsia="zh-CN" w:bidi="ar"/>
                    </w:rPr>
                    <w:t>MPN</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3" w:hRule="atLeast"/>
                <w:jc w:val="center"/>
              </w:trPr>
              <w:tc>
                <w:tcPr>
                  <w:tcW w:w="207" w:type="pct"/>
                  <w:vMerge w:val="continue"/>
                  <w:vAlign w:val="center"/>
                </w:tcPr>
                <w:p>
                  <w:pPr>
                    <w:widowControl/>
                    <w:jc w:val="center"/>
                    <w:rPr>
                      <w:rFonts w:ascii="Times New Roman" w:hAnsi="Times New Roman" w:eastAsia="宋体" w:cs="Times New Roman"/>
                      <w:color w:val="000000"/>
                      <w:szCs w:val="21"/>
                    </w:rPr>
                  </w:pPr>
                </w:p>
              </w:tc>
              <w:tc>
                <w:tcPr>
                  <w:tcW w:w="712" w:type="pct"/>
                  <w:vMerge w:val="continue"/>
                  <w:vAlign w:val="center"/>
                </w:tcPr>
                <w:p>
                  <w:pPr>
                    <w:widowControl/>
                    <w:snapToGrid w:val="0"/>
                    <w:spacing w:line="240" w:lineRule="atLeast"/>
                    <w:jc w:val="center"/>
                    <w:rPr>
                      <w:rFonts w:ascii="Times New Roman" w:hAnsi="Times New Roman" w:eastAsia="宋体" w:cs="Times New Roman"/>
                      <w:color w:val="000000"/>
                    </w:rPr>
                  </w:pPr>
                </w:p>
              </w:tc>
              <w:tc>
                <w:tcPr>
                  <w:tcW w:w="50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排放浓度(mg/L)</w:t>
                  </w:r>
                </w:p>
              </w:tc>
              <w:tc>
                <w:tcPr>
                  <w:tcW w:w="371"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6.3</w:t>
                  </w:r>
                </w:p>
              </w:tc>
              <w:tc>
                <w:tcPr>
                  <w:tcW w:w="440"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45</w:t>
                  </w:r>
                </w:p>
              </w:tc>
              <w:tc>
                <w:tcPr>
                  <w:tcW w:w="418"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15.9</w:t>
                  </w:r>
                </w:p>
              </w:tc>
              <w:tc>
                <w:tcPr>
                  <w:tcW w:w="396"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465"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11.2</w:t>
                  </w:r>
                </w:p>
              </w:tc>
              <w:tc>
                <w:tcPr>
                  <w:tcW w:w="607"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w:t>
                  </w:r>
                </w:p>
              </w:tc>
              <w:tc>
                <w:tcPr>
                  <w:tcW w:w="872" w:type="pct"/>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4.3×10</w:t>
                  </w:r>
                  <w:r>
                    <w:rPr>
                      <w:rFonts w:hint="default" w:ascii="Times New Roman" w:hAnsi="Times New Roman" w:eastAsia="宋体" w:cs="Times New Roman"/>
                      <w:i w:val="0"/>
                      <w:iCs w:val="0"/>
                      <w:color w:val="000000"/>
                      <w:kern w:val="0"/>
                      <w:sz w:val="21"/>
                      <w:szCs w:val="21"/>
                      <w:u w:val="none"/>
                      <w:vertAlign w:val="superscript"/>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MPN/L</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3" w:hRule="atLeast"/>
                <w:jc w:val="center"/>
              </w:trPr>
              <w:tc>
                <w:tcPr>
                  <w:tcW w:w="1428" w:type="pct"/>
                  <w:gridSpan w:val="3"/>
                  <w:vAlign w:val="center"/>
                </w:tcPr>
                <w:p>
                  <w:pPr>
                    <w:widowControl/>
                    <w:snapToGrid w:val="0"/>
                    <w:spacing w:line="240" w:lineRule="atLeast"/>
                    <w:ind w:firstLine="36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排放标准(mg/L)</w:t>
                  </w:r>
                </w:p>
              </w:tc>
              <w:tc>
                <w:tcPr>
                  <w:tcW w:w="371" w:type="pct"/>
                  <w:vAlign w:val="center"/>
                </w:tcPr>
                <w:p>
                  <w:pPr>
                    <w:widowControl/>
                    <w:snapToGrid w:val="0"/>
                    <w:spacing w:line="240" w:lineRule="atLeast"/>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val="en-US" w:eastAsia="zh-CN"/>
                    </w:rPr>
                    <w:t>6~9</w:t>
                  </w:r>
                </w:p>
              </w:tc>
              <w:tc>
                <w:tcPr>
                  <w:tcW w:w="440"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250</w:t>
                  </w:r>
                </w:p>
              </w:tc>
              <w:tc>
                <w:tcPr>
                  <w:tcW w:w="41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100</w:t>
                  </w:r>
                </w:p>
              </w:tc>
              <w:tc>
                <w:tcPr>
                  <w:tcW w:w="396" w:type="pct"/>
                  <w:vAlign w:val="center"/>
                </w:tcPr>
                <w:p>
                  <w:pPr>
                    <w:widowControl/>
                    <w:snapToGrid w:val="0"/>
                    <w:spacing w:line="240" w:lineRule="atLeast"/>
                    <w:jc w:val="center"/>
                    <w:rPr>
                      <w:rFonts w:ascii="Times New Roman" w:hAnsi="Times New Roman" w:eastAsia="宋体" w:cs="Times New Roman"/>
                      <w:color w:val="000000"/>
                    </w:rPr>
                  </w:pPr>
                  <w:r>
                    <w:rPr>
                      <w:rFonts w:ascii="Times New Roman" w:hAnsi="Times New Roman" w:eastAsia="宋体" w:cs="Times New Roman"/>
                      <w:color w:val="000000"/>
                      <w:szCs w:val="21"/>
                    </w:rPr>
                    <w:t>60</w:t>
                  </w:r>
                </w:p>
              </w:tc>
              <w:tc>
                <w:tcPr>
                  <w:tcW w:w="465"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25</w:t>
                  </w:r>
                </w:p>
              </w:tc>
              <w:tc>
                <w:tcPr>
                  <w:tcW w:w="607" w:type="pct"/>
                  <w:vAlign w:val="center"/>
                </w:tcPr>
                <w:p>
                  <w:pPr>
                    <w:widowControl/>
                    <w:snapToGrid w:val="0"/>
                    <w:spacing w:line="240" w:lineRule="atLeast"/>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20</w:t>
                  </w:r>
                </w:p>
              </w:tc>
              <w:tc>
                <w:tcPr>
                  <w:tcW w:w="872"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5000MPN/L</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3" w:hRule="atLeast"/>
                <w:jc w:val="center"/>
              </w:trPr>
              <w:tc>
                <w:tcPr>
                  <w:tcW w:w="1428" w:type="pct"/>
                  <w:gridSpan w:val="3"/>
                  <w:vAlign w:val="center"/>
                </w:tcPr>
                <w:p>
                  <w:pPr>
                    <w:widowControl/>
                    <w:snapToGrid w:val="0"/>
                    <w:spacing w:line="240" w:lineRule="atLeast"/>
                    <w:ind w:firstLine="36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达标情况</w:t>
                  </w:r>
                </w:p>
              </w:tc>
              <w:tc>
                <w:tcPr>
                  <w:tcW w:w="371" w:type="pct"/>
                  <w:vAlign w:val="center"/>
                </w:tcPr>
                <w:p>
                  <w:pPr>
                    <w:widowControl/>
                    <w:snapToGrid w:val="0"/>
                    <w:spacing w:line="240" w:lineRule="atLeast"/>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达标</w:t>
                  </w:r>
                </w:p>
              </w:tc>
              <w:tc>
                <w:tcPr>
                  <w:tcW w:w="440"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达标</w:t>
                  </w:r>
                </w:p>
              </w:tc>
              <w:tc>
                <w:tcPr>
                  <w:tcW w:w="418"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达标</w:t>
                  </w:r>
                </w:p>
              </w:tc>
              <w:tc>
                <w:tcPr>
                  <w:tcW w:w="396"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达标</w:t>
                  </w:r>
                </w:p>
              </w:tc>
              <w:tc>
                <w:tcPr>
                  <w:tcW w:w="465"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达标</w:t>
                  </w:r>
                </w:p>
              </w:tc>
              <w:tc>
                <w:tcPr>
                  <w:tcW w:w="607" w:type="pct"/>
                  <w:vAlign w:val="center"/>
                </w:tcPr>
                <w:p>
                  <w:pPr>
                    <w:widowControl/>
                    <w:snapToGrid w:val="0"/>
                    <w:spacing w:line="240" w:lineRule="atLeast"/>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达标</w:t>
                  </w:r>
                </w:p>
              </w:tc>
              <w:tc>
                <w:tcPr>
                  <w:tcW w:w="872" w:type="pct"/>
                  <w:vAlign w:val="center"/>
                </w:tcPr>
                <w:p>
                  <w:pPr>
                    <w:widowControl/>
                    <w:snapToGrid w:val="0"/>
                    <w:spacing w:line="240" w:lineRule="atLeast"/>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达标</w:t>
                  </w:r>
                </w:p>
              </w:tc>
            </w:tr>
          </w:tbl>
          <w:p>
            <w:pPr>
              <w:pStyle w:val="20"/>
              <w:keepNext w:val="0"/>
              <w:keepLines w:val="0"/>
              <w:pageBreakBefore w:val="0"/>
              <w:widowControl/>
              <w:kinsoku/>
              <w:wordWrap/>
              <w:overflowPunct/>
              <w:topLinePunct w:val="0"/>
              <w:autoSpaceDE/>
              <w:autoSpaceDN/>
              <w:bidi w:val="0"/>
              <w:adjustRightInd/>
              <w:snapToGrid w:val="0"/>
              <w:spacing w:before="0" w:after="0" w:line="360" w:lineRule="auto"/>
              <w:ind w:right="0" w:firstLine="480" w:firstLineChars="200"/>
              <w:textAlignment w:val="auto"/>
              <w:rPr>
                <w:rFonts w:hint="eastAsia" w:ascii="Times New Roman" w:hAnsi="Times New Roman" w:eastAsia="宋体" w:cs="Times New Roman"/>
                <w:b/>
                <w:bCs/>
                <w:snapToGrid w:val="0"/>
                <w:color w:val="000000"/>
                <w:kern w:val="0"/>
                <w:sz w:val="24"/>
              </w:rPr>
            </w:pPr>
            <w:r>
              <w:rPr>
                <w:rFonts w:hint="default" w:ascii="Times New Roman" w:hAnsi="Times New Roman" w:eastAsia="宋体" w:cs="Times New Roman"/>
                <w:b w:val="0"/>
                <w:bCs w:val="0"/>
                <w:color w:val="000000"/>
                <w:sz w:val="24"/>
                <w:szCs w:val="24"/>
              </w:rPr>
              <w:t>注：综合废水为医疗废水+生活污水，即排入市政污水管道的废水总量。项目综合废水排放浓度</w:t>
            </w:r>
            <w:r>
              <w:rPr>
                <w:rFonts w:hint="default" w:ascii="Times New Roman" w:hAnsi="Times New Roman" w:eastAsia="宋体" w:cs="Times New Roman"/>
                <w:b w:val="0"/>
                <w:bCs w:val="0"/>
                <w:color w:val="000000"/>
                <w:sz w:val="24"/>
                <w:szCs w:val="24"/>
                <w:lang w:val="en-US" w:eastAsia="zh-CN"/>
              </w:rPr>
              <w:t>类比同类项目及</w:t>
            </w:r>
            <w:r>
              <w:rPr>
                <w:rFonts w:hint="default" w:ascii="Times New Roman" w:hAnsi="Times New Roman" w:eastAsia="宋体" w:cs="Times New Roman"/>
                <w:b w:val="0"/>
                <w:bCs w:val="0"/>
                <w:color w:val="000000"/>
                <w:sz w:val="24"/>
                <w:szCs w:val="24"/>
              </w:rPr>
              <w:t>参考湛江市养老服务中心自行检测报告（报告编号：SHSS2205FS65）综合废水处理后浓度。项目排放标准执行《医疗机构水污染物排放标准》（GB18466-2005）中表2综合医疗机构和其他医疗机构水污染物排放限值（日均值）的预处理标准、广东省《水污染物排放限值》（DB44/26-2001）第二时段三级标准及湛江市赤坎水质净化厂进水水质标准的较严值。项目职工就餐依托湛江市养老服务中心的员工食堂，产生的食堂废水依托湛江市养老服务中心的三级化粪池、隔油池进行处理后，达到广东省《水污染物排放限值》（DB44/26-2001）第二时段三级标准，直接排入市政管网。</w:t>
            </w:r>
          </w:p>
          <w:p>
            <w:pPr>
              <w:adjustRightInd w:val="0"/>
              <w:snapToGrid w:val="0"/>
              <w:spacing w:line="360" w:lineRule="auto"/>
              <w:ind w:firstLine="482" w:firstLineChars="200"/>
              <w:rPr>
                <w:rFonts w:ascii="Times New Roman" w:hAnsi="Times New Roman" w:eastAsia="宋体" w:cs="Times New Roman"/>
                <w:b/>
                <w:bCs/>
                <w:snapToGrid w:val="0"/>
                <w:color w:val="000000"/>
                <w:kern w:val="0"/>
                <w:sz w:val="24"/>
              </w:rPr>
            </w:pPr>
            <w:r>
              <w:rPr>
                <w:rFonts w:hint="eastAsia" w:ascii="Times New Roman" w:hAnsi="Times New Roman" w:eastAsia="宋体" w:cs="Times New Roman"/>
                <w:b/>
                <w:bCs/>
                <w:snapToGrid w:val="0"/>
                <w:color w:val="000000"/>
                <w:kern w:val="0"/>
                <w:sz w:val="24"/>
              </w:rPr>
              <w:t>2</w:t>
            </w:r>
            <w:r>
              <w:rPr>
                <w:rFonts w:ascii="Times New Roman" w:hAnsi="Times New Roman" w:eastAsia="宋体" w:cs="Times New Roman"/>
                <w:b/>
                <w:bCs/>
                <w:snapToGrid w:val="0"/>
                <w:color w:val="000000"/>
                <w:kern w:val="0"/>
                <w:sz w:val="24"/>
              </w:rPr>
              <w:t>、废水治理措施可行性分析</w:t>
            </w:r>
          </w:p>
          <w:p>
            <w:pPr>
              <w:adjustRightInd w:val="0"/>
              <w:snapToGrid w:val="0"/>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①</w:t>
            </w:r>
            <w:r>
              <w:rPr>
                <w:rFonts w:hint="eastAsia" w:ascii="Times New Roman" w:hAnsi="Times New Roman" w:eastAsia="宋体" w:cs="Times New Roman"/>
                <w:b/>
                <w:bCs/>
                <w:color w:val="000000"/>
                <w:sz w:val="24"/>
                <w:lang w:val="en-US" w:eastAsia="zh-CN"/>
              </w:rPr>
              <w:t>依托的</w:t>
            </w:r>
            <w:r>
              <w:rPr>
                <w:rFonts w:ascii="Times New Roman" w:hAnsi="Times New Roman" w:eastAsia="宋体" w:cs="Times New Roman"/>
                <w:b/>
                <w:bCs/>
                <w:color w:val="000000"/>
                <w:kern w:val="0"/>
                <w:sz w:val="24"/>
              </w:rPr>
              <w:t>自建污水处理设施</w:t>
            </w:r>
            <w:r>
              <w:rPr>
                <w:rFonts w:ascii="Times New Roman" w:hAnsi="Times New Roman" w:eastAsia="宋体" w:cs="Times New Roman"/>
                <w:b/>
                <w:bCs/>
                <w:color w:val="000000"/>
                <w:sz w:val="24"/>
              </w:rPr>
              <w:t>达标可行性分析</w:t>
            </w:r>
          </w:p>
          <w:p>
            <w:pPr>
              <w:pStyle w:val="20"/>
              <w:spacing w:before="0" w:after="0" w:line="360" w:lineRule="auto"/>
              <w:ind w:right="0" w:firstLine="480" w:firstLineChars="200"/>
              <w:rPr>
                <w:rFonts w:hint="default" w:ascii="Times New Roman" w:hAnsi="Times New Roman" w:eastAsia="宋体" w:cs="Times New Roman"/>
                <w:color w:val="000000"/>
                <w:sz w:val="24"/>
                <w:szCs w:val="24"/>
                <w:lang w:val="en-US" w:eastAsia="zh-CN"/>
              </w:rPr>
            </w:pPr>
            <w:r>
              <w:rPr>
                <w:rFonts w:ascii="Times New Roman" w:hAnsi="Times New Roman" w:eastAsia="宋体" w:cs="Times New Roman"/>
                <w:color w:val="000000"/>
                <w:sz w:val="24"/>
                <w:szCs w:val="24"/>
              </w:rPr>
              <w:t>项目</w:t>
            </w:r>
            <w:r>
              <w:rPr>
                <w:rFonts w:hint="eastAsia" w:ascii="Times New Roman" w:hAnsi="Times New Roman" w:eastAsia="宋体" w:cs="Times New Roman"/>
                <w:color w:val="000000"/>
                <w:sz w:val="24"/>
                <w:szCs w:val="24"/>
                <w:lang w:val="en-US" w:eastAsia="zh-CN"/>
              </w:rPr>
              <w:t>依托的自建污水处理站位于项目所在楼C区的东面，自建污水处理站</w:t>
            </w:r>
            <w:r>
              <w:rPr>
                <w:rFonts w:hint="eastAsia" w:ascii="Times New Roman" w:hAnsi="Times New Roman" w:eastAsia="宋体" w:cs="Times New Roman"/>
                <w:color w:val="000000"/>
                <w:sz w:val="24"/>
                <w:szCs w:val="24"/>
              </w:rPr>
              <w:t>的建构筑物</w:t>
            </w:r>
            <w:r>
              <w:rPr>
                <w:rFonts w:hint="eastAsia" w:ascii="Times New Roman" w:hAnsi="Times New Roman" w:eastAsia="宋体" w:cs="Times New Roman"/>
                <w:color w:val="000000"/>
                <w:sz w:val="24"/>
                <w:szCs w:val="24"/>
                <w:lang w:val="en-US" w:eastAsia="zh-CN"/>
              </w:rPr>
              <w:t>主要为</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调节池+水解酸化池+接触氧化池+沉淀池+清水消毒池+污泥池</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自建污水处理站设备清单</w:t>
            </w:r>
            <w:r>
              <w:rPr>
                <w:rFonts w:hint="eastAsia" w:ascii="Times New Roman" w:hAnsi="Times New Roman" w:eastAsia="宋体" w:cs="Times New Roman"/>
                <w:color w:val="000000"/>
                <w:sz w:val="24"/>
                <w:szCs w:val="24"/>
                <w:lang w:val="en-US" w:eastAsia="zh-CN"/>
              </w:rPr>
              <w:t>见</w:t>
            </w:r>
            <w:r>
              <w:rPr>
                <w:rFonts w:hint="eastAsia" w:ascii="Times New Roman" w:hAnsi="Times New Roman" w:eastAsia="宋体" w:cs="Times New Roman"/>
                <w:color w:val="000000"/>
                <w:sz w:val="24"/>
                <w:szCs w:val="24"/>
              </w:rPr>
              <w:t>表4-13</w:t>
            </w:r>
            <w:r>
              <w:rPr>
                <w:rFonts w:hint="eastAsia" w:ascii="Times New Roman" w:hAnsi="Times New Roman" w:eastAsia="宋体" w:cs="Times New Roman"/>
                <w:color w:val="000000"/>
                <w:sz w:val="24"/>
                <w:szCs w:val="24"/>
                <w:lang w:eastAsia="zh-CN"/>
              </w:rPr>
              <w:t>，自建污水处理站实物图片</w:t>
            </w:r>
            <w:r>
              <w:rPr>
                <w:rFonts w:hint="eastAsia" w:ascii="Times New Roman" w:hAnsi="Times New Roman" w:eastAsia="宋体" w:cs="Times New Roman"/>
                <w:color w:val="000000"/>
                <w:sz w:val="24"/>
                <w:szCs w:val="24"/>
                <w:lang w:val="en-US" w:eastAsia="zh-CN"/>
              </w:rPr>
              <w:t>见</w:t>
            </w:r>
            <w:r>
              <w:rPr>
                <w:rFonts w:hint="eastAsia" w:ascii="Times New Roman" w:hAnsi="Times New Roman" w:eastAsia="宋体" w:cs="Times New Roman"/>
                <w:color w:val="000000"/>
                <w:sz w:val="24"/>
                <w:szCs w:val="24"/>
                <w:lang w:eastAsia="zh-CN"/>
              </w:rPr>
              <w:t>图4-1.1。</w:t>
            </w:r>
            <w:r>
              <w:rPr>
                <w:rFonts w:hint="eastAsia" w:ascii="Times New Roman" w:hAnsi="Times New Roman" w:eastAsia="宋体" w:cs="Times New Roman"/>
                <w:color w:val="000000"/>
                <w:sz w:val="24"/>
                <w:szCs w:val="24"/>
                <w:lang w:val="en-US" w:eastAsia="zh-CN"/>
              </w:rPr>
              <w:t>自建污水处理站</w:t>
            </w:r>
            <w:r>
              <w:rPr>
                <w:rFonts w:hint="eastAsia" w:ascii="Times New Roman" w:hAnsi="Times New Roman" w:eastAsia="宋体" w:cs="Times New Roman"/>
                <w:color w:val="000000"/>
                <w:sz w:val="24"/>
                <w:szCs w:val="24"/>
              </w:rPr>
              <w:t>日常运行情况</w:t>
            </w:r>
            <w:r>
              <w:rPr>
                <w:rFonts w:hint="eastAsia" w:ascii="Times New Roman" w:hAnsi="Times New Roman" w:eastAsia="宋体" w:cs="Times New Roman"/>
                <w:color w:val="000000"/>
                <w:sz w:val="24"/>
                <w:szCs w:val="24"/>
                <w:lang w:val="en-US" w:eastAsia="zh-CN"/>
              </w:rPr>
              <w:t>正常</w:t>
            </w:r>
            <w:r>
              <w:rPr>
                <w:rFonts w:hint="eastAsia"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lang w:val="en-US" w:eastAsia="zh-CN"/>
              </w:rPr>
              <w:t>其自行</w:t>
            </w:r>
            <w:r>
              <w:rPr>
                <w:rFonts w:hint="eastAsia" w:ascii="Times New Roman" w:hAnsi="Times New Roman" w:eastAsia="宋体" w:cs="Times New Roman"/>
                <w:color w:val="000000"/>
                <w:sz w:val="24"/>
                <w:szCs w:val="24"/>
              </w:rPr>
              <w:t>监测数据</w:t>
            </w:r>
            <w:r>
              <w:rPr>
                <w:rFonts w:hint="eastAsia" w:ascii="Times New Roman" w:hAnsi="Times New Roman" w:eastAsia="宋体" w:cs="Times New Roman"/>
                <w:color w:val="000000"/>
                <w:sz w:val="24"/>
                <w:szCs w:val="24"/>
                <w:lang w:val="en-US" w:eastAsia="zh-CN"/>
              </w:rPr>
              <w:t>见附件13。根据监测数据可知，废水经自建污水处理站处理后，均能达标排放。</w:t>
            </w:r>
          </w:p>
          <w:p>
            <w:pPr>
              <w:pStyle w:val="20"/>
              <w:spacing w:before="0" w:after="0" w:line="360" w:lineRule="auto"/>
              <w:ind w:right="0"/>
              <w:jc w:val="center"/>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b/>
                <w:bCs/>
                <w:color w:val="000000"/>
                <w:kern w:val="2"/>
                <w:sz w:val="24"/>
                <w:szCs w:val="24"/>
                <w:lang w:val="en-US" w:eastAsia="zh-CN" w:bidi="ar-SA"/>
              </w:rPr>
              <w:t>表4-13自建污水处理站设备清单</w:t>
            </w:r>
          </w:p>
          <w:tbl>
            <w:tblPr>
              <w:tblStyle w:val="29"/>
              <w:tblW w:w="4998"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46"/>
              <w:gridCol w:w="4392"/>
              <w:gridCol w:w="1386"/>
              <w:gridCol w:w="1671"/>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序号</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产品名称</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单位</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数量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1</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集水池提升泵</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台</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lang w:val="en-US" w:eastAsia="zh-CN"/>
                    </w:rPr>
                    <w:t>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一体化污水处理设备体制造及环氧防腐等</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吨</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16</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3</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厌氧池弹性填料</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m3</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4</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厌氧池填料支架</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吨</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0.25</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5</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厌氧池布水器</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套</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6</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缺氧池弹性填料</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m3</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7</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缺氧池填料支架</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吨</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0.15</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8</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缺氧池布水器</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套</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9</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接触氧化池弹性填料</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m3</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40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接触氧化池填料支架</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吨</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0.5</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11</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操作间回转风机</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台</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12</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接触氧化池曝气管道及微孔曝气头</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套</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38</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13</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接触氧化池溢流三角堰</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套</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14</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沉淀池污泥回流泵</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台</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15</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沉淀池溢流三角堰</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套</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16</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电控箱</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套</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16"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17</w:t>
                  </w:r>
                </w:p>
              </w:tc>
              <w:tc>
                <w:tcPr>
                  <w:tcW w:w="2525"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次氯酸钠消毒装置</w:t>
                  </w:r>
                </w:p>
              </w:tc>
              <w:tc>
                <w:tcPr>
                  <w:tcW w:w="797"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套</w:t>
                  </w:r>
                </w:p>
              </w:tc>
              <w:tc>
                <w:tcPr>
                  <w:tcW w:w="960" w:type="pct"/>
                  <w:vAlign w:val="center"/>
                </w:tcPr>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p>
              </w:tc>
            </w:tr>
          </w:tbl>
          <w:p>
            <w:pPr>
              <w:pStyle w:val="20"/>
              <w:spacing w:before="0" w:after="0" w:line="360" w:lineRule="auto"/>
              <w:ind w:right="0" w:firstLine="480" w:firstLineChars="200"/>
              <w:rPr>
                <w:rFonts w:hint="eastAsia" w:ascii="Times New Roman" w:hAnsi="Times New Roman" w:eastAsia="宋体" w:cs="Times New Roman"/>
                <w:color w:val="000000"/>
                <w:sz w:val="24"/>
                <w:szCs w:val="24"/>
              </w:rPr>
            </w:pP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44"/>
              <w:gridCol w:w="4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49" w:type="dxa"/>
                </w:tcPr>
                <w:p>
                  <w:pPr>
                    <w:pStyle w:val="20"/>
                    <w:spacing w:before="0" w:after="0" w:line="360" w:lineRule="auto"/>
                    <w:ind w:right="0"/>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drawing>
                      <wp:inline distT="0" distB="0" distL="114300" distR="114300">
                        <wp:extent cx="2574925" cy="1931035"/>
                        <wp:effectExtent l="0" t="0" r="15875" b="12065"/>
                        <wp:docPr id="37" name="图片 37" descr="9951d6bfeab4b66157f5ed79149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9951d6bfeab4b66157f5ed791495613"/>
                                <pic:cNvPicPr>
                                  <a:picLocks noChangeAspect="1"/>
                                </pic:cNvPicPr>
                              </pic:nvPicPr>
                              <pic:blipFill>
                                <a:blip r:embed="rId13"/>
                                <a:stretch>
                                  <a:fillRect/>
                                </a:stretch>
                              </pic:blipFill>
                              <pic:spPr>
                                <a:xfrm>
                                  <a:off x="0" y="0"/>
                                  <a:ext cx="2574925" cy="1931035"/>
                                </a:xfrm>
                                <a:prstGeom prst="rect">
                                  <a:avLst/>
                                </a:prstGeom>
                              </pic:spPr>
                            </pic:pic>
                          </a:graphicData>
                        </a:graphic>
                      </wp:inline>
                    </w:drawing>
                  </w:r>
                </w:p>
              </w:tc>
              <w:tc>
                <w:tcPr>
                  <w:tcW w:w="4349" w:type="dxa"/>
                </w:tcPr>
                <w:p>
                  <w:pPr>
                    <w:pStyle w:val="20"/>
                    <w:spacing w:before="0" w:after="0" w:line="360" w:lineRule="auto"/>
                    <w:ind w:right="0"/>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drawing>
                      <wp:inline distT="0" distB="0" distL="114300" distR="114300">
                        <wp:extent cx="2574925" cy="1931035"/>
                        <wp:effectExtent l="0" t="0" r="15875" b="12065"/>
                        <wp:docPr id="38" name="图片 38" descr="1e26ee408acae0b76e1e5afb25436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e26ee408acae0b76e1e5afb254366c"/>
                                <pic:cNvPicPr>
                                  <a:picLocks noChangeAspect="1"/>
                                </pic:cNvPicPr>
                              </pic:nvPicPr>
                              <pic:blipFill>
                                <a:blip r:embed="rId14"/>
                                <a:stretch>
                                  <a:fillRect/>
                                </a:stretch>
                              </pic:blipFill>
                              <pic:spPr>
                                <a:xfrm>
                                  <a:off x="0" y="0"/>
                                  <a:ext cx="2574925" cy="19310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49" w:type="dxa"/>
                </w:tcPr>
                <w:p>
                  <w:pPr>
                    <w:pStyle w:val="20"/>
                    <w:spacing w:before="0" w:after="0" w:line="360" w:lineRule="auto"/>
                    <w:ind w:right="0"/>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drawing>
                      <wp:inline distT="0" distB="0" distL="114300" distR="114300">
                        <wp:extent cx="2574925" cy="1931035"/>
                        <wp:effectExtent l="0" t="0" r="15875" b="12065"/>
                        <wp:docPr id="39" name="图片 39" descr="512c9748cc6619f9d7ce103f43d82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512c9748cc6619f9d7ce103f43d82a5"/>
                                <pic:cNvPicPr>
                                  <a:picLocks noChangeAspect="1"/>
                                </pic:cNvPicPr>
                              </pic:nvPicPr>
                              <pic:blipFill>
                                <a:blip r:embed="rId15"/>
                                <a:stretch>
                                  <a:fillRect/>
                                </a:stretch>
                              </pic:blipFill>
                              <pic:spPr>
                                <a:xfrm>
                                  <a:off x="0" y="0"/>
                                  <a:ext cx="2574925" cy="1931035"/>
                                </a:xfrm>
                                <a:prstGeom prst="rect">
                                  <a:avLst/>
                                </a:prstGeom>
                              </pic:spPr>
                            </pic:pic>
                          </a:graphicData>
                        </a:graphic>
                      </wp:inline>
                    </w:drawing>
                  </w:r>
                </w:p>
              </w:tc>
              <w:tc>
                <w:tcPr>
                  <w:tcW w:w="4349" w:type="dxa"/>
                </w:tcPr>
                <w:p>
                  <w:pPr>
                    <w:pStyle w:val="20"/>
                    <w:spacing w:before="0" w:after="0" w:line="360" w:lineRule="auto"/>
                    <w:ind w:right="0"/>
                    <w:rPr>
                      <w:rFonts w:hint="default" w:ascii="Times New Roman" w:hAnsi="Times New Roman" w:eastAsia="宋体" w:cs="Times New Roman"/>
                      <w:color w:val="000000"/>
                      <w:sz w:val="24"/>
                      <w:szCs w:val="24"/>
                      <w:vertAlign w:val="baseline"/>
                      <w:lang w:val="en-US" w:eastAsia="zh-CN"/>
                    </w:rPr>
                  </w:pPr>
                  <w:r>
                    <w:rPr>
                      <w:rFonts w:hint="default" w:ascii="Times New Roman" w:hAnsi="Times New Roman" w:eastAsia="宋体" w:cs="Times New Roman"/>
                      <w:color w:val="000000"/>
                      <w:sz w:val="24"/>
                      <w:szCs w:val="24"/>
                      <w:vertAlign w:val="baseline"/>
                      <w:lang w:val="en-US" w:eastAsia="zh-CN"/>
                    </w:rPr>
                    <w:drawing>
                      <wp:inline distT="0" distB="0" distL="114300" distR="114300">
                        <wp:extent cx="2574925" cy="1931035"/>
                        <wp:effectExtent l="0" t="0" r="15875" b="12065"/>
                        <wp:docPr id="40" name="图片 40" descr="f4261e142a2fe81be5785d502bb3c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f4261e142a2fe81be5785d502bb3c73"/>
                                <pic:cNvPicPr>
                                  <a:picLocks noChangeAspect="1"/>
                                </pic:cNvPicPr>
                              </pic:nvPicPr>
                              <pic:blipFill>
                                <a:blip r:embed="rId16"/>
                                <a:stretch>
                                  <a:fillRect/>
                                </a:stretch>
                              </pic:blipFill>
                              <pic:spPr>
                                <a:xfrm>
                                  <a:off x="0" y="0"/>
                                  <a:ext cx="2574925" cy="1931035"/>
                                </a:xfrm>
                                <a:prstGeom prst="rect">
                                  <a:avLst/>
                                </a:prstGeom>
                              </pic:spPr>
                            </pic:pic>
                          </a:graphicData>
                        </a:graphic>
                      </wp:inline>
                    </w:drawing>
                  </w:r>
                </w:p>
              </w:tc>
            </w:tr>
          </w:tbl>
          <w:p>
            <w:pPr>
              <w:pStyle w:val="39"/>
              <w:jc w:val="center"/>
              <w:rPr>
                <w:rFonts w:hint="eastAsia" w:ascii="Times New Roman" w:hAnsi="Times New Roman" w:eastAsia="宋体" w:cs="Times New Roman"/>
                <w:b/>
                <w:bCs/>
                <w:color w:val="000000"/>
                <w:kern w:val="2"/>
                <w:sz w:val="24"/>
                <w:lang w:val="en-US" w:eastAsia="zh-CN"/>
              </w:rPr>
            </w:pPr>
            <w:r>
              <w:rPr>
                <w:rFonts w:hint="eastAsia" w:ascii="Times New Roman" w:hAnsi="Times New Roman" w:eastAsia="宋体" w:cs="Times New Roman"/>
                <w:b/>
                <w:bCs/>
                <w:color w:val="000000"/>
                <w:kern w:val="2"/>
                <w:sz w:val="24"/>
                <w:lang w:val="en-US" w:eastAsia="zh-CN"/>
              </w:rPr>
              <w:t>图4-1.1自建污水处理站实物图片</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lang w:val="en-US" w:eastAsia="zh-CN"/>
              </w:rPr>
              <w:t>本</w:t>
            </w:r>
            <w:r>
              <w:rPr>
                <w:rFonts w:ascii="Times New Roman" w:hAnsi="Times New Roman" w:eastAsia="宋体" w:cs="Times New Roman"/>
                <w:color w:val="000000"/>
                <w:sz w:val="24"/>
                <w:szCs w:val="24"/>
              </w:rPr>
              <w:t>项目污水工艺采用三级化粪池+自建污水处理站“</w:t>
            </w:r>
            <w:r>
              <w:rPr>
                <w:rFonts w:hint="eastAsia" w:ascii="Times New Roman" w:hAnsi="Times New Roman" w:eastAsia="宋体" w:cs="Times New Roman"/>
                <w:color w:val="000000"/>
                <w:sz w:val="24"/>
                <w:szCs w:val="24"/>
              </w:rPr>
              <w:t>调节池+水解酸化池+接触氧化池+沉淀池+清水消毒池+污泥池</w:t>
            </w:r>
            <w:r>
              <w:rPr>
                <w:rFonts w:ascii="Times New Roman" w:hAnsi="Times New Roman" w:eastAsia="宋体" w:cs="Times New Roman"/>
                <w:color w:val="000000"/>
                <w:sz w:val="24"/>
                <w:szCs w:val="24"/>
              </w:rPr>
              <w:t>”的处理工艺，项目废水排放浓度达到湛江市赤坎水质净化厂进水标准。因此，项目自建污水处理站设计工艺是可行的。</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自建污水处理站规模为160m³/d。</w:t>
            </w:r>
            <w:r>
              <w:rPr>
                <w:rFonts w:hint="eastAsia" w:ascii="Times New Roman" w:hAnsi="Times New Roman" w:eastAsia="宋体" w:cs="Times New Roman"/>
                <w:color w:val="000000"/>
                <w:sz w:val="24"/>
                <w:szCs w:val="24"/>
              </w:rPr>
              <w:t>本自建污水处理站同时处理湛江市养老服务中心综合废水及颐福医院项目综合废水，湛江市养老服务中心综合废水产生量约为</w:t>
            </w:r>
            <w:r>
              <w:rPr>
                <w:rFonts w:ascii="Times New Roman" w:hAnsi="Times New Roman" w:eastAsia="宋体" w:cs="Times New Roman"/>
                <w:color w:val="000000"/>
                <w:sz w:val="24"/>
                <w:szCs w:val="24"/>
              </w:rPr>
              <w:t>81.56m³/d</w:t>
            </w:r>
            <w:r>
              <w:rPr>
                <w:rFonts w:hint="eastAsia" w:ascii="Times New Roman" w:hAnsi="Times New Roman" w:eastAsia="宋体" w:cs="Times New Roman"/>
                <w:color w:val="000000"/>
                <w:sz w:val="24"/>
                <w:szCs w:val="24"/>
              </w:rPr>
              <w:t>。经处理后，</w:t>
            </w:r>
            <w:r>
              <w:rPr>
                <w:rFonts w:ascii="Times New Roman" w:hAnsi="Times New Roman" w:eastAsia="宋体" w:cs="Times New Roman"/>
                <w:color w:val="000000"/>
                <w:sz w:val="24"/>
                <w:szCs w:val="24"/>
              </w:rPr>
              <w:t>污水处理</w:t>
            </w:r>
            <w:r>
              <w:rPr>
                <w:rFonts w:hint="eastAsia" w:ascii="Times New Roman" w:hAnsi="Times New Roman" w:eastAsia="宋体" w:cs="Times New Roman"/>
                <w:color w:val="000000"/>
                <w:sz w:val="24"/>
                <w:szCs w:val="24"/>
              </w:rPr>
              <w:t>站</w:t>
            </w:r>
            <w:r>
              <w:rPr>
                <w:rFonts w:ascii="Times New Roman" w:hAnsi="Times New Roman" w:eastAsia="宋体" w:cs="Times New Roman"/>
                <w:color w:val="000000"/>
                <w:sz w:val="24"/>
                <w:szCs w:val="24"/>
              </w:rPr>
              <w:t>的剩余处理量为</w:t>
            </w:r>
            <w:r>
              <w:rPr>
                <w:rFonts w:hint="eastAsia" w:ascii="Times New Roman" w:hAnsi="Times New Roman" w:eastAsia="宋体" w:cs="Times New Roman"/>
                <w:color w:val="000000"/>
                <w:sz w:val="24"/>
                <w:szCs w:val="24"/>
              </w:rPr>
              <w:t>78.44</w:t>
            </w:r>
            <w:r>
              <w:rPr>
                <w:rFonts w:ascii="Times New Roman" w:hAnsi="Times New Roman" w:eastAsia="宋体" w:cs="Times New Roman"/>
                <w:color w:val="000000"/>
                <w:sz w:val="24"/>
                <w:szCs w:val="24"/>
              </w:rPr>
              <w:t>m³/d，根据上文：表4-1</w:t>
            </w:r>
            <w:r>
              <w:rPr>
                <w:rFonts w:hint="eastAsia" w:ascii="Times New Roman" w:hAnsi="Times New Roman" w:eastAsia="宋体" w:cs="Times New Roman"/>
                <w:color w:val="000000"/>
                <w:sz w:val="24"/>
                <w:szCs w:val="24"/>
              </w:rPr>
              <w:t>2</w:t>
            </w:r>
            <w:r>
              <w:rPr>
                <w:rFonts w:ascii="Times New Roman" w:hAnsi="Times New Roman" w:eastAsia="宋体" w:cs="Times New Roman"/>
                <w:color w:val="000000"/>
                <w:sz w:val="24"/>
                <w:szCs w:val="24"/>
              </w:rPr>
              <w:t>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废水中主要污染物浓度及污染负荷情况可知，</w:t>
            </w:r>
            <w:r>
              <w:rPr>
                <w:rFonts w:hint="eastAsia" w:ascii="Times New Roman" w:hAnsi="Times New Roman" w:eastAsia="宋体" w:cs="Times New Roman"/>
                <w:color w:val="000000"/>
                <w:sz w:val="24"/>
                <w:szCs w:val="24"/>
              </w:rPr>
              <w:t>本</w:t>
            </w:r>
            <w:r>
              <w:rPr>
                <w:rFonts w:ascii="Times New Roman" w:hAnsi="Times New Roman" w:eastAsia="宋体" w:cs="Times New Roman"/>
                <w:color w:val="000000"/>
                <w:sz w:val="24"/>
                <w:szCs w:val="24"/>
              </w:rPr>
              <w:t>项目综合废水</w:t>
            </w:r>
            <w:r>
              <w:rPr>
                <w:rFonts w:hint="eastAsia" w:ascii="Times New Roman" w:hAnsi="Times New Roman" w:eastAsia="宋体" w:cs="Times New Roman"/>
                <w:color w:val="000000"/>
                <w:sz w:val="24"/>
                <w:szCs w:val="24"/>
                <w:lang w:eastAsia="zh-CN"/>
              </w:rPr>
              <w:t>（</w:t>
            </w:r>
            <w:r>
              <w:rPr>
                <w:rFonts w:hint="eastAsia" w:ascii="Times New Roman" w:hAnsi="Times New Roman" w:eastAsia="宋体" w:cs="Times New Roman"/>
                <w:color w:val="000000"/>
                <w:sz w:val="24"/>
                <w:szCs w:val="24"/>
                <w:lang w:val="en-US" w:eastAsia="zh-CN"/>
              </w:rPr>
              <w:t>除去食堂废水1.98</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lang w:eastAsia="zh-CN"/>
              </w:rPr>
              <w:t>）</w:t>
            </w:r>
            <w:r>
              <w:rPr>
                <w:rFonts w:ascii="Times New Roman" w:hAnsi="Times New Roman" w:eastAsia="宋体" w:cs="Times New Roman"/>
                <w:color w:val="000000"/>
                <w:sz w:val="24"/>
                <w:szCs w:val="24"/>
              </w:rPr>
              <w:t>产生量为</w:t>
            </w:r>
            <w:r>
              <w:rPr>
                <w:rFonts w:hint="eastAsia" w:ascii="Times New Roman" w:hAnsi="Times New Roman" w:eastAsia="宋体" w:cs="Times New Roman"/>
                <w:color w:val="000000"/>
                <w:sz w:val="24"/>
                <w:szCs w:val="24"/>
                <w:lang w:val="en-US" w:eastAsia="zh-CN"/>
              </w:rPr>
              <w:t>23.98</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污水处理</w:t>
            </w:r>
            <w:r>
              <w:rPr>
                <w:rFonts w:hint="eastAsia" w:ascii="Times New Roman" w:hAnsi="Times New Roman" w:eastAsia="宋体" w:cs="Times New Roman"/>
                <w:color w:val="000000"/>
                <w:sz w:val="24"/>
                <w:szCs w:val="24"/>
              </w:rPr>
              <w:t>站</w:t>
            </w:r>
            <w:r>
              <w:rPr>
                <w:rFonts w:ascii="Times New Roman" w:hAnsi="Times New Roman" w:eastAsia="宋体" w:cs="Times New Roman"/>
                <w:color w:val="000000"/>
                <w:sz w:val="24"/>
                <w:szCs w:val="24"/>
              </w:rPr>
              <w:t>的剩余处理量</w:t>
            </w:r>
            <w:r>
              <w:rPr>
                <w:rFonts w:hint="eastAsia" w:ascii="Times New Roman" w:hAnsi="Times New Roman" w:eastAsia="宋体" w:cs="Times New Roman"/>
                <w:color w:val="000000"/>
                <w:sz w:val="24"/>
                <w:szCs w:val="24"/>
              </w:rPr>
              <w:t>78.44</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lang w:val="en-US" w:eastAsia="zh-CN"/>
              </w:rPr>
              <w:t>23.98</w:t>
            </w:r>
            <w:r>
              <w:rPr>
                <w:rFonts w:ascii="Times New Roman" w:hAnsi="Times New Roman" w:eastAsia="宋体" w:cs="Times New Roman"/>
                <w:color w:val="000000"/>
                <w:sz w:val="24"/>
                <w:szCs w:val="24"/>
              </w:rPr>
              <w:t>m³/d</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故本项目自建污水处理站有足够容量接纳处理项目排放的废水。</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项目建设单位</w:t>
            </w:r>
            <w:r>
              <w:rPr>
                <w:rFonts w:hint="eastAsia" w:ascii="Times New Roman" w:hAnsi="Times New Roman" w:eastAsia="宋体" w:cs="Times New Roman"/>
                <w:color w:val="000000"/>
                <w:sz w:val="24"/>
                <w:szCs w:val="24"/>
                <w:lang w:val="en-US" w:eastAsia="zh-CN"/>
              </w:rPr>
              <w:t>食堂废水依托湛江市养老服务中心的三级化粪池、隔油池进行处理，综合污水（除食堂废水）</w:t>
            </w:r>
            <w:r>
              <w:rPr>
                <w:rFonts w:ascii="Times New Roman" w:hAnsi="Times New Roman" w:eastAsia="宋体" w:cs="Times New Roman"/>
                <w:color w:val="000000"/>
                <w:sz w:val="24"/>
                <w:szCs w:val="24"/>
              </w:rPr>
              <w:t>采用三级化粪池+自建污水处理站“</w:t>
            </w:r>
            <w:r>
              <w:rPr>
                <w:rFonts w:hint="eastAsia" w:ascii="Times New Roman" w:hAnsi="Times New Roman" w:eastAsia="宋体" w:cs="Times New Roman"/>
                <w:color w:val="000000"/>
                <w:sz w:val="24"/>
                <w:szCs w:val="24"/>
              </w:rPr>
              <w:t>调节池+水解酸化池+接触氧化池+沉淀池+清水消毒池+污泥池</w:t>
            </w:r>
            <w:r>
              <w:rPr>
                <w:rFonts w:ascii="Times New Roman" w:hAnsi="Times New Roman" w:eastAsia="宋体" w:cs="Times New Roman"/>
                <w:color w:val="000000"/>
                <w:sz w:val="24"/>
                <w:szCs w:val="24"/>
              </w:rPr>
              <w:t>”的处理工艺，污水处理工艺见图4-1</w:t>
            </w:r>
            <w:r>
              <w:rPr>
                <w:rFonts w:hint="eastAsia" w:ascii="Times New Roman" w:hAnsi="Times New Roman" w:eastAsia="宋体" w:cs="Times New Roman"/>
                <w:color w:val="000000"/>
                <w:sz w:val="24"/>
                <w:szCs w:val="24"/>
                <w:lang w:val="en-US" w:eastAsia="zh-CN"/>
              </w:rPr>
              <w:t>.2、</w:t>
            </w:r>
            <w:r>
              <w:rPr>
                <w:rFonts w:ascii="Times New Roman" w:hAnsi="Times New Roman" w:eastAsia="宋体" w:cs="Times New Roman"/>
                <w:color w:val="000000"/>
                <w:sz w:val="24"/>
                <w:szCs w:val="24"/>
              </w:rPr>
              <w:t>图4-1</w:t>
            </w:r>
            <w:r>
              <w:rPr>
                <w:rFonts w:hint="eastAsia" w:ascii="Times New Roman" w:hAnsi="Times New Roman" w:eastAsia="宋体" w:cs="Times New Roman"/>
                <w:color w:val="000000"/>
                <w:sz w:val="24"/>
                <w:szCs w:val="24"/>
                <w:lang w:val="en-US" w:eastAsia="zh-CN"/>
              </w:rPr>
              <w:t>.3</w:t>
            </w:r>
            <w:r>
              <w:rPr>
                <w:rFonts w:ascii="Times New Roman" w:hAnsi="Times New Roman" w:eastAsia="宋体" w:cs="Times New Roman"/>
                <w:color w:val="000000"/>
                <w:sz w:val="24"/>
                <w:szCs w:val="24"/>
              </w:rPr>
              <w:t>。</w:t>
            </w:r>
          </w:p>
          <w:p>
            <w:pPr>
              <w:pStyle w:val="20"/>
              <w:spacing w:before="0" w:after="0" w:line="360" w:lineRule="auto"/>
              <w:ind w:right="0" w:firstLine="480" w:firstLineChars="200"/>
              <w:rPr>
                <w:rFonts w:ascii="Times New Roman" w:hAnsi="Times New Roman" w:eastAsia="宋体" w:cs="Times New Roman"/>
                <w:color w:val="000000"/>
                <w:sz w:val="24"/>
                <w:szCs w:val="24"/>
              </w:rPr>
            </w:pPr>
          </w:p>
          <w:p>
            <w:pPr>
              <w:pStyle w:val="20"/>
              <w:keepNext w:val="0"/>
              <w:keepLines w:val="0"/>
              <w:pageBreakBefore w:val="0"/>
              <w:widowControl/>
              <w:kinsoku/>
              <w:wordWrap/>
              <w:overflowPunct/>
              <w:topLinePunct w:val="0"/>
              <w:autoSpaceDE/>
              <w:autoSpaceDN/>
              <w:bidi w:val="0"/>
              <w:adjustRightInd/>
              <w:snapToGrid w:val="0"/>
              <w:spacing w:before="0" w:after="0" w:line="360" w:lineRule="auto"/>
              <w:ind w:right="0" w:firstLine="0" w:firstLineChars="0"/>
              <w:jc w:val="center"/>
              <w:textAlignment w:val="auto"/>
              <w:rPr>
                <w:rFonts w:hint="default" w:ascii="Times New Roman" w:hAnsi="Times New Roman" w:eastAsia="宋体" w:cs="Times New Roman"/>
                <w:b/>
                <w:bCs/>
                <w:color w:val="000000"/>
                <w:kern w:val="2"/>
                <w:sz w:val="24"/>
                <w:szCs w:val="24"/>
              </w:rPr>
            </w:pPr>
            <w:r>
              <w:drawing>
                <wp:inline distT="0" distB="0" distL="114300" distR="114300">
                  <wp:extent cx="5475605" cy="615950"/>
                  <wp:effectExtent l="0" t="0" r="10795" b="12700"/>
                  <wp:docPr id="1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
                          <pic:cNvPicPr>
                            <a:picLocks noChangeAspect="1"/>
                          </pic:cNvPicPr>
                        </pic:nvPicPr>
                        <pic:blipFill>
                          <a:blip r:embed="rId17"/>
                          <a:srcRect l="10102" t="33989" r="7258" b="21366"/>
                          <a:stretch>
                            <a:fillRect/>
                          </a:stretch>
                        </pic:blipFill>
                        <pic:spPr>
                          <a:xfrm>
                            <a:off x="0" y="0"/>
                            <a:ext cx="5475605" cy="615950"/>
                          </a:xfrm>
                          <a:prstGeom prst="rect">
                            <a:avLst/>
                          </a:prstGeom>
                          <a:noFill/>
                          <a:ln>
                            <a:noFill/>
                          </a:ln>
                        </pic:spPr>
                      </pic:pic>
                    </a:graphicData>
                  </a:graphic>
                </wp:inline>
              </w:drawing>
            </w:r>
            <w:r>
              <w:rPr>
                <w:rFonts w:ascii="Times New Roman" w:hAnsi="Times New Roman" w:eastAsia="宋体" w:cs="Times New Roman"/>
                <w:b/>
                <w:bCs/>
                <w:color w:val="000000"/>
                <w:kern w:val="2"/>
                <w:sz w:val="24"/>
              </w:rPr>
              <w:t>图4-1</w:t>
            </w:r>
            <w:r>
              <w:rPr>
                <w:rFonts w:hint="eastAsia" w:ascii="Times New Roman" w:hAnsi="Times New Roman" w:eastAsia="宋体" w:cs="Times New Roman"/>
                <w:b/>
                <w:bCs/>
                <w:color w:val="000000"/>
                <w:kern w:val="2"/>
                <w:sz w:val="24"/>
                <w:lang w:val="en-US" w:eastAsia="zh-CN"/>
              </w:rPr>
              <w:t>.2食堂废水</w:t>
            </w:r>
            <w:r>
              <w:rPr>
                <w:rFonts w:ascii="Times New Roman" w:hAnsi="Times New Roman" w:eastAsia="宋体" w:cs="Times New Roman"/>
                <w:b/>
                <w:bCs/>
                <w:color w:val="000000"/>
                <w:kern w:val="2"/>
                <w:sz w:val="24"/>
              </w:rPr>
              <w:t>处理工艺</w:t>
            </w:r>
          </w:p>
          <w:p>
            <w:pPr>
              <w:pStyle w:val="39"/>
              <w:jc w:val="center"/>
              <w:rPr>
                <w:rFonts w:ascii="Times New Roman" w:hAnsi="Times New Roman" w:eastAsia="宋体" w:cs="Times New Roman"/>
                <w:b/>
                <w:bCs/>
                <w:color w:val="000000"/>
              </w:rPr>
            </w:pPr>
            <w:r>
              <w:drawing>
                <wp:inline distT="0" distB="0" distL="114300" distR="114300">
                  <wp:extent cx="5527675" cy="3093720"/>
                  <wp:effectExtent l="0" t="0" r="15875" b="1143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8"/>
                          <a:stretch>
                            <a:fillRect/>
                          </a:stretch>
                        </pic:blipFill>
                        <pic:spPr>
                          <a:xfrm>
                            <a:off x="0" y="0"/>
                            <a:ext cx="5527675" cy="3093720"/>
                          </a:xfrm>
                          <a:prstGeom prst="rect">
                            <a:avLst/>
                          </a:prstGeom>
                          <a:noFill/>
                          <a:ln>
                            <a:noFill/>
                          </a:ln>
                        </pic:spPr>
                      </pic:pic>
                    </a:graphicData>
                  </a:graphic>
                </wp:inline>
              </w:drawing>
            </w:r>
          </w:p>
          <w:p>
            <w:pPr>
              <w:pStyle w:val="39"/>
              <w:jc w:val="center"/>
              <w:rPr>
                <w:rFonts w:ascii="Times New Roman" w:hAnsi="Times New Roman" w:eastAsia="宋体" w:cs="Times New Roman"/>
                <w:b/>
                <w:bCs/>
                <w:color w:val="000000"/>
                <w:kern w:val="2"/>
                <w:sz w:val="24"/>
              </w:rPr>
            </w:pPr>
            <w:r>
              <w:rPr>
                <w:rFonts w:ascii="Times New Roman" w:hAnsi="Times New Roman" w:eastAsia="宋体" w:cs="Times New Roman"/>
                <w:b/>
                <w:bCs/>
                <w:color w:val="000000"/>
                <w:kern w:val="2"/>
                <w:sz w:val="24"/>
              </w:rPr>
              <w:t>图4-1</w:t>
            </w:r>
            <w:r>
              <w:rPr>
                <w:rFonts w:hint="eastAsia" w:ascii="Times New Roman" w:hAnsi="Times New Roman" w:eastAsia="宋体" w:cs="Times New Roman"/>
                <w:b/>
                <w:bCs/>
                <w:color w:val="000000"/>
                <w:kern w:val="2"/>
                <w:sz w:val="24"/>
                <w:lang w:val="en-US" w:eastAsia="zh-CN"/>
              </w:rPr>
              <w:t>.3</w:t>
            </w:r>
            <w:r>
              <w:rPr>
                <w:rFonts w:ascii="Times New Roman" w:hAnsi="Times New Roman" w:eastAsia="宋体" w:cs="Times New Roman"/>
                <w:b/>
                <w:bCs/>
                <w:color w:val="000000"/>
                <w:kern w:val="2"/>
                <w:sz w:val="24"/>
              </w:rPr>
              <w:t>污水处理工艺</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工艺流程说明：</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rPr>
              <w:t>食堂废水依托湛江市养老服务中心的三级化粪池、隔油池进行处理</w:t>
            </w:r>
            <w:r>
              <w:rPr>
                <w:rFonts w:hint="eastAsia" w:ascii="Times New Roman" w:hAnsi="Times New Roman" w:eastAsia="宋体" w:cs="Times New Roman"/>
                <w:color w:val="000000"/>
                <w:sz w:val="24"/>
                <w:szCs w:val="24"/>
                <w:lang w:val="en-US" w:eastAsia="zh-CN"/>
              </w:rPr>
              <w:t>达标后，直接排入市政管网</w:t>
            </w:r>
            <w:r>
              <w:rPr>
                <w:rFonts w:hint="eastAsia" w:ascii="Times New Roman" w:hAnsi="Times New Roman" w:eastAsia="宋体" w:cs="Times New Roman"/>
                <w:color w:val="000000"/>
                <w:sz w:val="24"/>
                <w:szCs w:val="24"/>
              </w:rPr>
              <w:t>；医院污水经污水管流入三级化粪池，经化粪池处理后流入调节池，污水经过水量调节、利用提升泵把污水抽至水解酸化池，利用水解酸化池内厌氧微生物的降解能力，将污水中较难分解、高分子的污染物分解成较易分解、简单的有机低分子污染物；污水再自流至接触氧化池，在风机曝气情况下，利用好氧微生物将污水中的有机物分解为CO</w:t>
            </w:r>
            <w:r>
              <w:rPr>
                <w:rFonts w:hint="eastAsia" w:ascii="Times New Roman" w:hAnsi="Times New Roman" w:eastAsia="宋体" w:cs="Times New Roman"/>
                <w:color w:val="000000"/>
                <w:sz w:val="24"/>
                <w:szCs w:val="24"/>
                <w:vertAlign w:val="subscript"/>
              </w:rPr>
              <w:t>2</w:t>
            </w:r>
            <w:r>
              <w:rPr>
                <w:rFonts w:hint="eastAsia" w:ascii="Times New Roman" w:hAnsi="Times New Roman" w:eastAsia="宋体" w:cs="Times New Roman"/>
                <w:color w:val="000000"/>
                <w:sz w:val="24"/>
                <w:szCs w:val="24"/>
              </w:rPr>
              <w:t>和H</w:t>
            </w:r>
            <w:r>
              <w:rPr>
                <w:rFonts w:hint="eastAsia" w:ascii="Times New Roman" w:hAnsi="Times New Roman" w:eastAsia="宋体" w:cs="Times New Roman"/>
                <w:color w:val="000000"/>
                <w:sz w:val="24"/>
                <w:szCs w:val="24"/>
                <w:vertAlign w:val="subscript"/>
              </w:rPr>
              <w:t>2</w:t>
            </w:r>
            <w:r>
              <w:rPr>
                <w:rFonts w:hint="eastAsia" w:ascii="Times New Roman" w:hAnsi="Times New Roman" w:eastAsia="宋体" w:cs="Times New Roman"/>
                <w:color w:val="000000"/>
                <w:sz w:val="24"/>
                <w:szCs w:val="24"/>
              </w:rPr>
              <w:t>O。经过上述处理后，污水将进入沉淀池，通过沉淀作用，沉淀池上清液出水流入清水消毒池，消毒方式采用次氯酸钠消毒装置，消毒效率高，安全可靠。污水经过净化消毒达标后，排入市政管道。</w:t>
            </w:r>
          </w:p>
          <w:p>
            <w:pPr>
              <w:pStyle w:val="20"/>
              <w:spacing w:before="0" w:after="0" w:line="360" w:lineRule="auto"/>
              <w:ind w:right="0" w:firstLine="480" w:firstLineChars="200"/>
              <w:rPr>
                <w:rFonts w:ascii="Times New Roman" w:hAnsi="Times New Roman" w:eastAsia="宋体" w:cs="Times New Roman"/>
                <w:color w:val="000000"/>
                <w:sz w:val="24"/>
                <w:szCs w:val="24"/>
                <w:highlight w:val="yellow"/>
              </w:rPr>
            </w:pPr>
            <w:r>
              <w:rPr>
                <w:rFonts w:ascii="Times New Roman" w:hAnsi="Times New Roman" w:eastAsia="宋体" w:cs="Times New Roman"/>
                <w:color w:val="000000"/>
                <w:sz w:val="24"/>
                <w:szCs w:val="24"/>
              </w:rPr>
              <w:t>污水处理站产生的污泥主要为经厌氧消化后剩余的活性污泥，</w:t>
            </w:r>
            <w:r>
              <w:rPr>
                <w:rFonts w:hint="eastAsia" w:ascii="Times New Roman" w:hAnsi="Times New Roman" w:eastAsia="宋体" w:cs="Times New Roman"/>
                <w:color w:val="000000"/>
                <w:sz w:val="24"/>
                <w:szCs w:val="24"/>
              </w:rPr>
              <w:t>由于污泥量很少，部分污泥回流到水解酸化池，剩余少量污泥通过泵抽至污泥池。</w:t>
            </w:r>
            <w:r>
              <w:rPr>
                <w:rFonts w:ascii="Times New Roman" w:hAnsi="Times New Roman" w:eastAsia="宋体" w:cs="Times New Roman"/>
                <w:color w:val="000000"/>
                <w:sz w:val="24"/>
                <w:szCs w:val="24"/>
              </w:rPr>
              <w:t>根据《医院污水处理技术指南》，向污泥中投加石灰（15g/L污泥），并搅拌均匀，进行消毒处理。经消毒后的污泥，</w:t>
            </w:r>
            <w:r>
              <w:rPr>
                <w:rFonts w:hint="eastAsia" w:ascii="Times New Roman" w:hAnsi="Times New Roman" w:eastAsia="宋体" w:cs="Times New Roman"/>
                <w:color w:val="000000"/>
                <w:sz w:val="24"/>
                <w:szCs w:val="24"/>
              </w:rPr>
              <w:t>委托有</w:t>
            </w:r>
            <w:r>
              <w:rPr>
                <w:rFonts w:ascii="Times New Roman" w:hAnsi="Times New Roman" w:eastAsia="宋体" w:cs="Times New Roman"/>
                <w:color w:val="000000"/>
                <w:sz w:val="24"/>
                <w:szCs w:val="24"/>
              </w:rPr>
              <w:t>资质的单位进行处理。</w:t>
            </w:r>
          </w:p>
          <w:p>
            <w:pPr>
              <w:pStyle w:val="20"/>
              <w:spacing w:before="0" w:after="0" w:line="360" w:lineRule="auto"/>
              <w:ind w:right="0" w:firstLine="480" w:firstLineChars="200"/>
              <w:rPr>
                <w:rFonts w:ascii="Times New Roman" w:hAnsi="Times New Roman" w:eastAsia="宋体" w:cs="Times New Roman"/>
                <w:color w:val="000000"/>
                <w:sz w:val="24"/>
                <w:szCs w:val="24"/>
              </w:rPr>
            </w:pP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主要处理工序介绍：</w:t>
            </w:r>
          </w:p>
          <w:p>
            <w:pPr>
              <w:adjustRightInd w:val="0"/>
              <w:snapToGrid w:val="0"/>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a.三级化粪池</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三级化粪池的原理是先将有机固体污染物通过分格沉淀，然后通过厌氧微生物的作用将有机物降解。根据《排污许可证申请与核发技术规范医疗机构》（HJ1105-2020）6.3.2污水管理运行要求，化粪池应按最高日排水量设计，停留时间为24-36h。化粪池的计算容积按《建筑给水排水设计标准》（GB50015-2019）第4.10.15条确定。化粪池有效容积应为污水部分和污泥部分容积之和，并宜按下列公式计算：</w:t>
            </w:r>
          </w:p>
          <w:p>
            <w:pPr>
              <w:adjustRightInd w:val="0"/>
              <w:snapToGrid w:val="0"/>
              <w:spacing w:line="360" w:lineRule="auto"/>
              <w:jc w:val="center"/>
              <w:rPr>
                <w:rFonts w:ascii="Times New Roman" w:hAnsi="Times New Roman" w:eastAsia="宋体" w:cs="Times New Roman"/>
                <w:color w:val="000000"/>
              </w:rPr>
            </w:pPr>
            <w:r>
              <w:rPr>
                <w:rFonts w:ascii="Times New Roman" w:hAnsi="Times New Roman" w:eastAsia="宋体" w:cs="Times New Roman"/>
                <w:color w:val="000000"/>
              </w:rPr>
              <w:drawing>
                <wp:inline distT="0" distB="0" distL="114300" distR="114300">
                  <wp:extent cx="4171950" cy="1654810"/>
                  <wp:effectExtent l="0" t="0" r="0"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9"/>
                          <a:stretch>
                            <a:fillRect/>
                          </a:stretch>
                        </pic:blipFill>
                        <pic:spPr>
                          <a:xfrm>
                            <a:off x="0" y="0"/>
                            <a:ext cx="4171950" cy="1654810"/>
                          </a:xfrm>
                          <a:prstGeom prst="rect">
                            <a:avLst/>
                          </a:prstGeom>
                          <a:noFill/>
                          <a:ln>
                            <a:noFill/>
                          </a:ln>
                        </pic:spPr>
                      </pic:pic>
                    </a:graphicData>
                  </a:graphic>
                </wp:inline>
              </w:drawing>
            </w:r>
          </w:p>
          <w:p>
            <w:pPr>
              <w:pStyle w:val="2"/>
              <w:spacing w:line="360" w:lineRule="auto"/>
              <w:ind w:firstLine="480" w:firstLineChars="200"/>
              <w:rPr>
                <w:rFonts w:ascii="Times New Roman" w:eastAsia="宋体" w:cs="Times New Roman"/>
              </w:rPr>
            </w:pPr>
            <w:r>
              <w:rPr>
                <w:rFonts w:ascii="Times New Roman" w:eastAsia="宋体" w:cs="Times New Roman"/>
              </w:rPr>
              <w:t>式中：V--化粪池有效容积；</w:t>
            </w:r>
          </w:p>
          <w:p>
            <w:pPr>
              <w:pStyle w:val="2"/>
              <w:spacing w:line="360" w:lineRule="auto"/>
              <w:ind w:firstLine="480" w:firstLineChars="200"/>
              <w:rPr>
                <w:rFonts w:ascii="Times New Roman" w:eastAsia="宋体" w:cs="Times New Roman"/>
              </w:rPr>
            </w:pPr>
            <w:r>
              <w:rPr>
                <w:rFonts w:ascii="Times New Roman" w:eastAsia="宋体" w:cs="Times New Roman"/>
              </w:rPr>
              <w:t>Vw--化粪池污水部分容积（m</w:t>
            </w:r>
            <w:r>
              <w:rPr>
                <w:rFonts w:ascii="Times New Roman" w:eastAsia="宋体" w:cs="Times New Roman"/>
                <w:vertAlign w:val="superscript"/>
              </w:rPr>
              <w:t>3</w:t>
            </w:r>
            <w:r>
              <w:rPr>
                <w:rFonts w:ascii="Times New Roman" w:eastAsia="宋体" w:cs="Times New Roman"/>
              </w:rPr>
              <w:t>）；</w:t>
            </w:r>
          </w:p>
          <w:p>
            <w:pPr>
              <w:pStyle w:val="2"/>
              <w:spacing w:line="360" w:lineRule="auto"/>
              <w:ind w:firstLine="480" w:firstLineChars="200"/>
              <w:rPr>
                <w:rFonts w:ascii="Times New Roman" w:eastAsia="宋体" w:cs="Times New Roman"/>
              </w:rPr>
            </w:pPr>
            <w:r>
              <w:rPr>
                <w:rFonts w:ascii="Times New Roman" w:eastAsia="宋体" w:cs="Times New Roman"/>
              </w:rPr>
              <w:t>Vn--化粪池污泥部分容积（m</w:t>
            </w:r>
            <w:r>
              <w:rPr>
                <w:rFonts w:ascii="Times New Roman" w:eastAsia="宋体" w:cs="Times New Roman"/>
                <w:vertAlign w:val="superscript"/>
              </w:rPr>
              <w:t>3</w:t>
            </w:r>
            <w:r>
              <w:rPr>
                <w:rFonts w:ascii="Times New Roman" w:eastAsia="宋体" w:cs="Times New Roman"/>
              </w:rPr>
              <w:t>）；</w:t>
            </w:r>
          </w:p>
          <w:p>
            <w:pPr>
              <w:pStyle w:val="2"/>
              <w:spacing w:line="360" w:lineRule="auto"/>
              <w:ind w:firstLine="480" w:firstLineChars="200"/>
              <w:rPr>
                <w:rFonts w:ascii="Times New Roman" w:eastAsia="宋体" w:cs="Times New Roman"/>
              </w:rPr>
            </w:pPr>
            <w:r>
              <w:rPr>
                <w:rFonts w:ascii="Times New Roman" w:eastAsia="宋体" w:cs="Times New Roman"/>
              </w:rPr>
              <w:t>m</w:t>
            </w:r>
            <w:r>
              <w:rPr>
                <w:rFonts w:ascii="Times New Roman" w:eastAsia="宋体" w:cs="Times New Roman"/>
                <w:vertAlign w:val="subscript"/>
              </w:rPr>
              <w:t>f</w:t>
            </w:r>
            <w:r>
              <w:rPr>
                <w:rFonts w:ascii="Times New Roman" w:eastAsia="宋体" w:cs="Times New Roman"/>
              </w:rPr>
              <w:t>--化粪池服务总人数，项目按88人计；</w:t>
            </w:r>
          </w:p>
          <w:p>
            <w:pPr>
              <w:pStyle w:val="2"/>
              <w:spacing w:line="360" w:lineRule="auto"/>
              <w:ind w:firstLine="480" w:firstLineChars="200"/>
              <w:rPr>
                <w:rFonts w:ascii="Times New Roman" w:eastAsia="宋体" w:cs="Times New Roman"/>
              </w:rPr>
            </w:pPr>
            <w:r>
              <w:rPr>
                <w:rFonts w:ascii="Times New Roman" w:eastAsia="宋体" w:cs="Times New Roman"/>
              </w:rPr>
              <w:t>b</w:t>
            </w:r>
            <w:r>
              <w:rPr>
                <w:rFonts w:ascii="Times New Roman" w:eastAsia="宋体" w:cs="Times New Roman"/>
                <w:vertAlign w:val="subscript"/>
              </w:rPr>
              <w:t>f</w:t>
            </w:r>
            <w:r>
              <w:rPr>
                <w:rFonts w:ascii="Times New Roman" w:eastAsia="宋体" w:cs="Times New Roman"/>
              </w:rPr>
              <w:t>--化粪池实际使用人数占总人数的百分数，项目按100%计；</w:t>
            </w:r>
          </w:p>
          <w:p>
            <w:pPr>
              <w:pStyle w:val="2"/>
              <w:spacing w:line="360" w:lineRule="auto"/>
              <w:ind w:firstLine="480" w:firstLineChars="200"/>
              <w:rPr>
                <w:rFonts w:ascii="Times New Roman" w:eastAsia="宋体" w:cs="Times New Roman"/>
              </w:rPr>
            </w:pPr>
            <w:r>
              <w:rPr>
                <w:rFonts w:ascii="Times New Roman" w:eastAsia="宋体" w:cs="Times New Roman"/>
              </w:rPr>
              <w:t>q</w:t>
            </w:r>
            <w:r>
              <w:rPr>
                <w:rFonts w:ascii="Times New Roman" w:eastAsia="宋体" w:cs="Times New Roman"/>
                <w:vertAlign w:val="subscript"/>
              </w:rPr>
              <w:t>w</w:t>
            </w:r>
            <w:r>
              <w:rPr>
                <w:rFonts w:ascii="Times New Roman" w:eastAsia="宋体" w:cs="Times New Roman"/>
              </w:rPr>
              <w:t>--每人每日计算污水量[L/（人·d）]，项目按给水定额0.85L/（人·d）；</w:t>
            </w:r>
          </w:p>
          <w:p>
            <w:pPr>
              <w:pStyle w:val="2"/>
              <w:spacing w:line="360" w:lineRule="auto"/>
              <w:ind w:firstLine="480" w:firstLineChars="200"/>
              <w:rPr>
                <w:rFonts w:ascii="Times New Roman" w:eastAsia="宋体" w:cs="Times New Roman"/>
              </w:rPr>
            </w:pPr>
            <w:r>
              <w:rPr>
                <w:rFonts w:ascii="Times New Roman" w:eastAsia="宋体" w:cs="Times New Roman"/>
              </w:rPr>
              <w:t>t</w:t>
            </w:r>
            <w:r>
              <w:rPr>
                <w:rFonts w:ascii="Times New Roman" w:eastAsia="宋体" w:cs="Times New Roman"/>
                <w:vertAlign w:val="subscript"/>
              </w:rPr>
              <w:t>w</w:t>
            </w:r>
            <w:r>
              <w:rPr>
                <w:rFonts w:ascii="Times New Roman" w:eastAsia="宋体" w:cs="Times New Roman"/>
              </w:rPr>
              <w:t>--污水在池中停留时间（h），项目按24h计；</w:t>
            </w:r>
          </w:p>
          <w:p>
            <w:pPr>
              <w:pStyle w:val="2"/>
              <w:spacing w:line="360" w:lineRule="auto"/>
              <w:ind w:firstLine="480" w:firstLineChars="200"/>
              <w:rPr>
                <w:rFonts w:ascii="Times New Roman" w:eastAsia="宋体" w:cs="Times New Roman"/>
              </w:rPr>
            </w:pPr>
            <w:r>
              <w:rPr>
                <w:rFonts w:ascii="Times New Roman" w:eastAsia="宋体" w:cs="Times New Roman"/>
              </w:rPr>
              <w:t>q</w:t>
            </w:r>
            <w:r>
              <w:rPr>
                <w:rFonts w:ascii="Times New Roman" w:eastAsia="宋体" w:cs="Times New Roman"/>
                <w:vertAlign w:val="subscript"/>
              </w:rPr>
              <w:t>n</w:t>
            </w:r>
            <w:r>
              <w:rPr>
                <w:rFonts w:ascii="Times New Roman" w:eastAsia="宋体" w:cs="Times New Roman"/>
              </w:rPr>
              <w:t>--每人每日计算污泥量[L/(人·d)]；项目按0.7L/（人·d）</w:t>
            </w:r>
          </w:p>
          <w:p>
            <w:pPr>
              <w:pStyle w:val="2"/>
              <w:spacing w:line="360" w:lineRule="auto"/>
              <w:ind w:firstLine="480" w:firstLineChars="200"/>
              <w:rPr>
                <w:rFonts w:ascii="Times New Roman" w:eastAsia="宋体" w:cs="Times New Roman"/>
              </w:rPr>
            </w:pPr>
            <w:r>
              <w:rPr>
                <w:rFonts w:ascii="Times New Roman" w:eastAsia="宋体" w:cs="Times New Roman"/>
              </w:rPr>
              <w:t>t</w:t>
            </w:r>
            <w:r>
              <w:rPr>
                <w:rFonts w:ascii="Times New Roman" w:eastAsia="宋体" w:cs="Times New Roman"/>
                <w:vertAlign w:val="subscript"/>
              </w:rPr>
              <w:t>n</w:t>
            </w:r>
            <w:r>
              <w:rPr>
                <w:rFonts w:ascii="Times New Roman" w:eastAsia="宋体" w:cs="Times New Roman"/>
              </w:rPr>
              <w:t>--污泥清掏周期应根据污水温度和当地气候条件确定，项目清掏周期为1个月；</w:t>
            </w:r>
          </w:p>
          <w:p>
            <w:pPr>
              <w:pStyle w:val="2"/>
              <w:spacing w:line="360" w:lineRule="auto"/>
              <w:ind w:firstLine="480" w:firstLineChars="200"/>
              <w:rPr>
                <w:rFonts w:ascii="Times New Roman" w:eastAsia="宋体" w:cs="Times New Roman"/>
              </w:rPr>
            </w:pPr>
            <w:r>
              <w:rPr>
                <w:rFonts w:ascii="Times New Roman" w:eastAsia="宋体" w:cs="Times New Roman"/>
              </w:rPr>
              <w:t>b</w:t>
            </w:r>
            <w:r>
              <w:rPr>
                <w:rFonts w:ascii="Times New Roman" w:eastAsia="宋体" w:cs="Times New Roman"/>
                <w:vertAlign w:val="subscript"/>
              </w:rPr>
              <w:t>x</w:t>
            </w:r>
            <w:r>
              <w:rPr>
                <w:rFonts w:ascii="Times New Roman" w:eastAsia="宋体" w:cs="Times New Roman"/>
              </w:rPr>
              <w:t>--新鲜污泥含水率可按95%计算；</w:t>
            </w:r>
          </w:p>
          <w:p>
            <w:pPr>
              <w:pStyle w:val="2"/>
              <w:spacing w:line="360" w:lineRule="auto"/>
              <w:ind w:firstLine="480" w:firstLineChars="200"/>
              <w:rPr>
                <w:rFonts w:ascii="Times New Roman" w:eastAsia="宋体" w:cs="Times New Roman"/>
              </w:rPr>
            </w:pPr>
            <w:r>
              <w:rPr>
                <w:rFonts w:ascii="Times New Roman" w:eastAsia="宋体" w:cs="Times New Roman"/>
              </w:rPr>
              <w:t>b</w:t>
            </w:r>
            <w:r>
              <w:rPr>
                <w:rFonts w:ascii="Times New Roman" w:eastAsia="宋体" w:cs="Times New Roman"/>
                <w:vertAlign w:val="subscript"/>
              </w:rPr>
              <w:t>n</w:t>
            </w:r>
            <w:r>
              <w:rPr>
                <w:rFonts w:ascii="Times New Roman" w:eastAsia="宋体" w:cs="Times New Roman"/>
              </w:rPr>
              <w:t>--发酵浓缩后的污泥含水率可按90%计算；</w:t>
            </w:r>
          </w:p>
          <w:p>
            <w:pPr>
              <w:pStyle w:val="2"/>
              <w:spacing w:line="360" w:lineRule="auto"/>
              <w:ind w:firstLine="480" w:firstLineChars="200"/>
              <w:rPr>
                <w:rFonts w:ascii="Times New Roman" w:eastAsia="宋体" w:cs="Times New Roman"/>
              </w:rPr>
            </w:pPr>
            <w:r>
              <w:rPr>
                <w:rFonts w:ascii="Times New Roman" w:eastAsia="宋体" w:cs="Times New Roman"/>
              </w:rPr>
              <w:t>Ms--污泥发酵后体积缩减系数，宜取0.8；</w:t>
            </w:r>
          </w:p>
          <w:p>
            <w:pPr>
              <w:pStyle w:val="2"/>
              <w:spacing w:line="360" w:lineRule="auto"/>
              <w:ind w:firstLine="480" w:firstLineChars="200"/>
              <w:rPr>
                <w:rFonts w:ascii="Times New Roman" w:eastAsia="宋体" w:cs="Times New Roman"/>
              </w:rPr>
            </w:pPr>
            <w:r>
              <w:rPr>
                <w:rFonts w:ascii="Times New Roman" w:eastAsia="宋体" w:cs="Times New Roman"/>
              </w:rPr>
              <w:t>1.2--清掏后遗留20%的容积系数；</w:t>
            </w:r>
          </w:p>
          <w:p>
            <w:pPr>
              <w:pStyle w:val="20"/>
              <w:spacing w:before="0" w:after="0" w:line="360" w:lineRule="auto"/>
              <w:ind w:right="0"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szCs w:val="24"/>
              </w:rPr>
              <w:t>经计算，项目化粪池有效容积应为6.58+0.89=7.47m</w:t>
            </w:r>
            <w:r>
              <w:rPr>
                <w:rFonts w:ascii="Times New Roman" w:hAnsi="Times New Roman" w:eastAsia="宋体" w:cs="Times New Roman"/>
                <w:color w:val="000000"/>
                <w:sz w:val="24"/>
                <w:szCs w:val="24"/>
                <w:vertAlign w:val="superscript"/>
              </w:rPr>
              <w:t>3</w:t>
            </w:r>
            <w:r>
              <w:rPr>
                <w:rFonts w:ascii="Times New Roman" w:hAnsi="Times New Roman" w:eastAsia="宋体" w:cs="Times New Roman"/>
                <w:color w:val="000000"/>
                <w:sz w:val="24"/>
                <w:szCs w:val="24"/>
              </w:rPr>
              <w:t>，取整为8m</w:t>
            </w:r>
            <w:r>
              <w:rPr>
                <w:rFonts w:ascii="Times New Roman" w:hAnsi="Times New Roman" w:eastAsia="宋体" w:cs="Times New Roman"/>
                <w:color w:val="000000"/>
                <w:sz w:val="24"/>
                <w:szCs w:val="24"/>
                <w:vertAlign w:val="superscript"/>
              </w:rPr>
              <w:t>3</w:t>
            </w:r>
            <w:r>
              <w:rPr>
                <w:rFonts w:ascii="Times New Roman" w:hAnsi="Times New Roman" w:eastAsia="宋体" w:cs="Times New Roman"/>
                <w:color w:val="000000"/>
                <w:sz w:val="24"/>
                <w:szCs w:val="24"/>
              </w:rPr>
              <w:t>。项目</w:t>
            </w:r>
            <w:r>
              <w:rPr>
                <w:rFonts w:hint="eastAsia" w:ascii="Times New Roman" w:hAnsi="Times New Roman" w:eastAsia="宋体" w:cs="Times New Roman"/>
                <w:color w:val="000000"/>
                <w:sz w:val="24"/>
                <w:szCs w:val="24"/>
              </w:rPr>
              <w:t>所在楼</w:t>
            </w:r>
            <w:r>
              <w:rPr>
                <w:rFonts w:ascii="Times New Roman" w:hAnsi="Times New Roman" w:eastAsia="宋体" w:cs="Times New Roman"/>
                <w:color w:val="000000"/>
                <w:sz w:val="24"/>
                <w:szCs w:val="24"/>
              </w:rPr>
              <w:t>原有化粪池位于自建污水处理站下，</w:t>
            </w:r>
            <w:r>
              <w:rPr>
                <w:rFonts w:hint="eastAsia" w:ascii="Times New Roman" w:hAnsi="Times New Roman" w:eastAsia="宋体" w:cs="Times New Roman"/>
                <w:color w:val="000000"/>
                <w:sz w:val="24"/>
                <w:szCs w:val="24"/>
                <w:lang w:val="en-US" w:eastAsia="zh-CN"/>
              </w:rPr>
              <w:t>项目所在楼现有工程水量约为20.63m</w:t>
            </w:r>
            <w:r>
              <w:rPr>
                <w:rFonts w:hint="eastAsia" w:ascii="Times New Roman" w:hAnsi="Times New Roman" w:eastAsia="宋体" w:cs="Times New Roman"/>
                <w:color w:val="000000"/>
                <w:sz w:val="24"/>
                <w:szCs w:val="24"/>
                <w:vertAlign w:val="superscript"/>
                <w:lang w:val="en-US" w:eastAsia="zh-CN"/>
              </w:rPr>
              <w:t>3</w:t>
            </w:r>
            <w:r>
              <w:rPr>
                <w:rFonts w:hint="eastAsia" w:ascii="Times New Roman" w:hAnsi="Times New Roman" w:eastAsia="宋体" w:cs="Times New Roman"/>
                <w:color w:val="000000"/>
                <w:sz w:val="24"/>
                <w:szCs w:val="24"/>
                <w:vertAlign w:val="baseline"/>
                <w:lang w:val="en-US" w:eastAsia="zh-CN"/>
              </w:rPr>
              <w:t>，化粪池</w:t>
            </w:r>
            <w:r>
              <w:rPr>
                <w:rFonts w:ascii="Times New Roman" w:hAnsi="Times New Roman" w:eastAsia="宋体" w:cs="Times New Roman"/>
                <w:color w:val="000000"/>
                <w:sz w:val="24"/>
                <w:szCs w:val="24"/>
              </w:rPr>
              <w:t>尺寸为3*</w:t>
            </w:r>
            <w:r>
              <w:rPr>
                <w:rFonts w:hint="eastAsia" w:ascii="Times New Roman" w:hAnsi="Times New Roman" w:eastAsia="宋体" w:cs="Times New Roman"/>
                <w:color w:val="000000"/>
                <w:sz w:val="24"/>
                <w:szCs w:val="24"/>
              </w:rPr>
              <w:t>3</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6</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54</w:t>
            </w:r>
            <w:r>
              <w:rPr>
                <w:rFonts w:ascii="Times New Roman" w:hAnsi="Times New Roman" w:eastAsia="宋体" w:cs="Times New Roman"/>
                <w:color w:val="000000"/>
                <w:sz w:val="24"/>
                <w:szCs w:val="24"/>
              </w:rPr>
              <w:t>m</w:t>
            </w:r>
            <w:r>
              <w:rPr>
                <w:rFonts w:ascii="Times New Roman" w:hAnsi="Times New Roman" w:eastAsia="宋体" w:cs="Times New Roman"/>
                <w:color w:val="000000"/>
                <w:sz w:val="24"/>
                <w:szCs w:val="24"/>
                <w:vertAlign w:val="superscript"/>
              </w:rPr>
              <w:t>3</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lang w:val="en-US" w:eastAsia="zh-CN"/>
              </w:rPr>
              <w:t>剩余容量为54-8-20.63=25.89m</w:t>
            </w:r>
            <w:r>
              <w:rPr>
                <w:rFonts w:hint="eastAsia" w:ascii="Times New Roman" w:hAnsi="Times New Roman" w:eastAsia="宋体" w:cs="Times New Roman"/>
                <w:color w:val="000000"/>
                <w:sz w:val="24"/>
                <w:szCs w:val="24"/>
                <w:vertAlign w:val="superscript"/>
                <w:lang w:val="en-US" w:eastAsia="zh-CN"/>
              </w:rPr>
              <w:t>3</w:t>
            </w:r>
            <w:r>
              <w:rPr>
                <w:rFonts w:hint="eastAsia" w:ascii="Times New Roman" w:hAnsi="Times New Roman" w:eastAsia="宋体" w:cs="Times New Roman"/>
                <w:color w:val="000000"/>
                <w:sz w:val="24"/>
                <w:szCs w:val="24"/>
                <w:vertAlign w:val="baseline"/>
                <w:lang w:val="en-US" w:eastAsia="zh-CN"/>
              </w:rPr>
              <w:t>，</w:t>
            </w:r>
            <w:r>
              <w:rPr>
                <w:rFonts w:ascii="Times New Roman" w:hAnsi="Times New Roman" w:eastAsia="宋体" w:cs="Times New Roman"/>
                <w:color w:val="000000"/>
                <w:sz w:val="24"/>
                <w:szCs w:val="24"/>
              </w:rPr>
              <w:t>故现有化粪池满足项目要求。</w:t>
            </w:r>
          </w:p>
          <w:p>
            <w:pPr>
              <w:adjustRightInd w:val="0"/>
              <w:snapToGrid w:val="0"/>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b.</w:t>
            </w:r>
            <w:r>
              <w:rPr>
                <w:rFonts w:hint="eastAsia" w:ascii="Times New Roman" w:hAnsi="Times New Roman" w:eastAsia="宋体" w:cs="Times New Roman"/>
                <w:color w:val="000000"/>
                <w:sz w:val="24"/>
                <w:lang w:val="en-US" w:eastAsia="zh-CN"/>
              </w:rPr>
              <w:t>隔油</w:t>
            </w:r>
            <w:r>
              <w:rPr>
                <w:rFonts w:ascii="Times New Roman" w:hAnsi="Times New Roman" w:eastAsia="宋体" w:cs="Times New Roman"/>
                <w:color w:val="000000"/>
                <w:sz w:val="24"/>
              </w:rPr>
              <w:t>池</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rPr>
              <w:t>利用废水中悬浮物和水的比重不同而达到分离的目的。隔油池的构造多采用平流式，含油废水通过配水槽进入平面为矩形的隔油池，沿水平方向缓慢流动，在流动中油品上浮水面，由集油管或设置在池面的刮油机推送到集油管中流入脱水罐。在隔油池中沉淀下来的重油及其他杂质，积聚到池底污泥斗中，通过排泥管进入污泥管中。经过隔油处理的废水则溢流入排水渠排出池外，进行后续处理，以去除乳化油及其他污染物。</w:t>
            </w:r>
          </w:p>
          <w:p>
            <w:pPr>
              <w:adjustRightInd w:val="0"/>
              <w:snapToGrid w:val="0"/>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b.调节池</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在调节池前面设置格栅，阻挡大件悬浮物。调节池内设提升水泵，主要调节污水的pH值，保障后面工序的稳定进行。根据《医院污水处理工程技术规范》（HJ2029-2013）规定，调节池连续运行时，有效容积应按日处理水量的6-8小时计算，项目取6小时计算，则调节池需容积为6.58÷4=1.645m</w:t>
            </w:r>
            <w:r>
              <w:rPr>
                <w:rFonts w:ascii="Times New Roman" w:hAnsi="Times New Roman" w:eastAsia="宋体" w:cs="Times New Roman"/>
                <w:color w:val="000000"/>
                <w:sz w:val="24"/>
                <w:szCs w:val="24"/>
                <w:vertAlign w:val="superscript"/>
              </w:rPr>
              <w:t>3</w:t>
            </w:r>
            <w:r>
              <w:rPr>
                <w:rFonts w:ascii="Times New Roman" w:hAnsi="Times New Roman" w:eastAsia="宋体" w:cs="Times New Roman"/>
                <w:color w:val="000000"/>
                <w:sz w:val="24"/>
                <w:szCs w:val="24"/>
              </w:rPr>
              <w:t>，取整为2m</w:t>
            </w:r>
            <w:r>
              <w:rPr>
                <w:rFonts w:ascii="Times New Roman" w:hAnsi="Times New Roman" w:eastAsia="宋体" w:cs="Times New Roman"/>
                <w:color w:val="000000"/>
                <w:sz w:val="24"/>
                <w:szCs w:val="24"/>
                <w:vertAlign w:val="superscript"/>
              </w:rPr>
              <w:t>3</w:t>
            </w:r>
            <w:r>
              <w:rPr>
                <w:rFonts w:ascii="Times New Roman" w:hAnsi="Times New Roman" w:eastAsia="宋体" w:cs="Times New Roman"/>
                <w:color w:val="000000"/>
                <w:sz w:val="24"/>
                <w:szCs w:val="24"/>
              </w:rPr>
              <w:t>。项目调节池位于地下，尺寸为</w:t>
            </w:r>
            <w:r>
              <w:rPr>
                <w:rFonts w:hint="eastAsia" w:ascii="Times New Roman" w:hAnsi="Times New Roman" w:eastAsia="宋体" w:cs="Times New Roman"/>
                <w:color w:val="000000"/>
                <w:sz w:val="24"/>
                <w:szCs w:val="24"/>
              </w:rPr>
              <w:t>1.5</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1.5</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3</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6.75</w:t>
            </w:r>
            <w:r>
              <w:rPr>
                <w:rFonts w:ascii="Times New Roman" w:hAnsi="Times New Roman" w:eastAsia="宋体" w:cs="Times New Roman"/>
                <w:color w:val="000000"/>
                <w:sz w:val="24"/>
                <w:szCs w:val="24"/>
              </w:rPr>
              <w:t>m</w:t>
            </w:r>
            <w:r>
              <w:rPr>
                <w:rFonts w:ascii="Times New Roman" w:hAnsi="Times New Roman" w:eastAsia="宋体" w:cs="Times New Roman"/>
                <w:color w:val="000000"/>
                <w:sz w:val="24"/>
                <w:szCs w:val="24"/>
                <w:vertAlign w:val="superscript"/>
              </w:rPr>
              <w:t>3</w:t>
            </w:r>
            <w:r>
              <w:rPr>
                <w:rFonts w:ascii="Times New Roman" w:hAnsi="Times New Roman" w:eastAsia="宋体" w:cs="Times New Roman"/>
                <w:color w:val="000000"/>
                <w:sz w:val="24"/>
                <w:szCs w:val="24"/>
              </w:rPr>
              <w:t>，故项目调节池满足项目要求。</w:t>
            </w:r>
          </w:p>
          <w:p>
            <w:pPr>
              <w:pStyle w:val="20"/>
              <w:spacing w:before="0" w:after="0" w:line="360" w:lineRule="auto"/>
              <w:ind w:right="0"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c.</w:t>
            </w:r>
            <w:r>
              <w:rPr>
                <w:rFonts w:hint="eastAsia" w:ascii="Times New Roman" w:hAnsi="Times New Roman" w:eastAsia="宋体" w:cs="Times New Roman"/>
                <w:color w:val="000000"/>
                <w:sz w:val="24"/>
              </w:rPr>
              <w:t>水解酸化池</w:t>
            </w:r>
          </w:p>
          <w:p>
            <w:pPr>
              <w:pStyle w:val="20"/>
              <w:spacing w:before="0" w:after="0" w:line="360" w:lineRule="auto"/>
              <w:ind w:right="0" w:firstLine="480" w:firstLineChars="200"/>
              <w:rPr>
                <w:rFonts w:ascii="Times New Roman" w:hAnsi="Times New Roman" w:eastAsia="宋体" w:cs="Times New Roman"/>
                <w:color w:val="000000"/>
                <w:sz w:val="24"/>
              </w:rPr>
            </w:pPr>
            <w:r>
              <w:rPr>
                <w:rFonts w:hint="eastAsia" w:ascii="Times New Roman" w:hAnsi="Times New Roman" w:eastAsia="宋体" w:cs="Times New Roman"/>
                <w:color w:val="000000"/>
                <w:sz w:val="24"/>
              </w:rPr>
              <w:t>水解酸化池除达到截留污水中悬浮物的目的外，还具有部分生化处理和污泥减容稳定的功能，能够将非溶解态有机物逐步转变为溶解态有机物，一些大分子、难降解的有机物降解为小分子有机物，改善废水的可生化性，为后续处理创造有利条件。</w:t>
            </w:r>
          </w:p>
          <w:p>
            <w:pPr>
              <w:adjustRightInd w:val="0"/>
              <w:snapToGrid w:val="0"/>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d.</w:t>
            </w:r>
            <w:r>
              <w:rPr>
                <w:rFonts w:hint="eastAsia" w:ascii="Times New Roman" w:hAnsi="Times New Roman" w:eastAsia="宋体" w:cs="Times New Roman"/>
                <w:color w:val="000000"/>
                <w:sz w:val="24"/>
              </w:rPr>
              <w:t>接触氧化池</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rPr>
              <w:t>生物接触氧化法是一种介于活性污泥法与生物滤池之间的生物膜法工艺，其特点是在池内设置填料，池底曝气对污水进行充氧，并使池体内污水处于流动状态，以保证污水与污水中的填料充分接触，避免生物接触氧化池中存在污水与填料接触不均的缺陷。其净化废水的基本原理与一般生物膜法相同，以生物膜吸附废水中的有机物，在有氧的条件下，有机物由微生物氧化分解，废水得到净化。</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rPr>
              <w:t>生物接触氧化池内生物膜由菌胶团、丝状菌、真菌、原生动物和后生动物组成。在活性污泥法中，丝状菌常常是影响正常生物净化作用的因素；而在生物接触氧化池中，丝状菌在填料空隙间呈立体结构，大大增加了生物相与废水的接触表面，同时因为丝状菌对多数有机物具有较强的氧化能力，对水质负荷变化有较大的适应性，所以是提高净化能力的有利因素。</w:t>
            </w:r>
          </w:p>
          <w:p>
            <w:pPr>
              <w:adjustRightInd w:val="0"/>
              <w:snapToGrid w:val="0"/>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e.</w:t>
            </w:r>
            <w:r>
              <w:rPr>
                <w:rFonts w:hint="eastAsia" w:ascii="Times New Roman" w:hAnsi="Times New Roman" w:eastAsia="宋体" w:cs="Times New Roman"/>
                <w:color w:val="000000"/>
                <w:sz w:val="24"/>
              </w:rPr>
              <w:t>沉淀</w:t>
            </w:r>
            <w:r>
              <w:rPr>
                <w:rFonts w:ascii="Times New Roman" w:hAnsi="Times New Roman" w:eastAsia="宋体" w:cs="Times New Roman"/>
                <w:color w:val="000000"/>
                <w:sz w:val="24"/>
              </w:rPr>
              <w:t>池</w:t>
            </w:r>
          </w:p>
          <w:p>
            <w:pPr>
              <w:spacing w:line="360" w:lineRule="auto"/>
              <w:ind w:firstLine="480" w:firstLineChars="200"/>
              <w:jc w:val="left"/>
              <w:rPr>
                <w:rFonts w:ascii="Times New Roman" w:hAnsi="Times New Roman" w:eastAsia="宋体" w:cs="Times New Roman"/>
                <w:color w:val="000000"/>
                <w:sz w:val="24"/>
              </w:rPr>
            </w:pPr>
            <w:r>
              <w:rPr>
                <w:rFonts w:ascii="Times New Roman" w:hAnsi="Times New Roman" w:eastAsia="宋体" w:cs="Times New Roman"/>
                <w:color w:val="000000"/>
                <w:sz w:val="24"/>
              </w:rPr>
              <w:t>废水经接触氧化池处理后，由于提供氧源及有机物被降解，吸附仍不够彻底，加上废水兼有一定的活性污泥，所以废水经过接触氧化池处理后，必须经过沉淀，在重力的作用下沉降废水中的悬浮物，使水质达到净化效果。</w:t>
            </w:r>
          </w:p>
          <w:p>
            <w:pPr>
              <w:spacing w:line="360" w:lineRule="auto"/>
              <w:ind w:firstLine="480" w:firstLineChars="200"/>
              <w:jc w:val="left"/>
              <w:rPr>
                <w:rFonts w:ascii="Times New Roman" w:hAnsi="Times New Roman" w:eastAsia="宋体" w:cs="Times New Roman"/>
                <w:color w:val="000000"/>
                <w:sz w:val="24"/>
              </w:rPr>
            </w:pPr>
            <w:r>
              <w:rPr>
                <w:rFonts w:ascii="Times New Roman" w:hAnsi="Times New Roman" w:eastAsia="宋体" w:cs="Times New Roman"/>
                <w:color w:val="000000"/>
                <w:sz w:val="24"/>
              </w:rPr>
              <w:t>f.</w:t>
            </w:r>
            <w:r>
              <w:rPr>
                <w:rFonts w:hint="eastAsia" w:ascii="Times New Roman" w:hAnsi="Times New Roman" w:eastAsia="宋体" w:cs="Times New Roman"/>
                <w:color w:val="000000"/>
                <w:sz w:val="24"/>
              </w:rPr>
              <w:t>清水消毒池</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rPr>
              <w:t>清水消毒池作用是让过滤后的洁净澄清的滤后水沿着管道流往其内部进行贮存，并在清水中投加入消毒剂进行一段时间消毒，对水体的大肠杆菌等病菌进行杀灭以达到灭菌的效果。</w:t>
            </w:r>
            <w:r>
              <w:rPr>
                <w:rFonts w:ascii="Times New Roman" w:hAnsi="Times New Roman" w:eastAsia="宋体" w:cs="Times New Roman"/>
                <w:color w:val="000000"/>
                <w:sz w:val="24"/>
                <w:szCs w:val="24"/>
              </w:rPr>
              <w:t>医院污水经消毒后排放可有效灭杀污水中的各种致病菌，项目采用次氯酸钠对混凝沉淀后的废水进行消毒。参照《医院污水处理工程技术规范》（HJ2029-2013）附录A可知，次氯酸钠作为常用消毒剂，适合本项目使用。</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rPr>
              <w:t>g.污泥池</w:t>
            </w:r>
          </w:p>
          <w:p>
            <w:pPr>
              <w:pStyle w:val="20"/>
              <w:spacing w:before="0" w:after="0" w:line="360" w:lineRule="auto"/>
              <w:ind w:right="0" w:firstLine="480" w:firstLineChars="200"/>
              <w:rPr>
                <w:rFonts w:hint="default" w:ascii="Times New Roman" w:hAnsi="Times New Roman" w:eastAsia="宋体" w:cs="Times New Roman"/>
                <w:b/>
                <w:bCs/>
                <w:color w:val="000000"/>
                <w:kern w:val="2"/>
                <w:sz w:val="24"/>
                <w:lang w:val="en-US" w:eastAsia="zh-CN"/>
              </w:rPr>
            </w:pPr>
            <w:r>
              <w:rPr>
                <w:rFonts w:hint="eastAsia" w:ascii="Times New Roman" w:hAnsi="Times New Roman" w:eastAsia="宋体" w:cs="Times New Roman"/>
                <w:color w:val="000000"/>
                <w:sz w:val="24"/>
                <w:szCs w:val="24"/>
              </w:rPr>
              <w:t>储存污水处理系统产生的污泥，根据《医院污水处理技术指南》，向污泥中投加石灰（15g/L污泥），并搅拌均匀，进行消毒处理。经消毒后的污泥，委托有资质的单位进行处理。</w:t>
            </w:r>
          </w:p>
          <w:p>
            <w:pPr>
              <w:spacing w:line="360" w:lineRule="auto"/>
              <w:ind w:firstLine="482" w:firstLineChars="200"/>
              <w:jc w:val="left"/>
              <w:rPr>
                <w:rFonts w:ascii="Times New Roman" w:hAnsi="Times New Roman" w:eastAsia="宋体" w:cs="Times New Roman"/>
                <w:color w:val="000000"/>
                <w:sz w:val="24"/>
              </w:rPr>
            </w:pPr>
            <w:r>
              <w:rPr>
                <w:rFonts w:ascii="Times New Roman" w:hAnsi="Times New Roman" w:eastAsia="宋体" w:cs="Times New Roman"/>
                <w:b/>
                <w:bCs/>
                <w:color w:val="000000"/>
                <w:sz w:val="24"/>
              </w:rPr>
              <w:t>②依托湛江市赤坎水质净化厂处理可行性分析</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湛江市赤坎水质净化厂位于湛江市赤坎区海田小区东盛路，湛江市赤坎水质净化厂一期管网主要收集赤坎城区南桥河、北桥河和赤坎江沿河居民的生活污水，管网工程服务面积660公顷，服务人口约30万人。一期工程</w:t>
            </w:r>
            <w:r>
              <w:rPr>
                <w:rFonts w:hint="eastAsia" w:ascii="Times New Roman" w:hAnsi="Times New Roman" w:eastAsia="宋体" w:cs="Times New Roman"/>
                <w:color w:val="000000"/>
                <w:sz w:val="24"/>
                <w:szCs w:val="24"/>
                <w:lang w:val="en-US" w:eastAsia="zh-CN"/>
              </w:rPr>
              <w:t>处理能力</w:t>
            </w:r>
            <w:r>
              <w:rPr>
                <w:rFonts w:ascii="Times New Roman" w:hAnsi="Times New Roman" w:eastAsia="宋体" w:cs="Times New Roman"/>
                <w:color w:val="000000"/>
                <w:sz w:val="24"/>
                <w:szCs w:val="24"/>
              </w:rPr>
              <w:t>5万吨/日，于2002年12月18日动工，2005年2月通过省环保局环保竣工验收投入运行。运行至今一直保持正常稳定，出水达标排放。</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二期管网主要收集赤坎城区金沙湾居住片区一带居民的生活污水，管网工程服务面积960公顷，现状人口约11万人。厂区面积408.5亩，远期设计规模30万吨/日，首期设计10万吨/日，采用微孔曝气氧化沟A2O除磷脱氮的处理工艺。建设总投资23250万元，目前分两期建设。二期工程</w:t>
            </w:r>
            <w:r>
              <w:rPr>
                <w:rFonts w:hint="eastAsia" w:ascii="Times New Roman" w:hAnsi="Times New Roman" w:eastAsia="宋体" w:cs="Times New Roman"/>
                <w:color w:val="000000"/>
                <w:sz w:val="24"/>
                <w:szCs w:val="24"/>
                <w:lang w:val="en-US" w:eastAsia="zh-CN"/>
              </w:rPr>
              <w:t>处理能力</w:t>
            </w:r>
            <w:r>
              <w:rPr>
                <w:rFonts w:ascii="Times New Roman" w:hAnsi="Times New Roman" w:eastAsia="宋体" w:cs="Times New Roman"/>
                <w:color w:val="000000"/>
                <w:sz w:val="24"/>
                <w:szCs w:val="24"/>
              </w:rPr>
              <w:t>5万吨/日，采用与工期相同的A2O工艺，增加了紫外线消毒系统和在线监控系统。该工程</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厂区</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投资4500万元，2007年11月动工建设，2009年3月17日通过主体工程验收，2009年8月10日开始调试，2009年11月10日至12日经省环境监测中心环保验收监测，于2010年1月5日顺利通过省环保厅竣工环保验收，正式投产运行。</w:t>
            </w:r>
          </w:p>
          <w:p>
            <w:pPr>
              <w:pStyle w:val="20"/>
              <w:spacing w:before="0" w:after="0" w:line="360" w:lineRule="auto"/>
              <w:ind w:right="0" w:firstLine="480" w:firstLineChars="200"/>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rPr>
              <w:t>三期工程与</w:t>
            </w:r>
            <w:r>
              <w:rPr>
                <w:rFonts w:hint="eastAsia" w:ascii="Times New Roman" w:hAnsi="Times New Roman" w:eastAsia="宋体" w:cs="Times New Roman"/>
                <w:color w:val="000000"/>
                <w:sz w:val="24"/>
                <w:szCs w:val="24"/>
                <w:lang w:eastAsia="zh-CN"/>
              </w:rPr>
              <w:t>（</w:t>
            </w:r>
            <w:r>
              <w:rPr>
                <w:rFonts w:hint="eastAsia" w:ascii="Times New Roman" w:hAnsi="Times New Roman" w:eastAsia="宋体" w:cs="Times New Roman"/>
                <w:color w:val="000000"/>
                <w:sz w:val="24"/>
                <w:szCs w:val="24"/>
              </w:rPr>
              <w:t>一、二期扩容提质工程</w:t>
            </w:r>
            <w:r>
              <w:rPr>
                <w:rFonts w:hint="eastAsia" w:ascii="Times New Roman" w:hAnsi="Times New Roman" w:eastAsia="宋体" w:cs="Times New Roman"/>
                <w:color w:val="000000"/>
                <w:sz w:val="24"/>
                <w:szCs w:val="24"/>
                <w:lang w:eastAsia="zh-CN"/>
              </w:rPr>
              <w:t>）</w:t>
            </w:r>
            <w:r>
              <w:rPr>
                <w:rFonts w:hint="eastAsia" w:ascii="Times New Roman" w:hAnsi="Times New Roman" w:eastAsia="宋体" w:cs="Times New Roman"/>
                <w:color w:val="000000"/>
                <w:sz w:val="24"/>
                <w:szCs w:val="24"/>
              </w:rPr>
              <w:t>共用市政污水管网，赤坎水质净化厂按整体规划建成后，赤坎水质净化厂总纳污面积达2098公顷，主要受纳赤坎区的生活污水，覆盖人口约30多万人。赤坎水质净化厂三期工程位于现有湛江市赤坎水质净化厂一期、二期工程厂区的西面，采用CASS工艺，设计处理能力10万吨/日，分两期建设。分两段建设目前A段5万吨/日已建成，并通过环保竣工验收手续，B段现按7万吨/日重新立项建设。赤坎水质净化厂扩容提质(20万吨/日)工程</w:t>
            </w:r>
            <w:r>
              <w:rPr>
                <w:rFonts w:hint="eastAsia" w:ascii="Times New Roman" w:hAnsi="Times New Roman" w:eastAsia="宋体" w:cs="Times New Roman"/>
                <w:color w:val="000000"/>
                <w:sz w:val="24"/>
                <w:szCs w:val="24"/>
                <w:lang w:val="en-US" w:eastAsia="zh-CN"/>
              </w:rPr>
              <w:t>于2018年取得批复，2020年12月通过竣工环保验收。</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湛江市赤坎水质净化厂一、二期工程主要构（建）筑物包括预处理段构筑物（粗格栅和进水泵站、细格栅、旋流沉砂池）、生物处理段构筑物（厌氧池、缺氧池和好氧池）、二沉池、污泥脱水间、鼓风机房及变电所、除臭系统等。湛江市赤坎水质净化厂一期、二期工程采用微孔氧化沟A/A/O除磷脱氮工艺。氧化沟是一种环形的反应器，工艺的核心就是厌氧池+缺氧池+好氧池，其构造是在A/O工艺的厌氧区之后、好氧区之前增设一个缺氧区，好氧区具有硝化功能，并使好氧区中的混合液回流至缺氧区进行反硝化，使之脱氮。污水在流经三个不同功能分区的过程中，在不同微生物菌群作用下，使污水中的有机物、氮和磷得到去除，达到同时进行生物除磷和生物除氮的目的。</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湛江市赤坎水质净化厂一期、二期工程的工艺流程见图4-2所示。</w:t>
            </w:r>
          </w:p>
          <w:p>
            <w:pPr>
              <w:pStyle w:val="20"/>
              <w:spacing w:before="0" w:after="0" w:line="360" w:lineRule="auto"/>
              <w:ind w:right="0"/>
              <w:rPr>
                <w:rFonts w:ascii="Times New Roman" w:hAnsi="Times New Roman" w:eastAsia="宋体" w:cs="Times New Roman"/>
                <w:color w:val="000000"/>
                <w:sz w:val="24"/>
                <w:szCs w:val="24"/>
              </w:rPr>
            </w:pPr>
            <w:r>
              <w:rPr>
                <w:rFonts w:ascii="Times New Roman" w:hAnsi="Times New Roman" w:eastAsia="宋体" w:cs="Times New Roman"/>
              </w:rPr>
              <w:drawing>
                <wp:inline distT="0" distB="0" distL="114300" distR="114300">
                  <wp:extent cx="5536565" cy="3291840"/>
                  <wp:effectExtent l="0" t="0" r="6985" b="3810"/>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
                          <pic:cNvPicPr>
                            <a:picLocks noChangeAspect="1"/>
                          </pic:cNvPicPr>
                        </pic:nvPicPr>
                        <pic:blipFill>
                          <a:blip r:embed="rId20"/>
                          <a:srcRect l="7194" t="11037" r="8985" b="5748"/>
                          <a:stretch>
                            <a:fillRect/>
                          </a:stretch>
                        </pic:blipFill>
                        <pic:spPr>
                          <a:xfrm>
                            <a:off x="0" y="0"/>
                            <a:ext cx="5536565" cy="3291840"/>
                          </a:xfrm>
                          <a:prstGeom prst="rect">
                            <a:avLst/>
                          </a:prstGeom>
                          <a:noFill/>
                          <a:ln>
                            <a:noFill/>
                          </a:ln>
                        </pic:spPr>
                      </pic:pic>
                    </a:graphicData>
                  </a:graphic>
                </wp:inline>
              </w:drawing>
            </w:r>
          </w:p>
          <w:p>
            <w:pPr>
              <w:pStyle w:val="20"/>
              <w:spacing w:before="0" w:after="0" w:line="360" w:lineRule="auto"/>
              <w:ind w:right="0"/>
              <w:jc w:val="center"/>
              <w:rPr>
                <w:rFonts w:ascii="Times New Roman" w:hAnsi="Times New Roman" w:eastAsia="宋体" w:cs="Times New Roman"/>
                <w:b/>
                <w:bCs/>
                <w:color w:val="000000"/>
                <w:sz w:val="24"/>
                <w:szCs w:val="24"/>
              </w:rPr>
            </w:pPr>
            <w:r>
              <w:rPr>
                <w:rFonts w:ascii="Times New Roman" w:hAnsi="Times New Roman" w:eastAsia="宋体" w:cs="Times New Roman"/>
                <w:b/>
                <w:bCs/>
                <w:color w:val="000000"/>
                <w:sz w:val="24"/>
                <w:szCs w:val="24"/>
              </w:rPr>
              <w:t>图4-2湛江市赤坎水质净化厂一期、二期工程工艺流程图</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项目所在地属于湛江市赤坎水质净化厂集污范围，目前已有建成可使用的市政污水管网，项目产生的污水经自建污水站预处理满足《医疗机构水污染物排放标准》</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GB18466-2005</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表二预处理标准、《水污染物排放限值》（DB44/26—2001）第二时段三级标准及湛江市赤坎水质净化厂进水水质标准中较严值后，经管道纳入湛江市政污水管道网，接入湛江市赤坎水质净化厂进行综合处理，尾水执行《城镇污水处理厂污染物排放标准》（GB1918-2002）的一级A标准及广东省《水污染物排放限值》（DB44/26—2001）第二时段一级标准。</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由于本项目外排污水主要为医疗废水及生活污水，该类污水经本项目自建污水处理站预处理后，水质情况为：pH6~9</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COD</w:t>
            </w:r>
            <w:r>
              <w:rPr>
                <w:rFonts w:ascii="Times New Roman" w:hAnsi="Times New Roman" w:eastAsia="宋体" w:cs="Times New Roman"/>
                <w:color w:val="000000"/>
                <w:sz w:val="24"/>
                <w:szCs w:val="24"/>
                <w:vertAlign w:val="subscript"/>
              </w:rPr>
              <w:t>cr</w:t>
            </w:r>
            <w:r>
              <w:rPr>
                <w:rFonts w:ascii="Times New Roman" w:hAnsi="Times New Roman" w:eastAsia="宋体" w:cs="Times New Roman"/>
                <w:color w:val="000000"/>
                <w:sz w:val="24"/>
                <w:szCs w:val="24"/>
              </w:rPr>
              <w:t>≤250 mg/L</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BOD</w:t>
            </w:r>
            <w:r>
              <w:rPr>
                <w:rFonts w:ascii="Times New Roman" w:hAnsi="Times New Roman" w:eastAsia="宋体" w:cs="Times New Roman"/>
                <w:color w:val="000000"/>
                <w:sz w:val="24"/>
                <w:szCs w:val="24"/>
                <w:vertAlign w:val="subscript"/>
              </w:rPr>
              <w:t>5</w:t>
            </w:r>
            <w:r>
              <w:rPr>
                <w:rFonts w:ascii="Times New Roman" w:hAnsi="Times New Roman" w:eastAsia="宋体" w:cs="Times New Roman"/>
                <w:color w:val="000000"/>
                <w:sz w:val="24"/>
                <w:szCs w:val="24"/>
              </w:rPr>
              <w:t>≤100 mg/L</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SS≤60mg/L</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LAS≤10mg/L。满足湛江市赤坎水质净化厂进水水质要求，不会对湛江市赤坎水质净化厂造成负荷冲击，不会影响该厂的正常运行。</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湛江市赤坎水质净化厂日处理能力为</w:t>
            </w:r>
            <w:r>
              <w:rPr>
                <w:rFonts w:hint="eastAsia" w:ascii="Times New Roman" w:hAnsi="Times New Roman" w:eastAsia="宋体" w:cs="Times New Roman"/>
                <w:color w:val="000000"/>
                <w:sz w:val="24"/>
                <w:szCs w:val="24"/>
                <w:lang w:val="en-US" w:eastAsia="zh-CN"/>
              </w:rPr>
              <w:t>20</w:t>
            </w:r>
            <w:r>
              <w:rPr>
                <w:rFonts w:ascii="Times New Roman" w:hAnsi="Times New Roman" w:eastAsia="宋体" w:cs="Times New Roman"/>
                <w:color w:val="000000"/>
                <w:sz w:val="24"/>
                <w:szCs w:val="24"/>
              </w:rPr>
              <w:t>万吨，</w:t>
            </w:r>
            <w:r>
              <w:rPr>
                <w:rFonts w:hint="eastAsia" w:ascii="Times New Roman" w:hAnsi="Times New Roman" w:eastAsia="宋体" w:cs="Times New Roman"/>
                <w:color w:val="000000"/>
                <w:sz w:val="24"/>
                <w:szCs w:val="24"/>
                <w:lang w:val="en-US" w:eastAsia="zh-CN"/>
              </w:rPr>
              <w:t>现状运行负荷19万吨/日，剩余处理量1万吨/日。</w:t>
            </w:r>
            <w:r>
              <w:rPr>
                <w:rFonts w:ascii="Times New Roman" w:hAnsi="Times New Roman" w:eastAsia="宋体" w:cs="Times New Roman"/>
                <w:color w:val="000000"/>
                <w:sz w:val="24"/>
                <w:szCs w:val="24"/>
              </w:rPr>
              <w:t>本项目外排污水量约为</w:t>
            </w:r>
            <w:r>
              <w:rPr>
                <w:rFonts w:hint="eastAsia" w:ascii="Times New Roman" w:hAnsi="Times New Roman" w:eastAsia="宋体" w:cs="Times New Roman"/>
                <w:color w:val="000000"/>
                <w:sz w:val="24"/>
                <w:szCs w:val="24"/>
              </w:rPr>
              <w:t>23.36</w:t>
            </w:r>
            <w:r>
              <w:rPr>
                <w:rFonts w:ascii="Times New Roman" w:hAnsi="Times New Roman" w:eastAsia="宋体" w:cs="Times New Roman"/>
                <w:color w:val="000000"/>
                <w:sz w:val="24"/>
                <w:szCs w:val="24"/>
              </w:rPr>
              <w:t>m</w:t>
            </w:r>
            <w:r>
              <w:rPr>
                <w:rFonts w:ascii="Times New Roman" w:hAnsi="Times New Roman" w:eastAsia="宋体" w:cs="Times New Roman"/>
                <w:color w:val="000000"/>
                <w:sz w:val="24"/>
                <w:szCs w:val="24"/>
                <w:vertAlign w:val="superscript"/>
              </w:rPr>
              <w:t>3</w:t>
            </w:r>
            <w:r>
              <w:rPr>
                <w:rFonts w:ascii="Times New Roman" w:hAnsi="Times New Roman" w:eastAsia="宋体" w:cs="Times New Roman"/>
                <w:color w:val="000000"/>
                <w:sz w:val="24"/>
                <w:szCs w:val="24"/>
              </w:rPr>
              <w:t>/d（日最大废水量），仅占湛江市赤坎水质净化厂处理量0.0</w:t>
            </w:r>
            <w:r>
              <w:rPr>
                <w:rFonts w:hint="eastAsia" w:ascii="Times New Roman" w:hAnsi="Times New Roman" w:eastAsia="宋体" w:cs="Times New Roman"/>
                <w:color w:val="000000"/>
                <w:sz w:val="24"/>
                <w:szCs w:val="24"/>
                <w:lang w:val="en-US" w:eastAsia="zh-CN"/>
              </w:rPr>
              <w:t>12</w:t>
            </w:r>
            <w:r>
              <w:rPr>
                <w:rFonts w:ascii="Times New Roman" w:hAnsi="Times New Roman" w:eastAsia="宋体" w:cs="Times New Roman"/>
                <w:color w:val="000000"/>
                <w:sz w:val="24"/>
                <w:szCs w:val="24"/>
              </w:rPr>
              <w:t>%，不会超出湛江市赤坎水质净化厂的剩余处理量，所以本项目产生的污水不会对湛江市赤坎水质净化厂产生水量和水质冲击负荷。</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综上可知，本项目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产生的生活污水和医疗废水经三级化粪池处理，再经自建污水处理站处理后，最终经市政污水管网接入湛江市赤坎水质净化厂处理，本项目废水得到了合理处理处置，对周围水环境影响很小。</w:t>
            </w:r>
          </w:p>
          <w:p>
            <w:pPr>
              <w:spacing w:line="360" w:lineRule="auto"/>
              <w:ind w:firstLine="482" w:firstLineChars="200"/>
              <w:jc w:val="left"/>
              <w:rPr>
                <w:rFonts w:ascii="Times New Roman" w:hAnsi="Times New Roman" w:eastAsia="宋体" w:cs="Times New Roman"/>
                <w:b/>
                <w:bCs/>
                <w:color w:val="000000"/>
                <w:sz w:val="24"/>
              </w:rPr>
            </w:pPr>
            <w:r>
              <w:rPr>
                <w:rFonts w:hint="eastAsia" w:ascii="Times New Roman" w:hAnsi="Times New Roman" w:eastAsia="宋体" w:cs="Times New Roman"/>
                <w:b/>
                <w:bCs/>
                <w:color w:val="000000"/>
                <w:sz w:val="24"/>
              </w:rPr>
              <w:t>3</w:t>
            </w:r>
            <w:r>
              <w:rPr>
                <w:rFonts w:ascii="Times New Roman" w:hAnsi="Times New Roman" w:eastAsia="宋体" w:cs="Times New Roman"/>
                <w:b/>
                <w:bCs/>
                <w:color w:val="000000"/>
                <w:sz w:val="24"/>
              </w:rPr>
              <w:t>、水环境影响分析</w:t>
            </w:r>
          </w:p>
          <w:p>
            <w:pPr>
              <w:spacing w:line="360" w:lineRule="auto"/>
              <w:ind w:firstLine="480" w:firstLineChars="200"/>
              <w:jc w:val="left"/>
              <w:rPr>
                <w:rFonts w:ascii="Times New Roman" w:hAnsi="Times New Roman" w:eastAsia="宋体" w:cs="Times New Roman"/>
                <w:color w:val="000000"/>
                <w:sz w:val="24"/>
              </w:rPr>
            </w:pPr>
            <w:r>
              <w:rPr>
                <w:rFonts w:ascii="Times New Roman" w:hAnsi="Times New Roman" w:eastAsia="宋体" w:cs="Times New Roman"/>
                <w:color w:val="000000"/>
                <w:sz w:val="24"/>
              </w:rPr>
              <w:t>项目运营期产生的废水主要为医疗废水及生活污水。</w:t>
            </w:r>
          </w:p>
          <w:p>
            <w:pPr>
              <w:pStyle w:val="20"/>
              <w:spacing w:before="0" w:after="0" w:line="360" w:lineRule="auto"/>
              <w:ind w:right="0" w:firstLine="480" w:firstLineChars="200"/>
              <w:rPr>
                <w:rFonts w:ascii="Times New Roman" w:hAnsi="Times New Roman" w:eastAsia="宋体" w:cs="Times New Roman"/>
                <w:b/>
                <w:bCs/>
                <w:color w:val="000000"/>
                <w:sz w:val="24"/>
              </w:rPr>
            </w:pPr>
            <w:r>
              <w:rPr>
                <w:rFonts w:hint="eastAsia" w:ascii="Times New Roman" w:hAnsi="Times New Roman" w:eastAsia="宋体" w:cs="Times New Roman"/>
                <w:color w:val="000000"/>
                <w:sz w:val="24"/>
                <w:szCs w:val="24"/>
              </w:rPr>
              <w:t>项目产生的食堂废水依托湛江市养老服务中心的三级化粪池、隔油池进行处理后，直接排入市政管网。</w:t>
            </w:r>
            <w:r>
              <w:rPr>
                <w:rFonts w:ascii="Times New Roman" w:hAnsi="Times New Roman" w:eastAsia="宋体" w:cs="Times New Roman"/>
                <w:color w:val="000000"/>
                <w:sz w:val="24"/>
                <w:szCs w:val="24"/>
              </w:rPr>
              <w:t>项目医疗废水（检验科废水经中和预处理）和生活污水经化粪池和医院自建污水处理站预处理后经市政污水管网引至湛江市赤坎水质净化厂集中处理，不会对周边水环境水质产生明显的不良影响</w:t>
            </w:r>
            <w:r>
              <w:rPr>
                <w:rFonts w:hint="eastAsia" w:ascii="Times New Roman" w:hAnsi="Times New Roman" w:eastAsia="宋体" w:cs="Times New Roman"/>
                <w:color w:val="000000"/>
                <w:sz w:val="24"/>
                <w:szCs w:val="24"/>
              </w:rPr>
              <w:t>。</w:t>
            </w:r>
          </w:p>
          <w:p>
            <w:pPr>
              <w:adjustRightInd w:val="0"/>
              <w:snapToGrid w:val="0"/>
              <w:spacing w:line="360" w:lineRule="auto"/>
              <w:ind w:firstLine="482" w:firstLineChars="200"/>
              <w:rPr>
                <w:rFonts w:ascii="Times New Roman" w:hAnsi="Times New Roman" w:eastAsia="宋体" w:cs="Times New Roman"/>
                <w:color w:val="000000"/>
              </w:rPr>
            </w:pPr>
            <w:r>
              <w:rPr>
                <w:rFonts w:hint="eastAsia" w:ascii="Times New Roman" w:hAnsi="Times New Roman" w:eastAsia="宋体" w:cs="Times New Roman"/>
                <w:b/>
                <w:bCs/>
                <w:color w:val="000000"/>
                <w:sz w:val="24"/>
              </w:rPr>
              <w:t>4</w:t>
            </w:r>
            <w:r>
              <w:rPr>
                <w:rFonts w:ascii="Times New Roman" w:hAnsi="Times New Roman" w:eastAsia="宋体" w:cs="Times New Roman"/>
                <w:b/>
                <w:bCs/>
                <w:color w:val="000000"/>
                <w:sz w:val="24"/>
              </w:rPr>
              <w:t>、排污口设置情况及监测计划</w:t>
            </w:r>
          </w:p>
          <w:p>
            <w:pPr>
              <w:pStyle w:val="2"/>
              <w:spacing w:line="360" w:lineRule="auto"/>
              <w:jc w:val="center"/>
              <w:rPr>
                <w:rFonts w:ascii="Times New Roman" w:eastAsia="宋体" w:cs="Times New Roman"/>
                <w:b/>
                <w:bCs/>
                <w:kern w:val="2"/>
              </w:rPr>
            </w:pPr>
            <w:r>
              <w:rPr>
                <w:rFonts w:ascii="Times New Roman" w:eastAsia="宋体" w:cs="Times New Roman"/>
                <w:b/>
                <w:bCs/>
                <w:kern w:val="2"/>
              </w:rPr>
              <w:t>表4-</w:t>
            </w:r>
            <w:r>
              <w:rPr>
                <w:rFonts w:hint="eastAsia" w:ascii="Times New Roman" w:eastAsia="宋体" w:cs="Times New Roman"/>
                <w:b/>
                <w:bCs/>
                <w:kern w:val="2"/>
              </w:rPr>
              <w:t>1</w:t>
            </w:r>
            <w:r>
              <w:rPr>
                <w:rFonts w:hint="eastAsia" w:ascii="Times New Roman" w:eastAsia="宋体" w:cs="Times New Roman"/>
                <w:b/>
                <w:bCs/>
                <w:kern w:val="2"/>
                <w:lang w:val="en-US" w:eastAsia="zh-CN"/>
              </w:rPr>
              <w:t>4</w:t>
            </w:r>
            <w:r>
              <w:rPr>
                <w:rFonts w:ascii="Times New Roman" w:eastAsia="宋体" w:cs="Times New Roman"/>
                <w:b/>
                <w:bCs/>
                <w:kern w:val="2"/>
              </w:rPr>
              <w:t>项目废水污染物治理设施信息表</w:t>
            </w:r>
          </w:p>
          <w:tbl>
            <w:tblPr>
              <w:tblStyle w:val="29"/>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712"/>
              <w:gridCol w:w="1019"/>
              <w:gridCol w:w="606"/>
              <w:gridCol w:w="921"/>
              <w:gridCol w:w="858"/>
              <w:gridCol w:w="694"/>
              <w:gridCol w:w="1295"/>
              <w:gridCol w:w="882"/>
              <w:gridCol w:w="798"/>
              <w:gridCol w:w="48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36" w:type="pct"/>
                  <w:vMerge w:val="restart"/>
                  <w:vAlign w:val="center"/>
                </w:tcPr>
                <w:p>
                  <w:pPr>
                    <w:pStyle w:val="6"/>
                    <w:spacing w:line="240" w:lineRule="auto"/>
                    <w:jc w:val="both"/>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序号</w:t>
                  </w:r>
                </w:p>
              </w:tc>
              <w:tc>
                <w:tcPr>
                  <w:tcW w:w="415"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废水类别</w:t>
                  </w:r>
                </w:p>
              </w:tc>
              <w:tc>
                <w:tcPr>
                  <w:tcW w:w="567"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污染物种类</w:t>
                  </w:r>
                </w:p>
              </w:tc>
              <w:tc>
                <w:tcPr>
                  <w:tcW w:w="354"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排水去向</w:t>
                  </w:r>
                </w:p>
              </w:tc>
              <w:tc>
                <w:tcPr>
                  <w:tcW w:w="535"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排放规律</w:t>
                  </w:r>
                </w:p>
              </w:tc>
              <w:tc>
                <w:tcPr>
                  <w:tcW w:w="1654" w:type="pct"/>
                  <w:gridSpan w:val="3"/>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污染物防治措施</w:t>
                  </w:r>
                </w:p>
              </w:tc>
              <w:tc>
                <w:tcPr>
                  <w:tcW w:w="490"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排放口编号</w:t>
                  </w:r>
                </w:p>
              </w:tc>
              <w:tc>
                <w:tcPr>
                  <w:tcW w:w="464"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排放口设置是否符合要求</w:t>
                  </w:r>
                </w:p>
              </w:tc>
              <w:tc>
                <w:tcPr>
                  <w:tcW w:w="282" w:type="pct"/>
                  <w:vMerge w:val="restart"/>
                  <w:vAlign w:val="center"/>
                </w:tcPr>
                <w:p>
                  <w:pPr>
                    <w:pStyle w:val="6"/>
                    <w:spacing w:line="240" w:lineRule="auto"/>
                    <w:jc w:val="both"/>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排放口类型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36" w:type="pct"/>
                  <w:vMerge w:val="continue"/>
                  <w:vAlign w:val="center"/>
                </w:tcPr>
                <w:p>
                  <w:pPr>
                    <w:pStyle w:val="6"/>
                    <w:spacing w:line="240" w:lineRule="auto"/>
                    <w:rPr>
                      <w:rFonts w:ascii="Times New Roman" w:hAnsi="Times New Roman" w:eastAsia="宋体" w:cs="Times New Roman"/>
                      <w:color w:val="000000"/>
                      <w:sz w:val="21"/>
                      <w:szCs w:val="21"/>
                    </w:rPr>
                  </w:pPr>
                </w:p>
              </w:tc>
              <w:tc>
                <w:tcPr>
                  <w:tcW w:w="415" w:type="pct"/>
                  <w:vMerge w:val="continue"/>
                  <w:vAlign w:val="center"/>
                </w:tcPr>
                <w:p>
                  <w:pPr>
                    <w:pStyle w:val="6"/>
                    <w:spacing w:line="240" w:lineRule="auto"/>
                    <w:rPr>
                      <w:rFonts w:ascii="Times New Roman" w:hAnsi="Times New Roman" w:eastAsia="宋体" w:cs="Times New Roman"/>
                      <w:color w:val="000000"/>
                      <w:sz w:val="21"/>
                      <w:szCs w:val="21"/>
                    </w:rPr>
                  </w:pPr>
                </w:p>
              </w:tc>
              <w:tc>
                <w:tcPr>
                  <w:tcW w:w="567" w:type="pct"/>
                  <w:vMerge w:val="continue"/>
                  <w:vAlign w:val="center"/>
                </w:tcPr>
                <w:p>
                  <w:pPr>
                    <w:pStyle w:val="6"/>
                    <w:spacing w:line="240" w:lineRule="auto"/>
                    <w:rPr>
                      <w:rFonts w:ascii="Times New Roman" w:hAnsi="Times New Roman" w:eastAsia="宋体" w:cs="Times New Roman"/>
                      <w:color w:val="000000"/>
                      <w:sz w:val="21"/>
                      <w:szCs w:val="21"/>
                    </w:rPr>
                  </w:pPr>
                </w:p>
              </w:tc>
              <w:tc>
                <w:tcPr>
                  <w:tcW w:w="354" w:type="pct"/>
                  <w:vMerge w:val="continue"/>
                  <w:vAlign w:val="center"/>
                </w:tcPr>
                <w:p>
                  <w:pPr>
                    <w:pStyle w:val="6"/>
                    <w:spacing w:line="240" w:lineRule="auto"/>
                    <w:rPr>
                      <w:rFonts w:ascii="Times New Roman" w:hAnsi="Times New Roman" w:eastAsia="宋体" w:cs="Times New Roman"/>
                      <w:color w:val="000000"/>
                      <w:sz w:val="21"/>
                      <w:szCs w:val="21"/>
                    </w:rPr>
                  </w:pPr>
                </w:p>
              </w:tc>
              <w:tc>
                <w:tcPr>
                  <w:tcW w:w="535" w:type="pct"/>
                  <w:vMerge w:val="continue"/>
                  <w:vAlign w:val="center"/>
                </w:tcPr>
                <w:p>
                  <w:pPr>
                    <w:pStyle w:val="6"/>
                    <w:spacing w:line="240" w:lineRule="auto"/>
                    <w:rPr>
                      <w:rFonts w:ascii="Times New Roman" w:hAnsi="Times New Roman" w:eastAsia="宋体" w:cs="Times New Roman"/>
                      <w:color w:val="000000"/>
                      <w:sz w:val="21"/>
                      <w:szCs w:val="21"/>
                    </w:rPr>
                  </w:pPr>
                </w:p>
              </w:tc>
              <w:tc>
                <w:tcPr>
                  <w:tcW w:w="494"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污染治理设施编号</w:t>
                  </w:r>
                </w:p>
              </w:tc>
              <w:tc>
                <w:tcPr>
                  <w:tcW w:w="410"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污染治理设施名称</w:t>
                  </w:r>
                </w:p>
              </w:tc>
              <w:tc>
                <w:tcPr>
                  <w:tcW w:w="749"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污染治理设施工艺</w:t>
                  </w:r>
                </w:p>
              </w:tc>
              <w:tc>
                <w:tcPr>
                  <w:tcW w:w="490" w:type="pct"/>
                  <w:vMerge w:val="continue"/>
                  <w:vAlign w:val="center"/>
                </w:tcPr>
                <w:p>
                  <w:pPr>
                    <w:pStyle w:val="6"/>
                    <w:spacing w:line="240" w:lineRule="auto"/>
                    <w:rPr>
                      <w:rFonts w:ascii="Times New Roman" w:hAnsi="Times New Roman" w:eastAsia="宋体" w:cs="Times New Roman"/>
                      <w:color w:val="000000"/>
                      <w:sz w:val="21"/>
                      <w:szCs w:val="21"/>
                    </w:rPr>
                  </w:pPr>
                </w:p>
              </w:tc>
              <w:tc>
                <w:tcPr>
                  <w:tcW w:w="464" w:type="pct"/>
                  <w:vMerge w:val="continue"/>
                  <w:vAlign w:val="center"/>
                </w:tcPr>
                <w:p>
                  <w:pPr>
                    <w:pStyle w:val="6"/>
                    <w:spacing w:line="240" w:lineRule="auto"/>
                    <w:rPr>
                      <w:rFonts w:ascii="Times New Roman" w:hAnsi="Times New Roman" w:eastAsia="宋体" w:cs="Times New Roman"/>
                      <w:color w:val="000000"/>
                      <w:sz w:val="21"/>
                      <w:szCs w:val="21"/>
                    </w:rPr>
                  </w:pPr>
                </w:p>
              </w:tc>
              <w:tc>
                <w:tcPr>
                  <w:tcW w:w="282" w:type="pct"/>
                  <w:vMerge w:val="continue"/>
                  <w:vAlign w:val="center"/>
                </w:tcPr>
                <w:p>
                  <w:pPr>
                    <w:pStyle w:val="6"/>
                    <w:spacing w:line="240" w:lineRule="auto"/>
                    <w:rPr>
                      <w:rFonts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4" w:hRule="atLeast"/>
              </w:trPr>
              <w:tc>
                <w:tcPr>
                  <w:tcW w:w="236"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1</w:t>
                  </w:r>
                </w:p>
              </w:tc>
              <w:tc>
                <w:tcPr>
                  <w:tcW w:w="415"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医疗废水、生活污水</w:t>
                  </w:r>
                </w:p>
              </w:tc>
              <w:tc>
                <w:tcPr>
                  <w:tcW w:w="567" w:type="pct"/>
                  <w:vAlign w:val="center"/>
                </w:tcPr>
                <w:p>
                  <w:pPr>
                    <w:widowControl/>
                    <w:jc w:val="left"/>
                    <w:rPr>
                      <w:rFonts w:ascii="Times New Roman" w:hAnsi="Times New Roman" w:eastAsia="宋体" w:cs="Times New Roman"/>
                      <w:color w:val="000000"/>
                      <w:szCs w:val="21"/>
                    </w:rPr>
                  </w:pPr>
                  <w:r>
                    <w:rPr>
                      <w:rFonts w:ascii="Times New Roman" w:hAnsi="Times New Roman" w:eastAsia="宋体" w:cs="Times New Roman"/>
                      <w:color w:val="000000"/>
                      <w:szCs w:val="21"/>
                    </w:rPr>
                    <w:t>pH、COD</w:t>
                  </w:r>
                  <w:r>
                    <w:rPr>
                      <w:rFonts w:ascii="Times New Roman" w:hAnsi="Times New Roman" w:eastAsia="宋体" w:cs="Times New Roman"/>
                      <w:color w:val="000000"/>
                      <w:szCs w:val="21"/>
                      <w:vertAlign w:val="subscript"/>
                    </w:rPr>
                    <w:t>cr</w:t>
                  </w:r>
                  <w:r>
                    <w:rPr>
                      <w:rFonts w:ascii="Times New Roman" w:hAnsi="Times New Roman" w:eastAsia="宋体" w:cs="Times New Roman"/>
                      <w:color w:val="000000"/>
                      <w:szCs w:val="21"/>
                    </w:rPr>
                    <w:t>、BOD</w:t>
                  </w:r>
                  <w:r>
                    <w:rPr>
                      <w:rFonts w:ascii="Times New Roman" w:hAnsi="Times New Roman" w:eastAsia="宋体" w:cs="Times New Roman"/>
                      <w:color w:val="000000"/>
                      <w:szCs w:val="21"/>
                      <w:vertAlign w:val="subscript"/>
                    </w:rPr>
                    <w:t>5</w:t>
                  </w:r>
                  <w:r>
                    <w:rPr>
                      <w:rFonts w:ascii="Times New Roman" w:hAnsi="Times New Roman" w:eastAsia="宋体" w:cs="Times New Roman"/>
                      <w:color w:val="000000"/>
                      <w:szCs w:val="21"/>
                    </w:rPr>
                    <w:t>、NH</w:t>
                  </w:r>
                  <w:r>
                    <w:rPr>
                      <w:rFonts w:ascii="Times New Roman" w:hAnsi="Times New Roman" w:eastAsia="宋体" w:cs="Times New Roman"/>
                      <w:color w:val="000000"/>
                      <w:szCs w:val="21"/>
                      <w:vertAlign w:val="subscript"/>
                    </w:rPr>
                    <w:t>3</w:t>
                  </w:r>
                  <w:r>
                    <w:rPr>
                      <w:rFonts w:ascii="Times New Roman" w:hAnsi="Times New Roman" w:eastAsia="宋体" w:cs="Times New Roman"/>
                      <w:color w:val="000000"/>
                      <w:szCs w:val="21"/>
                    </w:rPr>
                    <w:t>-N、SS、</w:t>
                  </w:r>
                  <w:r>
                    <w:rPr>
                      <w:rFonts w:ascii="Times New Roman" w:hAnsi="Times New Roman" w:eastAsia="宋体" w:cs="Times New Roman"/>
                      <w:color w:val="000000"/>
                      <w:kern w:val="0"/>
                      <w:szCs w:val="21"/>
                      <w:lang w:bidi="ar"/>
                    </w:rPr>
                    <w:t>动植物油</w:t>
                  </w:r>
                  <w:r>
                    <w:rPr>
                      <w:rFonts w:ascii="Times New Roman" w:hAnsi="Times New Roman" w:eastAsia="宋体" w:cs="Times New Roman"/>
                      <w:color w:val="000000"/>
                      <w:szCs w:val="21"/>
                    </w:rPr>
                    <w:t>、</w:t>
                  </w:r>
                  <w:r>
                    <w:rPr>
                      <w:rFonts w:ascii="Times New Roman" w:hAnsi="Times New Roman" w:eastAsia="宋体" w:cs="Times New Roman"/>
                      <w:color w:val="000000"/>
                      <w:kern w:val="0"/>
                      <w:szCs w:val="21"/>
                      <w:lang w:bidi="ar"/>
                    </w:rPr>
                    <w:t>粪大肠菌群</w:t>
                  </w:r>
                </w:p>
              </w:tc>
              <w:tc>
                <w:tcPr>
                  <w:tcW w:w="354"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进入湛江市赤坎水质净化厂</w:t>
                  </w:r>
                </w:p>
              </w:tc>
              <w:tc>
                <w:tcPr>
                  <w:tcW w:w="535" w:type="pct"/>
                  <w:vAlign w:val="center"/>
                </w:tcPr>
                <w:p>
                  <w:pPr>
                    <w:pStyle w:val="6"/>
                    <w:widowControl/>
                    <w:adjustRightInd w:val="0"/>
                    <w:snapToGrid w:val="0"/>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间断排放、排放期间流量不稳定且无视规律，但不属于冲击型排放</w:t>
                  </w:r>
                </w:p>
              </w:tc>
              <w:tc>
                <w:tcPr>
                  <w:tcW w:w="494"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TW001</w:t>
                  </w:r>
                </w:p>
              </w:tc>
              <w:tc>
                <w:tcPr>
                  <w:tcW w:w="410"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医疗废水处理系统</w:t>
                  </w:r>
                </w:p>
              </w:tc>
              <w:tc>
                <w:tcPr>
                  <w:tcW w:w="749"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化粪池+</w:t>
                  </w:r>
                  <w:r>
                    <w:rPr>
                      <w:rFonts w:hint="eastAsia" w:ascii="Times New Roman" w:hAnsi="Times New Roman" w:eastAsia="宋体" w:cs="Times New Roman"/>
                      <w:color w:val="000000"/>
                      <w:sz w:val="21"/>
                      <w:szCs w:val="21"/>
                    </w:rPr>
                    <w:t>调节池+水解酸化池+接触氧化池+沉淀池+清水消毒池+污泥池</w:t>
                  </w:r>
                </w:p>
              </w:tc>
              <w:tc>
                <w:tcPr>
                  <w:tcW w:w="490"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DW001</w:t>
                  </w:r>
                </w:p>
              </w:tc>
              <w:tc>
                <w:tcPr>
                  <w:tcW w:w="464" w:type="pct"/>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是</w:t>
                  </w:r>
                </w:p>
              </w:tc>
              <w:tc>
                <w:tcPr>
                  <w:tcW w:w="282" w:type="pct"/>
                  <w:vAlign w:val="center"/>
                </w:tcPr>
                <w:p>
                  <w:pPr>
                    <w:pStyle w:val="39"/>
                    <w:rPr>
                      <w:rFonts w:ascii="Times New Roman" w:hAnsi="Times New Roman" w:eastAsia="宋体" w:cs="Times New Roman"/>
                      <w:color w:val="000000"/>
                      <w:szCs w:val="21"/>
                    </w:rPr>
                  </w:pPr>
                  <w:r>
                    <w:rPr>
                      <w:rFonts w:ascii="Times New Roman" w:hAnsi="Times New Roman" w:eastAsia="宋体" w:cs="Times New Roman"/>
                      <w:color w:val="000000"/>
                      <w:szCs w:val="21"/>
                    </w:rPr>
                    <w:t>一般排放口</w:t>
                  </w:r>
                </w:p>
              </w:tc>
            </w:tr>
          </w:tbl>
          <w:p>
            <w:pPr>
              <w:pStyle w:val="2"/>
              <w:snapToGrid w:val="0"/>
              <w:spacing w:line="360" w:lineRule="auto"/>
              <w:jc w:val="center"/>
              <w:rPr>
                <w:rFonts w:ascii="Times New Roman" w:eastAsia="宋体" w:cs="Times New Roman"/>
                <w:b/>
                <w:bCs/>
                <w:kern w:val="2"/>
              </w:rPr>
            </w:pPr>
            <w:r>
              <w:rPr>
                <w:rFonts w:ascii="Times New Roman" w:eastAsia="宋体" w:cs="Times New Roman"/>
                <w:b/>
                <w:bCs/>
                <w:kern w:val="2"/>
              </w:rPr>
              <w:t>表4-1</w:t>
            </w:r>
            <w:r>
              <w:rPr>
                <w:rFonts w:hint="eastAsia" w:ascii="Times New Roman" w:eastAsia="宋体" w:cs="Times New Roman"/>
                <w:b/>
                <w:bCs/>
                <w:kern w:val="2"/>
                <w:lang w:val="en-US" w:eastAsia="zh-CN"/>
              </w:rPr>
              <w:t>5</w:t>
            </w:r>
            <w:r>
              <w:rPr>
                <w:rFonts w:ascii="Times New Roman" w:eastAsia="宋体" w:cs="Times New Roman"/>
                <w:b/>
                <w:bCs/>
                <w:kern w:val="2"/>
              </w:rPr>
              <w:t>项目废水间接排放口基本信息表</w:t>
            </w:r>
          </w:p>
          <w:tbl>
            <w:tblPr>
              <w:tblStyle w:val="29"/>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324"/>
              <w:gridCol w:w="779"/>
              <w:gridCol w:w="624"/>
              <w:gridCol w:w="547"/>
              <w:gridCol w:w="744"/>
              <w:gridCol w:w="619"/>
              <w:gridCol w:w="674"/>
              <w:gridCol w:w="712"/>
              <w:gridCol w:w="622"/>
              <w:gridCol w:w="1135"/>
              <w:gridCol w:w="191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trPr>
              <w:tc>
                <w:tcPr>
                  <w:tcW w:w="181"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序号</w:t>
                  </w:r>
                </w:p>
              </w:tc>
              <w:tc>
                <w:tcPr>
                  <w:tcW w:w="436"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排放口编号</w:t>
                  </w:r>
                </w:p>
              </w:tc>
              <w:tc>
                <w:tcPr>
                  <w:tcW w:w="680" w:type="pct"/>
                  <w:gridSpan w:val="2"/>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排放口地理坐标</w:t>
                  </w:r>
                </w:p>
              </w:tc>
              <w:tc>
                <w:tcPr>
                  <w:tcW w:w="417"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废水排放量（t/a）</w:t>
                  </w:r>
                </w:p>
              </w:tc>
              <w:tc>
                <w:tcPr>
                  <w:tcW w:w="359"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排放去向</w:t>
                  </w:r>
                </w:p>
              </w:tc>
              <w:tc>
                <w:tcPr>
                  <w:tcW w:w="391"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排放规律</w:t>
                  </w:r>
                </w:p>
              </w:tc>
              <w:tc>
                <w:tcPr>
                  <w:tcW w:w="413"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间歇排放时段</w:t>
                  </w:r>
                </w:p>
              </w:tc>
              <w:tc>
                <w:tcPr>
                  <w:tcW w:w="2120" w:type="pct"/>
                  <w:gridSpan w:val="3"/>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受纳污水处理厂信息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trPr>
              <w:tc>
                <w:tcPr>
                  <w:tcW w:w="181" w:type="pct"/>
                  <w:vMerge w:val="continue"/>
                  <w:vAlign w:val="center"/>
                </w:tcPr>
                <w:p>
                  <w:pPr>
                    <w:pStyle w:val="6"/>
                    <w:spacing w:line="240" w:lineRule="auto"/>
                    <w:rPr>
                      <w:rFonts w:ascii="Times New Roman" w:hAnsi="Times New Roman" w:eastAsia="宋体" w:cs="Times New Roman"/>
                      <w:color w:val="000000"/>
                      <w:sz w:val="21"/>
                      <w:szCs w:val="21"/>
                    </w:rPr>
                  </w:pPr>
                </w:p>
              </w:tc>
              <w:tc>
                <w:tcPr>
                  <w:tcW w:w="436" w:type="pct"/>
                  <w:vMerge w:val="continue"/>
                  <w:vAlign w:val="center"/>
                </w:tcPr>
                <w:p>
                  <w:pPr>
                    <w:pStyle w:val="6"/>
                    <w:spacing w:line="240" w:lineRule="auto"/>
                    <w:rPr>
                      <w:rFonts w:ascii="Times New Roman" w:hAnsi="Times New Roman" w:eastAsia="宋体" w:cs="Times New Roman"/>
                      <w:color w:val="000000"/>
                      <w:sz w:val="21"/>
                      <w:szCs w:val="21"/>
                    </w:rPr>
                  </w:pPr>
                </w:p>
              </w:tc>
              <w:tc>
                <w:tcPr>
                  <w:tcW w:w="362"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经度</w:t>
                  </w:r>
                </w:p>
              </w:tc>
              <w:tc>
                <w:tcPr>
                  <w:tcW w:w="317"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纬度</w:t>
                  </w:r>
                </w:p>
              </w:tc>
              <w:tc>
                <w:tcPr>
                  <w:tcW w:w="417" w:type="pct"/>
                  <w:vMerge w:val="continue"/>
                  <w:vAlign w:val="center"/>
                </w:tcPr>
                <w:p>
                  <w:pPr>
                    <w:pStyle w:val="6"/>
                    <w:spacing w:line="240" w:lineRule="auto"/>
                    <w:rPr>
                      <w:rFonts w:ascii="Times New Roman" w:hAnsi="Times New Roman" w:eastAsia="宋体" w:cs="Times New Roman"/>
                      <w:color w:val="000000"/>
                      <w:sz w:val="21"/>
                      <w:szCs w:val="21"/>
                    </w:rPr>
                  </w:pPr>
                </w:p>
              </w:tc>
              <w:tc>
                <w:tcPr>
                  <w:tcW w:w="359" w:type="pct"/>
                  <w:vMerge w:val="continue"/>
                  <w:vAlign w:val="center"/>
                </w:tcPr>
                <w:p>
                  <w:pPr>
                    <w:pStyle w:val="6"/>
                    <w:spacing w:line="240" w:lineRule="auto"/>
                    <w:rPr>
                      <w:rFonts w:ascii="Times New Roman" w:hAnsi="Times New Roman" w:eastAsia="宋体" w:cs="Times New Roman"/>
                      <w:color w:val="000000"/>
                      <w:sz w:val="21"/>
                      <w:szCs w:val="21"/>
                    </w:rPr>
                  </w:pPr>
                </w:p>
              </w:tc>
              <w:tc>
                <w:tcPr>
                  <w:tcW w:w="391" w:type="pct"/>
                  <w:vMerge w:val="continue"/>
                  <w:vAlign w:val="center"/>
                </w:tcPr>
                <w:p>
                  <w:pPr>
                    <w:pStyle w:val="6"/>
                    <w:spacing w:line="240" w:lineRule="auto"/>
                    <w:rPr>
                      <w:rFonts w:ascii="Times New Roman" w:hAnsi="Times New Roman" w:eastAsia="宋体" w:cs="Times New Roman"/>
                      <w:color w:val="000000"/>
                      <w:sz w:val="21"/>
                      <w:szCs w:val="21"/>
                    </w:rPr>
                  </w:pPr>
                </w:p>
              </w:tc>
              <w:tc>
                <w:tcPr>
                  <w:tcW w:w="413" w:type="pct"/>
                  <w:vMerge w:val="continue"/>
                  <w:vAlign w:val="center"/>
                </w:tcPr>
                <w:p>
                  <w:pPr>
                    <w:pStyle w:val="6"/>
                    <w:spacing w:line="240" w:lineRule="auto"/>
                    <w:rPr>
                      <w:rFonts w:ascii="Times New Roman" w:hAnsi="Times New Roman" w:eastAsia="宋体" w:cs="Times New Roman"/>
                      <w:color w:val="000000"/>
                      <w:sz w:val="21"/>
                      <w:szCs w:val="21"/>
                    </w:rPr>
                  </w:pPr>
                </w:p>
              </w:tc>
              <w:tc>
                <w:tcPr>
                  <w:tcW w:w="361"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名称</w:t>
                  </w:r>
                </w:p>
              </w:tc>
              <w:tc>
                <w:tcPr>
                  <w:tcW w:w="656"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污染物种类</w:t>
                  </w:r>
                </w:p>
              </w:tc>
              <w:tc>
                <w:tcPr>
                  <w:tcW w:w="1102" w:type="pc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国家或地方污染物排放标准浓度限值/(mg/L)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trPr>
              <w:tc>
                <w:tcPr>
                  <w:tcW w:w="181"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1</w:t>
                  </w:r>
                </w:p>
              </w:tc>
              <w:tc>
                <w:tcPr>
                  <w:tcW w:w="436"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DW001</w:t>
                  </w:r>
                </w:p>
              </w:tc>
              <w:tc>
                <w:tcPr>
                  <w:tcW w:w="362" w:type="pct"/>
                  <w:vMerge w:val="restart"/>
                  <w:vAlign w:val="center"/>
                </w:tcPr>
                <w:p>
                  <w:pPr>
                    <w:pStyle w:val="38"/>
                    <w:spacing w:after="0" w:line="240" w:lineRule="auto"/>
                    <w:jc w:val="center"/>
                    <w:rPr>
                      <w:rFonts w:ascii="Times New Roman" w:hAnsi="Times New Roman" w:cs="Times New Roman"/>
                      <w:color w:val="000000"/>
                      <w:sz w:val="21"/>
                      <w:szCs w:val="21"/>
                      <w:lang w:val="en-US" w:eastAsia="zh-CN"/>
                    </w:rPr>
                  </w:pPr>
                  <w:r>
                    <w:rPr>
                      <w:rFonts w:ascii="Times New Roman" w:hAnsi="Times New Roman" w:cs="Times New Roman"/>
                      <w:color w:val="000000"/>
                      <w:sz w:val="21"/>
                      <w:szCs w:val="21"/>
                      <w:lang w:val="en-US" w:eastAsia="zh-CN" w:bidi="en-US"/>
                    </w:rPr>
                    <w:t>/</w:t>
                  </w:r>
                </w:p>
              </w:tc>
              <w:tc>
                <w:tcPr>
                  <w:tcW w:w="317" w:type="pct"/>
                  <w:vMerge w:val="restart"/>
                  <w:vAlign w:val="center"/>
                </w:tcPr>
                <w:p>
                  <w:pPr>
                    <w:pStyle w:val="38"/>
                    <w:spacing w:after="0" w:line="240" w:lineRule="auto"/>
                    <w:jc w:val="center"/>
                    <w:rPr>
                      <w:rFonts w:ascii="Times New Roman" w:hAnsi="Times New Roman" w:cs="Times New Roman"/>
                      <w:color w:val="000000"/>
                      <w:sz w:val="21"/>
                      <w:szCs w:val="21"/>
                      <w:lang w:eastAsia="zh-CN"/>
                    </w:rPr>
                  </w:pPr>
                  <w:r>
                    <w:rPr>
                      <w:rFonts w:ascii="Times New Roman" w:hAnsi="Times New Roman" w:cs="Times New Roman"/>
                      <w:color w:val="000000"/>
                      <w:sz w:val="21"/>
                      <w:szCs w:val="21"/>
                      <w:lang w:val="en-US" w:eastAsia="zh-CN" w:bidi="en-US"/>
                    </w:rPr>
                    <w:t>/</w:t>
                  </w:r>
                </w:p>
              </w:tc>
              <w:tc>
                <w:tcPr>
                  <w:tcW w:w="417"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lang w:bidi="en-US"/>
                    </w:rPr>
                    <w:t>6608.6</w:t>
                  </w:r>
                </w:p>
              </w:tc>
              <w:tc>
                <w:tcPr>
                  <w:tcW w:w="359" w:type="pct"/>
                  <w:vMerge w:val="restart"/>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湛江市赤坎水质净化厂</w:t>
                  </w:r>
                </w:p>
              </w:tc>
              <w:tc>
                <w:tcPr>
                  <w:tcW w:w="391" w:type="pct"/>
                  <w:vMerge w:val="restart"/>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间断排放，流量稳定</w:t>
                  </w:r>
                </w:p>
              </w:tc>
              <w:tc>
                <w:tcPr>
                  <w:tcW w:w="413" w:type="pct"/>
                  <w:vMerge w:val="restar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361" w:type="pct"/>
                  <w:vMerge w:val="restart"/>
                  <w:vAlign w:val="center"/>
                </w:tcPr>
                <w:p>
                  <w:pPr>
                    <w:pStyle w:val="39"/>
                    <w:spacing w:before="20"/>
                    <w:rPr>
                      <w:rFonts w:ascii="Times New Roman" w:hAnsi="Times New Roman" w:eastAsia="宋体" w:cs="Times New Roman"/>
                      <w:color w:val="000000"/>
                      <w:szCs w:val="21"/>
                    </w:rPr>
                  </w:pPr>
                  <w:r>
                    <w:rPr>
                      <w:rFonts w:ascii="Times New Roman" w:hAnsi="Times New Roman" w:eastAsia="宋体" w:cs="Times New Roman"/>
                      <w:color w:val="000000"/>
                      <w:szCs w:val="21"/>
                    </w:rPr>
                    <w:t>湛江市赤坎水质净化厂</w:t>
                  </w:r>
                </w:p>
              </w:tc>
              <w:tc>
                <w:tcPr>
                  <w:tcW w:w="656"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pH</w:t>
                  </w:r>
                </w:p>
              </w:tc>
              <w:tc>
                <w:tcPr>
                  <w:tcW w:w="1102" w:type="pct"/>
                  <w:vAlign w:val="center"/>
                </w:tcPr>
                <w:p>
                  <w:pPr>
                    <w:widowControl/>
                    <w:jc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szCs w:val="21"/>
                    </w:rPr>
                    <w:t>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90" w:hRule="atLeast"/>
              </w:trPr>
              <w:tc>
                <w:tcPr>
                  <w:tcW w:w="181" w:type="pct"/>
                  <w:vMerge w:val="continue"/>
                  <w:vAlign w:val="center"/>
                </w:tcPr>
                <w:p>
                  <w:pPr>
                    <w:pStyle w:val="6"/>
                    <w:spacing w:line="240" w:lineRule="auto"/>
                    <w:rPr>
                      <w:rFonts w:ascii="Times New Roman" w:hAnsi="Times New Roman" w:eastAsia="宋体" w:cs="Times New Roman"/>
                      <w:color w:val="000000"/>
                      <w:sz w:val="21"/>
                      <w:szCs w:val="21"/>
                    </w:rPr>
                  </w:pPr>
                </w:p>
              </w:tc>
              <w:tc>
                <w:tcPr>
                  <w:tcW w:w="436" w:type="pct"/>
                  <w:vMerge w:val="continue"/>
                  <w:vAlign w:val="center"/>
                </w:tcPr>
                <w:p>
                  <w:pPr>
                    <w:pStyle w:val="6"/>
                    <w:spacing w:line="240" w:lineRule="auto"/>
                    <w:rPr>
                      <w:rFonts w:ascii="Times New Roman" w:hAnsi="Times New Roman" w:eastAsia="宋体" w:cs="Times New Roman"/>
                      <w:color w:val="000000"/>
                      <w:sz w:val="21"/>
                      <w:szCs w:val="21"/>
                    </w:rPr>
                  </w:pPr>
                </w:p>
              </w:tc>
              <w:tc>
                <w:tcPr>
                  <w:tcW w:w="362" w:type="pct"/>
                  <w:vMerge w:val="continue"/>
                  <w:vAlign w:val="center"/>
                </w:tcPr>
                <w:p>
                  <w:pPr>
                    <w:pStyle w:val="6"/>
                    <w:spacing w:line="240" w:lineRule="auto"/>
                    <w:rPr>
                      <w:rFonts w:ascii="Times New Roman" w:hAnsi="Times New Roman" w:eastAsia="宋体" w:cs="Times New Roman"/>
                      <w:color w:val="000000"/>
                      <w:sz w:val="21"/>
                      <w:szCs w:val="21"/>
                    </w:rPr>
                  </w:pPr>
                </w:p>
              </w:tc>
              <w:tc>
                <w:tcPr>
                  <w:tcW w:w="317" w:type="pct"/>
                  <w:vMerge w:val="continue"/>
                  <w:vAlign w:val="center"/>
                </w:tcPr>
                <w:p>
                  <w:pPr>
                    <w:pStyle w:val="6"/>
                    <w:spacing w:line="240" w:lineRule="auto"/>
                    <w:rPr>
                      <w:rFonts w:ascii="Times New Roman" w:hAnsi="Times New Roman" w:eastAsia="宋体" w:cs="Times New Roman"/>
                      <w:color w:val="000000"/>
                      <w:sz w:val="21"/>
                      <w:szCs w:val="21"/>
                    </w:rPr>
                  </w:pPr>
                </w:p>
              </w:tc>
              <w:tc>
                <w:tcPr>
                  <w:tcW w:w="417" w:type="pct"/>
                  <w:vMerge w:val="continue"/>
                  <w:vAlign w:val="center"/>
                </w:tcPr>
                <w:p>
                  <w:pPr>
                    <w:pStyle w:val="6"/>
                    <w:spacing w:line="240" w:lineRule="auto"/>
                    <w:rPr>
                      <w:rFonts w:ascii="Times New Roman" w:hAnsi="Times New Roman" w:eastAsia="宋体" w:cs="Times New Roman"/>
                      <w:color w:val="000000"/>
                      <w:sz w:val="21"/>
                      <w:szCs w:val="21"/>
                    </w:rPr>
                  </w:pPr>
                </w:p>
              </w:tc>
              <w:tc>
                <w:tcPr>
                  <w:tcW w:w="359" w:type="pct"/>
                  <w:vMerge w:val="continue"/>
                  <w:vAlign w:val="center"/>
                </w:tcPr>
                <w:p>
                  <w:pPr>
                    <w:pStyle w:val="6"/>
                    <w:spacing w:line="240" w:lineRule="auto"/>
                    <w:rPr>
                      <w:rFonts w:ascii="Times New Roman" w:hAnsi="Times New Roman" w:eastAsia="宋体" w:cs="Times New Roman"/>
                      <w:color w:val="000000"/>
                      <w:sz w:val="21"/>
                      <w:szCs w:val="21"/>
                    </w:rPr>
                  </w:pPr>
                </w:p>
              </w:tc>
              <w:tc>
                <w:tcPr>
                  <w:tcW w:w="391" w:type="pct"/>
                  <w:vMerge w:val="continue"/>
                  <w:vAlign w:val="center"/>
                </w:tcPr>
                <w:p>
                  <w:pPr>
                    <w:pStyle w:val="39"/>
                    <w:jc w:val="center"/>
                    <w:rPr>
                      <w:rFonts w:ascii="Times New Roman" w:hAnsi="Times New Roman" w:eastAsia="宋体" w:cs="Times New Roman"/>
                      <w:color w:val="000000"/>
                      <w:szCs w:val="21"/>
                    </w:rPr>
                  </w:pPr>
                </w:p>
              </w:tc>
              <w:tc>
                <w:tcPr>
                  <w:tcW w:w="413" w:type="pct"/>
                  <w:vMerge w:val="continue"/>
                  <w:vAlign w:val="center"/>
                </w:tcPr>
                <w:p>
                  <w:pPr>
                    <w:pStyle w:val="39"/>
                    <w:spacing w:before="20"/>
                    <w:rPr>
                      <w:rFonts w:ascii="Times New Roman" w:hAnsi="Times New Roman" w:eastAsia="宋体" w:cs="Times New Roman"/>
                      <w:color w:val="000000"/>
                      <w:szCs w:val="21"/>
                    </w:rPr>
                  </w:pPr>
                </w:p>
              </w:tc>
              <w:tc>
                <w:tcPr>
                  <w:tcW w:w="361" w:type="pct"/>
                  <w:vMerge w:val="continue"/>
                  <w:vAlign w:val="center"/>
                </w:tcPr>
                <w:p>
                  <w:pPr>
                    <w:pStyle w:val="39"/>
                    <w:spacing w:before="20"/>
                    <w:rPr>
                      <w:rFonts w:ascii="Times New Roman" w:hAnsi="Times New Roman" w:eastAsia="宋体" w:cs="Times New Roman"/>
                      <w:color w:val="000000"/>
                      <w:szCs w:val="21"/>
                    </w:rPr>
                  </w:pPr>
                </w:p>
              </w:tc>
              <w:tc>
                <w:tcPr>
                  <w:tcW w:w="656"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COD</w:t>
                  </w:r>
                  <w:r>
                    <w:rPr>
                      <w:rFonts w:ascii="Times New Roman" w:hAnsi="Times New Roman" w:eastAsia="宋体" w:cs="Times New Roman"/>
                      <w:color w:val="000000"/>
                      <w:szCs w:val="21"/>
                      <w:vertAlign w:val="subscript"/>
                    </w:rPr>
                    <w:t>cr</w:t>
                  </w:r>
                </w:p>
              </w:tc>
              <w:tc>
                <w:tcPr>
                  <w:tcW w:w="1102" w:type="pc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trPr>
              <w:tc>
                <w:tcPr>
                  <w:tcW w:w="181" w:type="pct"/>
                  <w:vMerge w:val="continue"/>
                  <w:vAlign w:val="center"/>
                </w:tcPr>
                <w:p>
                  <w:pPr>
                    <w:pStyle w:val="39"/>
                    <w:spacing w:before="20"/>
                    <w:jc w:val="center"/>
                    <w:rPr>
                      <w:rFonts w:ascii="Times New Roman" w:hAnsi="Times New Roman" w:eastAsia="宋体" w:cs="Times New Roman"/>
                      <w:color w:val="000000"/>
                    </w:rPr>
                  </w:pPr>
                </w:p>
              </w:tc>
              <w:tc>
                <w:tcPr>
                  <w:tcW w:w="436" w:type="pct"/>
                  <w:vMerge w:val="continue"/>
                  <w:vAlign w:val="center"/>
                </w:tcPr>
                <w:p>
                  <w:pPr>
                    <w:pStyle w:val="39"/>
                    <w:spacing w:before="20"/>
                    <w:jc w:val="center"/>
                    <w:rPr>
                      <w:rFonts w:ascii="Times New Roman" w:hAnsi="Times New Roman" w:eastAsia="宋体" w:cs="Times New Roman"/>
                      <w:color w:val="000000"/>
                    </w:rPr>
                  </w:pPr>
                </w:p>
              </w:tc>
              <w:tc>
                <w:tcPr>
                  <w:tcW w:w="362" w:type="pct"/>
                  <w:vMerge w:val="continue"/>
                  <w:vAlign w:val="center"/>
                </w:tcPr>
                <w:p>
                  <w:pPr>
                    <w:pStyle w:val="39"/>
                    <w:spacing w:before="20"/>
                    <w:jc w:val="center"/>
                    <w:rPr>
                      <w:rFonts w:ascii="Times New Roman" w:hAnsi="Times New Roman" w:eastAsia="宋体" w:cs="Times New Roman"/>
                      <w:color w:val="000000"/>
                    </w:rPr>
                  </w:pPr>
                </w:p>
              </w:tc>
              <w:tc>
                <w:tcPr>
                  <w:tcW w:w="317" w:type="pct"/>
                  <w:vMerge w:val="continue"/>
                  <w:vAlign w:val="center"/>
                </w:tcPr>
                <w:p>
                  <w:pPr>
                    <w:pStyle w:val="39"/>
                    <w:spacing w:before="20"/>
                    <w:jc w:val="center"/>
                    <w:rPr>
                      <w:rFonts w:ascii="Times New Roman" w:hAnsi="Times New Roman" w:eastAsia="宋体" w:cs="Times New Roman"/>
                      <w:color w:val="000000"/>
                    </w:rPr>
                  </w:pPr>
                </w:p>
              </w:tc>
              <w:tc>
                <w:tcPr>
                  <w:tcW w:w="417" w:type="pct"/>
                  <w:vMerge w:val="continue"/>
                  <w:vAlign w:val="center"/>
                </w:tcPr>
                <w:p>
                  <w:pPr>
                    <w:pStyle w:val="39"/>
                    <w:spacing w:before="20"/>
                    <w:jc w:val="center"/>
                    <w:rPr>
                      <w:rFonts w:ascii="Times New Roman" w:hAnsi="Times New Roman" w:eastAsia="宋体" w:cs="Times New Roman"/>
                      <w:color w:val="000000"/>
                    </w:rPr>
                  </w:pPr>
                </w:p>
              </w:tc>
              <w:tc>
                <w:tcPr>
                  <w:tcW w:w="359" w:type="pct"/>
                  <w:vMerge w:val="continue"/>
                  <w:vAlign w:val="center"/>
                </w:tcPr>
                <w:p>
                  <w:pPr>
                    <w:pStyle w:val="39"/>
                    <w:spacing w:before="20"/>
                    <w:jc w:val="center"/>
                    <w:rPr>
                      <w:rFonts w:ascii="Times New Roman" w:hAnsi="Times New Roman" w:eastAsia="宋体" w:cs="Times New Roman"/>
                      <w:color w:val="000000"/>
                    </w:rPr>
                  </w:pPr>
                </w:p>
              </w:tc>
              <w:tc>
                <w:tcPr>
                  <w:tcW w:w="391" w:type="pct"/>
                  <w:vMerge w:val="continue"/>
                  <w:vAlign w:val="center"/>
                </w:tcPr>
                <w:p>
                  <w:pPr>
                    <w:pStyle w:val="39"/>
                    <w:spacing w:before="20"/>
                    <w:jc w:val="center"/>
                    <w:rPr>
                      <w:rFonts w:ascii="Times New Roman" w:hAnsi="Times New Roman" w:eastAsia="宋体" w:cs="Times New Roman"/>
                      <w:color w:val="000000"/>
                    </w:rPr>
                  </w:pPr>
                </w:p>
              </w:tc>
              <w:tc>
                <w:tcPr>
                  <w:tcW w:w="413" w:type="pct"/>
                  <w:vMerge w:val="continue"/>
                  <w:vAlign w:val="center"/>
                </w:tcPr>
                <w:p>
                  <w:pPr>
                    <w:pStyle w:val="39"/>
                    <w:spacing w:before="20"/>
                    <w:jc w:val="center"/>
                    <w:rPr>
                      <w:rFonts w:ascii="Times New Roman" w:hAnsi="Times New Roman" w:eastAsia="宋体" w:cs="Times New Roman"/>
                      <w:color w:val="000000"/>
                    </w:rPr>
                  </w:pPr>
                </w:p>
              </w:tc>
              <w:tc>
                <w:tcPr>
                  <w:tcW w:w="361" w:type="pct"/>
                  <w:vMerge w:val="continue"/>
                  <w:vAlign w:val="center"/>
                </w:tcPr>
                <w:p>
                  <w:pPr>
                    <w:pStyle w:val="39"/>
                    <w:spacing w:before="20"/>
                    <w:jc w:val="center"/>
                    <w:rPr>
                      <w:rFonts w:ascii="Times New Roman" w:hAnsi="Times New Roman" w:eastAsia="宋体" w:cs="Times New Roman"/>
                      <w:color w:val="000000"/>
                    </w:rPr>
                  </w:pPr>
                </w:p>
              </w:tc>
              <w:tc>
                <w:tcPr>
                  <w:tcW w:w="656"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BOD</w:t>
                  </w:r>
                  <w:r>
                    <w:rPr>
                      <w:rFonts w:ascii="Times New Roman" w:hAnsi="Times New Roman" w:eastAsia="宋体" w:cs="Times New Roman"/>
                      <w:color w:val="000000"/>
                      <w:szCs w:val="21"/>
                      <w:vertAlign w:val="subscript"/>
                    </w:rPr>
                    <w:t>5</w:t>
                  </w:r>
                </w:p>
              </w:tc>
              <w:tc>
                <w:tcPr>
                  <w:tcW w:w="1102"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trPr>
              <w:tc>
                <w:tcPr>
                  <w:tcW w:w="181" w:type="pct"/>
                  <w:vMerge w:val="continue"/>
                  <w:vAlign w:val="center"/>
                </w:tcPr>
                <w:p>
                  <w:pPr>
                    <w:pStyle w:val="39"/>
                    <w:spacing w:before="20"/>
                    <w:jc w:val="center"/>
                    <w:rPr>
                      <w:rFonts w:ascii="Times New Roman" w:hAnsi="Times New Roman" w:eastAsia="宋体" w:cs="Times New Roman"/>
                      <w:color w:val="000000"/>
                      <w:szCs w:val="21"/>
                    </w:rPr>
                  </w:pPr>
                </w:p>
              </w:tc>
              <w:tc>
                <w:tcPr>
                  <w:tcW w:w="436" w:type="pct"/>
                  <w:vMerge w:val="continue"/>
                  <w:vAlign w:val="center"/>
                </w:tcPr>
                <w:p>
                  <w:pPr>
                    <w:pStyle w:val="39"/>
                    <w:spacing w:before="20"/>
                    <w:jc w:val="center"/>
                    <w:rPr>
                      <w:rFonts w:ascii="Times New Roman" w:hAnsi="Times New Roman" w:eastAsia="宋体" w:cs="Times New Roman"/>
                      <w:color w:val="000000"/>
                      <w:szCs w:val="21"/>
                    </w:rPr>
                  </w:pPr>
                </w:p>
              </w:tc>
              <w:tc>
                <w:tcPr>
                  <w:tcW w:w="362" w:type="pct"/>
                  <w:vMerge w:val="continue"/>
                  <w:vAlign w:val="center"/>
                </w:tcPr>
                <w:p>
                  <w:pPr>
                    <w:pStyle w:val="39"/>
                    <w:spacing w:before="20"/>
                    <w:jc w:val="center"/>
                    <w:rPr>
                      <w:rFonts w:ascii="Times New Roman" w:hAnsi="Times New Roman" w:eastAsia="宋体" w:cs="Times New Roman"/>
                      <w:color w:val="000000"/>
                      <w:szCs w:val="21"/>
                    </w:rPr>
                  </w:pPr>
                </w:p>
              </w:tc>
              <w:tc>
                <w:tcPr>
                  <w:tcW w:w="317" w:type="pct"/>
                  <w:vMerge w:val="continue"/>
                  <w:vAlign w:val="center"/>
                </w:tcPr>
                <w:p>
                  <w:pPr>
                    <w:pStyle w:val="39"/>
                    <w:spacing w:before="20"/>
                    <w:jc w:val="center"/>
                    <w:rPr>
                      <w:rFonts w:ascii="Times New Roman" w:hAnsi="Times New Roman" w:eastAsia="宋体" w:cs="Times New Roman"/>
                      <w:color w:val="000000"/>
                      <w:szCs w:val="21"/>
                    </w:rPr>
                  </w:pPr>
                </w:p>
              </w:tc>
              <w:tc>
                <w:tcPr>
                  <w:tcW w:w="417" w:type="pct"/>
                  <w:vMerge w:val="continue"/>
                  <w:vAlign w:val="center"/>
                </w:tcPr>
                <w:p>
                  <w:pPr>
                    <w:pStyle w:val="39"/>
                    <w:spacing w:before="20"/>
                    <w:jc w:val="center"/>
                    <w:rPr>
                      <w:rFonts w:ascii="Times New Roman" w:hAnsi="Times New Roman" w:eastAsia="宋体" w:cs="Times New Roman"/>
                      <w:color w:val="000000"/>
                      <w:szCs w:val="21"/>
                    </w:rPr>
                  </w:pPr>
                </w:p>
              </w:tc>
              <w:tc>
                <w:tcPr>
                  <w:tcW w:w="359" w:type="pct"/>
                  <w:vMerge w:val="continue"/>
                  <w:vAlign w:val="center"/>
                </w:tcPr>
                <w:p>
                  <w:pPr>
                    <w:pStyle w:val="39"/>
                    <w:spacing w:before="20"/>
                    <w:jc w:val="center"/>
                    <w:rPr>
                      <w:rFonts w:ascii="Times New Roman" w:hAnsi="Times New Roman" w:eastAsia="宋体" w:cs="Times New Roman"/>
                      <w:color w:val="000000"/>
                      <w:szCs w:val="21"/>
                    </w:rPr>
                  </w:pPr>
                </w:p>
              </w:tc>
              <w:tc>
                <w:tcPr>
                  <w:tcW w:w="391" w:type="pct"/>
                  <w:vMerge w:val="continue"/>
                  <w:vAlign w:val="center"/>
                </w:tcPr>
                <w:p>
                  <w:pPr>
                    <w:pStyle w:val="39"/>
                    <w:spacing w:before="20"/>
                    <w:jc w:val="center"/>
                    <w:rPr>
                      <w:rFonts w:ascii="Times New Roman" w:hAnsi="Times New Roman" w:eastAsia="宋体" w:cs="Times New Roman"/>
                      <w:color w:val="000000"/>
                      <w:szCs w:val="21"/>
                    </w:rPr>
                  </w:pPr>
                </w:p>
              </w:tc>
              <w:tc>
                <w:tcPr>
                  <w:tcW w:w="413" w:type="pct"/>
                  <w:vMerge w:val="continue"/>
                  <w:vAlign w:val="center"/>
                </w:tcPr>
                <w:p>
                  <w:pPr>
                    <w:pStyle w:val="39"/>
                    <w:spacing w:before="20"/>
                    <w:jc w:val="center"/>
                    <w:rPr>
                      <w:rFonts w:ascii="Times New Roman" w:hAnsi="Times New Roman" w:eastAsia="宋体" w:cs="Times New Roman"/>
                      <w:color w:val="000000"/>
                      <w:szCs w:val="21"/>
                    </w:rPr>
                  </w:pPr>
                </w:p>
              </w:tc>
              <w:tc>
                <w:tcPr>
                  <w:tcW w:w="361" w:type="pct"/>
                  <w:vMerge w:val="continue"/>
                  <w:vAlign w:val="center"/>
                </w:tcPr>
                <w:p>
                  <w:pPr>
                    <w:pStyle w:val="39"/>
                    <w:spacing w:before="20"/>
                    <w:jc w:val="center"/>
                    <w:rPr>
                      <w:rFonts w:ascii="Times New Roman" w:hAnsi="Times New Roman" w:eastAsia="宋体" w:cs="Times New Roman"/>
                      <w:color w:val="000000"/>
                      <w:szCs w:val="21"/>
                    </w:rPr>
                  </w:pPr>
                </w:p>
              </w:tc>
              <w:tc>
                <w:tcPr>
                  <w:tcW w:w="656"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SS</w:t>
                  </w:r>
                </w:p>
              </w:tc>
              <w:tc>
                <w:tcPr>
                  <w:tcW w:w="1102"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trPr>
              <w:tc>
                <w:tcPr>
                  <w:tcW w:w="181" w:type="pct"/>
                  <w:vMerge w:val="continue"/>
                  <w:vAlign w:val="center"/>
                </w:tcPr>
                <w:p>
                  <w:pPr>
                    <w:pStyle w:val="39"/>
                    <w:spacing w:before="20"/>
                    <w:jc w:val="center"/>
                    <w:rPr>
                      <w:rFonts w:ascii="Times New Roman" w:hAnsi="Times New Roman" w:eastAsia="宋体" w:cs="Times New Roman"/>
                      <w:color w:val="000000"/>
                      <w:szCs w:val="21"/>
                    </w:rPr>
                  </w:pPr>
                </w:p>
              </w:tc>
              <w:tc>
                <w:tcPr>
                  <w:tcW w:w="436" w:type="pct"/>
                  <w:vMerge w:val="continue"/>
                  <w:vAlign w:val="center"/>
                </w:tcPr>
                <w:p>
                  <w:pPr>
                    <w:pStyle w:val="39"/>
                    <w:spacing w:before="20"/>
                    <w:jc w:val="center"/>
                    <w:rPr>
                      <w:rFonts w:ascii="Times New Roman" w:hAnsi="Times New Roman" w:eastAsia="宋体" w:cs="Times New Roman"/>
                      <w:color w:val="000000"/>
                      <w:szCs w:val="21"/>
                    </w:rPr>
                  </w:pPr>
                </w:p>
              </w:tc>
              <w:tc>
                <w:tcPr>
                  <w:tcW w:w="362" w:type="pct"/>
                  <w:vMerge w:val="continue"/>
                  <w:vAlign w:val="center"/>
                </w:tcPr>
                <w:p>
                  <w:pPr>
                    <w:pStyle w:val="39"/>
                    <w:spacing w:before="20"/>
                    <w:jc w:val="center"/>
                    <w:rPr>
                      <w:rFonts w:ascii="Times New Roman" w:hAnsi="Times New Roman" w:eastAsia="宋体" w:cs="Times New Roman"/>
                      <w:color w:val="000000"/>
                      <w:szCs w:val="21"/>
                    </w:rPr>
                  </w:pPr>
                </w:p>
              </w:tc>
              <w:tc>
                <w:tcPr>
                  <w:tcW w:w="317" w:type="pct"/>
                  <w:vMerge w:val="continue"/>
                  <w:vAlign w:val="center"/>
                </w:tcPr>
                <w:p>
                  <w:pPr>
                    <w:pStyle w:val="39"/>
                    <w:spacing w:before="20"/>
                    <w:jc w:val="center"/>
                    <w:rPr>
                      <w:rFonts w:ascii="Times New Roman" w:hAnsi="Times New Roman" w:eastAsia="宋体" w:cs="Times New Roman"/>
                      <w:color w:val="000000"/>
                      <w:szCs w:val="21"/>
                    </w:rPr>
                  </w:pPr>
                </w:p>
              </w:tc>
              <w:tc>
                <w:tcPr>
                  <w:tcW w:w="417" w:type="pct"/>
                  <w:vMerge w:val="continue"/>
                  <w:vAlign w:val="center"/>
                </w:tcPr>
                <w:p>
                  <w:pPr>
                    <w:pStyle w:val="39"/>
                    <w:spacing w:before="20"/>
                    <w:jc w:val="center"/>
                    <w:rPr>
                      <w:rFonts w:ascii="Times New Roman" w:hAnsi="Times New Roman" w:eastAsia="宋体" w:cs="Times New Roman"/>
                      <w:color w:val="000000"/>
                      <w:szCs w:val="21"/>
                    </w:rPr>
                  </w:pPr>
                </w:p>
              </w:tc>
              <w:tc>
                <w:tcPr>
                  <w:tcW w:w="359" w:type="pct"/>
                  <w:vMerge w:val="continue"/>
                  <w:vAlign w:val="center"/>
                </w:tcPr>
                <w:p>
                  <w:pPr>
                    <w:pStyle w:val="39"/>
                    <w:spacing w:before="20"/>
                    <w:jc w:val="center"/>
                    <w:rPr>
                      <w:rFonts w:ascii="Times New Roman" w:hAnsi="Times New Roman" w:eastAsia="宋体" w:cs="Times New Roman"/>
                      <w:color w:val="000000"/>
                      <w:szCs w:val="21"/>
                    </w:rPr>
                  </w:pPr>
                </w:p>
              </w:tc>
              <w:tc>
                <w:tcPr>
                  <w:tcW w:w="391" w:type="pct"/>
                  <w:vMerge w:val="continue"/>
                  <w:vAlign w:val="center"/>
                </w:tcPr>
                <w:p>
                  <w:pPr>
                    <w:pStyle w:val="39"/>
                    <w:spacing w:before="20"/>
                    <w:jc w:val="center"/>
                    <w:rPr>
                      <w:rFonts w:ascii="Times New Roman" w:hAnsi="Times New Roman" w:eastAsia="宋体" w:cs="Times New Roman"/>
                      <w:color w:val="000000"/>
                      <w:szCs w:val="21"/>
                    </w:rPr>
                  </w:pPr>
                </w:p>
              </w:tc>
              <w:tc>
                <w:tcPr>
                  <w:tcW w:w="413" w:type="pct"/>
                  <w:vMerge w:val="continue"/>
                  <w:vAlign w:val="center"/>
                </w:tcPr>
                <w:p>
                  <w:pPr>
                    <w:pStyle w:val="39"/>
                    <w:spacing w:before="20"/>
                    <w:jc w:val="center"/>
                    <w:rPr>
                      <w:rFonts w:ascii="Times New Roman" w:hAnsi="Times New Roman" w:eastAsia="宋体" w:cs="Times New Roman"/>
                      <w:color w:val="000000"/>
                      <w:szCs w:val="21"/>
                    </w:rPr>
                  </w:pPr>
                </w:p>
              </w:tc>
              <w:tc>
                <w:tcPr>
                  <w:tcW w:w="361" w:type="pct"/>
                  <w:vMerge w:val="continue"/>
                  <w:vAlign w:val="center"/>
                </w:tcPr>
                <w:p>
                  <w:pPr>
                    <w:pStyle w:val="39"/>
                    <w:spacing w:before="20"/>
                    <w:jc w:val="center"/>
                    <w:rPr>
                      <w:rFonts w:ascii="Times New Roman" w:hAnsi="Times New Roman" w:eastAsia="宋体" w:cs="Times New Roman"/>
                      <w:color w:val="000000"/>
                      <w:szCs w:val="21"/>
                    </w:rPr>
                  </w:pPr>
                </w:p>
              </w:tc>
              <w:tc>
                <w:tcPr>
                  <w:tcW w:w="656"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氨氮</w:t>
                  </w:r>
                </w:p>
              </w:tc>
              <w:tc>
                <w:tcPr>
                  <w:tcW w:w="1102"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trPr>
              <w:tc>
                <w:tcPr>
                  <w:tcW w:w="181" w:type="pct"/>
                  <w:vMerge w:val="continue"/>
                  <w:vAlign w:val="center"/>
                </w:tcPr>
                <w:p>
                  <w:pPr>
                    <w:pStyle w:val="39"/>
                    <w:spacing w:before="20"/>
                    <w:jc w:val="center"/>
                    <w:rPr>
                      <w:rFonts w:ascii="Times New Roman" w:hAnsi="Times New Roman" w:eastAsia="宋体" w:cs="Times New Roman"/>
                      <w:color w:val="000000"/>
                      <w:szCs w:val="21"/>
                    </w:rPr>
                  </w:pPr>
                </w:p>
              </w:tc>
              <w:tc>
                <w:tcPr>
                  <w:tcW w:w="436" w:type="pct"/>
                  <w:vMerge w:val="continue"/>
                  <w:vAlign w:val="center"/>
                </w:tcPr>
                <w:p>
                  <w:pPr>
                    <w:pStyle w:val="39"/>
                    <w:spacing w:before="20"/>
                    <w:jc w:val="center"/>
                    <w:rPr>
                      <w:rFonts w:ascii="Times New Roman" w:hAnsi="Times New Roman" w:eastAsia="宋体" w:cs="Times New Roman"/>
                      <w:color w:val="000000"/>
                      <w:szCs w:val="21"/>
                    </w:rPr>
                  </w:pPr>
                </w:p>
              </w:tc>
              <w:tc>
                <w:tcPr>
                  <w:tcW w:w="362" w:type="pct"/>
                  <w:vMerge w:val="continue"/>
                  <w:vAlign w:val="center"/>
                </w:tcPr>
                <w:p>
                  <w:pPr>
                    <w:pStyle w:val="39"/>
                    <w:spacing w:before="20"/>
                    <w:jc w:val="center"/>
                    <w:rPr>
                      <w:rFonts w:ascii="Times New Roman" w:hAnsi="Times New Roman" w:eastAsia="宋体" w:cs="Times New Roman"/>
                      <w:color w:val="000000"/>
                      <w:szCs w:val="21"/>
                    </w:rPr>
                  </w:pPr>
                </w:p>
              </w:tc>
              <w:tc>
                <w:tcPr>
                  <w:tcW w:w="317" w:type="pct"/>
                  <w:vMerge w:val="continue"/>
                  <w:vAlign w:val="center"/>
                </w:tcPr>
                <w:p>
                  <w:pPr>
                    <w:pStyle w:val="39"/>
                    <w:spacing w:before="20"/>
                    <w:jc w:val="center"/>
                    <w:rPr>
                      <w:rFonts w:ascii="Times New Roman" w:hAnsi="Times New Roman" w:eastAsia="宋体" w:cs="Times New Roman"/>
                      <w:color w:val="000000"/>
                      <w:szCs w:val="21"/>
                    </w:rPr>
                  </w:pPr>
                </w:p>
              </w:tc>
              <w:tc>
                <w:tcPr>
                  <w:tcW w:w="417" w:type="pct"/>
                  <w:vMerge w:val="continue"/>
                  <w:vAlign w:val="center"/>
                </w:tcPr>
                <w:p>
                  <w:pPr>
                    <w:pStyle w:val="39"/>
                    <w:spacing w:before="20"/>
                    <w:jc w:val="center"/>
                    <w:rPr>
                      <w:rFonts w:ascii="Times New Roman" w:hAnsi="Times New Roman" w:eastAsia="宋体" w:cs="Times New Roman"/>
                      <w:color w:val="000000"/>
                      <w:szCs w:val="21"/>
                    </w:rPr>
                  </w:pPr>
                </w:p>
              </w:tc>
              <w:tc>
                <w:tcPr>
                  <w:tcW w:w="359" w:type="pct"/>
                  <w:vMerge w:val="continue"/>
                  <w:vAlign w:val="center"/>
                </w:tcPr>
                <w:p>
                  <w:pPr>
                    <w:pStyle w:val="39"/>
                    <w:spacing w:before="20"/>
                    <w:jc w:val="center"/>
                    <w:rPr>
                      <w:rFonts w:ascii="Times New Roman" w:hAnsi="Times New Roman" w:eastAsia="宋体" w:cs="Times New Roman"/>
                      <w:color w:val="000000"/>
                      <w:szCs w:val="21"/>
                    </w:rPr>
                  </w:pPr>
                </w:p>
              </w:tc>
              <w:tc>
                <w:tcPr>
                  <w:tcW w:w="391" w:type="pct"/>
                  <w:vMerge w:val="continue"/>
                  <w:vAlign w:val="center"/>
                </w:tcPr>
                <w:p>
                  <w:pPr>
                    <w:pStyle w:val="39"/>
                    <w:spacing w:before="20"/>
                    <w:jc w:val="center"/>
                    <w:rPr>
                      <w:rFonts w:ascii="Times New Roman" w:hAnsi="Times New Roman" w:eastAsia="宋体" w:cs="Times New Roman"/>
                      <w:color w:val="000000"/>
                      <w:szCs w:val="21"/>
                    </w:rPr>
                  </w:pPr>
                </w:p>
              </w:tc>
              <w:tc>
                <w:tcPr>
                  <w:tcW w:w="413" w:type="pct"/>
                  <w:vMerge w:val="continue"/>
                  <w:vAlign w:val="center"/>
                </w:tcPr>
                <w:p>
                  <w:pPr>
                    <w:pStyle w:val="39"/>
                    <w:spacing w:before="20"/>
                    <w:jc w:val="center"/>
                    <w:rPr>
                      <w:rFonts w:ascii="Times New Roman" w:hAnsi="Times New Roman" w:eastAsia="宋体" w:cs="Times New Roman"/>
                      <w:color w:val="000000"/>
                      <w:szCs w:val="21"/>
                    </w:rPr>
                  </w:pPr>
                </w:p>
              </w:tc>
              <w:tc>
                <w:tcPr>
                  <w:tcW w:w="361" w:type="pct"/>
                  <w:vMerge w:val="continue"/>
                  <w:vAlign w:val="center"/>
                </w:tcPr>
                <w:p>
                  <w:pPr>
                    <w:pStyle w:val="39"/>
                    <w:spacing w:before="20"/>
                    <w:jc w:val="center"/>
                    <w:rPr>
                      <w:rFonts w:ascii="Times New Roman" w:hAnsi="Times New Roman" w:eastAsia="宋体" w:cs="Times New Roman"/>
                      <w:color w:val="000000"/>
                      <w:szCs w:val="21"/>
                    </w:rPr>
                  </w:pPr>
                </w:p>
              </w:tc>
              <w:tc>
                <w:tcPr>
                  <w:tcW w:w="656"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动植物油</w:t>
                  </w:r>
                </w:p>
              </w:tc>
              <w:tc>
                <w:tcPr>
                  <w:tcW w:w="1102"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trPr>
              <w:tc>
                <w:tcPr>
                  <w:tcW w:w="181" w:type="pct"/>
                  <w:vMerge w:val="continue"/>
                  <w:vAlign w:val="center"/>
                </w:tcPr>
                <w:p>
                  <w:pPr>
                    <w:pStyle w:val="39"/>
                    <w:spacing w:before="20"/>
                    <w:jc w:val="center"/>
                    <w:rPr>
                      <w:rFonts w:ascii="Times New Roman" w:hAnsi="Times New Roman" w:eastAsia="宋体" w:cs="Times New Roman"/>
                      <w:color w:val="000000"/>
                      <w:szCs w:val="21"/>
                    </w:rPr>
                  </w:pPr>
                </w:p>
              </w:tc>
              <w:tc>
                <w:tcPr>
                  <w:tcW w:w="436" w:type="pct"/>
                  <w:vMerge w:val="continue"/>
                  <w:vAlign w:val="center"/>
                </w:tcPr>
                <w:p>
                  <w:pPr>
                    <w:pStyle w:val="39"/>
                    <w:spacing w:before="20"/>
                    <w:jc w:val="center"/>
                    <w:rPr>
                      <w:rFonts w:ascii="Times New Roman" w:hAnsi="Times New Roman" w:eastAsia="宋体" w:cs="Times New Roman"/>
                      <w:color w:val="000000"/>
                      <w:szCs w:val="21"/>
                    </w:rPr>
                  </w:pPr>
                </w:p>
              </w:tc>
              <w:tc>
                <w:tcPr>
                  <w:tcW w:w="362" w:type="pct"/>
                  <w:vMerge w:val="continue"/>
                  <w:vAlign w:val="center"/>
                </w:tcPr>
                <w:p>
                  <w:pPr>
                    <w:pStyle w:val="39"/>
                    <w:spacing w:before="20"/>
                    <w:jc w:val="center"/>
                    <w:rPr>
                      <w:rFonts w:ascii="Times New Roman" w:hAnsi="Times New Roman" w:eastAsia="宋体" w:cs="Times New Roman"/>
                      <w:color w:val="000000"/>
                      <w:szCs w:val="21"/>
                    </w:rPr>
                  </w:pPr>
                </w:p>
              </w:tc>
              <w:tc>
                <w:tcPr>
                  <w:tcW w:w="317" w:type="pct"/>
                  <w:vMerge w:val="continue"/>
                  <w:vAlign w:val="center"/>
                </w:tcPr>
                <w:p>
                  <w:pPr>
                    <w:pStyle w:val="39"/>
                    <w:spacing w:before="20"/>
                    <w:jc w:val="center"/>
                    <w:rPr>
                      <w:rFonts w:ascii="Times New Roman" w:hAnsi="Times New Roman" w:eastAsia="宋体" w:cs="Times New Roman"/>
                      <w:color w:val="000000"/>
                      <w:szCs w:val="21"/>
                    </w:rPr>
                  </w:pPr>
                </w:p>
              </w:tc>
              <w:tc>
                <w:tcPr>
                  <w:tcW w:w="417" w:type="pct"/>
                  <w:vMerge w:val="continue"/>
                  <w:vAlign w:val="center"/>
                </w:tcPr>
                <w:p>
                  <w:pPr>
                    <w:pStyle w:val="39"/>
                    <w:spacing w:before="20"/>
                    <w:jc w:val="center"/>
                    <w:rPr>
                      <w:rFonts w:ascii="Times New Roman" w:hAnsi="Times New Roman" w:eastAsia="宋体" w:cs="Times New Roman"/>
                      <w:color w:val="000000"/>
                      <w:szCs w:val="21"/>
                    </w:rPr>
                  </w:pPr>
                </w:p>
              </w:tc>
              <w:tc>
                <w:tcPr>
                  <w:tcW w:w="359" w:type="pct"/>
                  <w:vMerge w:val="continue"/>
                  <w:vAlign w:val="center"/>
                </w:tcPr>
                <w:p>
                  <w:pPr>
                    <w:pStyle w:val="39"/>
                    <w:spacing w:before="20"/>
                    <w:jc w:val="center"/>
                    <w:rPr>
                      <w:rFonts w:ascii="Times New Roman" w:hAnsi="Times New Roman" w:eastAsia="宋体" w:cs="Times New Roman"/>
                      <w:color w:val="000000"/>
                      <w:szCs w:val="21"/>
                    </w:rPr>
                  </w:pPr>
                </w:p>
              </w:tc>
              <w:tc>
                <w:tcPr>
                  <w:tcW w:w="391" w:type="pct"/>
                  <w:vMerge w:val="continue"/>
                  <w:vAlign w:val="center"/>
                </w:tcPr>
                <w:p>
                  <w:pPr>
                    <w:pStyle w:val="39"/>
                    <w:spacing w:before="20"/>
                    <w:jc w:val="center"/>
                    <w:rPr>
                      <w:rFonts w:ascii="Times New Roman" w:hAnsi="Times New Roman" w:eastAsia="宋体" w:cs="Times New Roman"/>
                      <w:color w:val="000000"/>
                      <w:szCs w:val="21"/>
                    </w:rPr>
                  </w:pPr>
                </w:p>
              </w:tc>
              <w:tc>
                <w:tcPr>
                  <w:tcW w:w="413" w:type="pct"/>
                  <w:vMerge w:val="continue"/>
                  <w:vAlign w:val="center"/>
                </w:tcPr>
                <w:p>
                  <w:pPr>
                    <w:pStyle w:val="39"/>
                    <w:spacing w:before="20"/>
                    <w:jc w:val="center"/>
                    <w:rPr>
                      <w:rFonts w:ascii="Times New Roman" w:hAnsi="Times New Roman" w:eastAsia="宋体" w:cs="Times New Roman"/>
                      <w:color w:val="000000"/>
                      <w:szCs w:val="21"/>
                    </w:rPr>
                  </w:pPr>
                </w:p>
              </w:tc>
              <w:tc>
                <w:tcPr>
                  <w:tcW w:w="361" w:type="pct"/>
                  <w:vMerge w:val="continue"/>
                  <w:vAlign w:val="center"/>
                </w:tcPr>
                <w:p>
                  <w:pPr>
                    <w:pStyle w:val="39"/>
                    <w:spacing w:before="20"/>
                    <w:jc w:val="center"/>
                    <w:rPr>
                      <w:rFonts w:ascii="Times New Roman" w:hAnsi="Times New Roman" w:eastAsia="宋体" w:cs="Times New Roman"/>
                      <w:color w:val="000000"/>
                      <w:szCs w:val="21"/>
                    </w:rPr>
                  </w:pPr>
                </w:p>
              </w:tc>
              <w:tc>
                <w:tcPr>
                  <w:tcW w:w="656"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粪大肠菌群</w:t>
                  </w:r>
                </w:p>
              </w:tc>
              <w:tc>
                <w:tcPr>
                  <w:tcW w:w="1102" w:type="pct"/>
                  <w:vAlign w:val="center"/>
                </w:tcPr>
                <w:p>
                  <w:pPr>
                    <w:pStyle w:val="39"/>
                    <w:spacing w:before="2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500个/L</w:t>
                  </w:r>
                </w:p>
              </w:tc>
            </w:tr>
          </w:tbl>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根据《排污许可证申请与核发技术规范医疗机构》（HJ1105-2020）的相关要求，制定本项目运营期废水监测计划如下：</w:t>
            </w:r>
          </w:p>
          <w:p>
            <w:pPr>
              <w:pStyle w:val="2"/>
              <w:snapToGrid w:val="0"/>
              <w:spacing w:line="360" w:lineRule="auto"/>
              <w:jc w:val="center"/>
              <w:rPr>
                <w:rFonts w:ascii="Times New Roman" w:eastAsia="宋体" w:cs="Times New Roman"/>
                <w:b/>
                <w:bCs/>
                <w:kern w:val="2"/>
              </w:rPr>
            </w:pPr>
            <w:r>
              <w:rPr>
                <w:rFonts w:ascii="Times New Roman" w:eastAsia="宋体" w:cs="Times New Roman"/>
                <w:b/>
                <w:bCs/>
                <w:kern w:val="2"/>
              </w:rPr>
              <w:t>表4-1</w:t>
            </w:r>
            <w:r>
              <w:rPr>
                <w:rFonts w:hint="eastAsia" w:ascii="Times New Roman" w:eastAsia="宋体" w:cs="Times New Roman"/>
                <w:b/>
                <w:bCs/>
                <w:kern w:val="2"/>
                <w:lang w:val="en-US" w:eastAsia="zh-CN"/>
              </w:rPr>
              <w:t>6</w:t>
            </w:r>
            <w:r>
              <w:rPr>
                <w:rFonts w:ascii="Times New Roman" w:eastAsia="宋体" w:cs="Times New Roman"/>
                <w:b/>
                <w:bCs/>
                <w:kern w:val="2"/>
              </w:rPr>
              <w:t>运营期</w:t>
            </w:r>
            <w:r>
              <w:rPr>
                <w:rFonts w:hint="eastAsia" w:ascii="Times New Roman" w:eastAsia="宋体" w:cs="Times New Roman"/>
                <w:b/>
                <w:bCs/>
                <w:kern w:val="2"/>
              </w:rPr>
              <w:t>废水</w:t>
            </w:r>
            <w:r>
              <w:rPr>
                <w:rFonts w:ascii="Times New Roman" w:eastAsia="宋体" w:cs="Times New Roman"/>
                <w:b/>
                <w:bCs/>
                <w:kern w:val="2"/>
              </w:rPr>
              <w:t>监测计划表</w:t>
            </w:r>
          </w:p>
          <w:tbl>
            <w:tblPr>
              <w:tblStyle w:val="29"/>
              <w:tblW w:w="0" w:type="auto"/>
              <w:tblInd w:w="5"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727"/>
              <w:gridCol w:w="741"/>
              <w:gridCol w:w="2016"/>
              <w:gridCol w:w="1435"/>
              <w:gridCol w:w="3774"/>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2" w:hRule="atLeast"/>
              </w:trPr>
              <w:tc>
                <w:tcPr>
                  <w:tcW w:w="728"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污染类型</w:t>
                  </w:r>
                </w:p>
              </w:tc>
              <w:tc>
                <w:tcPr>
                  <w:tcW w:w="741"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监测点位</w:t>
                  </w:r>
                </w:p>
              </w:tc>
              <w:tc>
                <w:tcPr>
                  <w:tcW w:w="2016"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监测指标</w:t>
                  </w:r>
                </w:p>
              </w:tc>
              <w:tc>
                <w:tcPr>
                  <w:tcW w:w="1435"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监测频次</w:t>
                  </w:r>
                </w:p>
              </w:tc>
              <w:tc>
                <w:tcPr>
                  <w:tcW w:w="3774"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执行排放标准</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70" w:hRule="atLeast"/>
              </w:trPr>
              <w:tc>
                <w:tcPr>
                  <w:tcW w:w="728" w:type="dxa"/>
                  <w:vMerge w:val="restar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废水</w:t>
                  </w:r>
                </w:p>
              </w:tc>
              <w:tc>
                <w:tcPr>
                  <w:tcW w:w="741" w:type="dxa"/>
                  <w:vMerge w:val="restar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污水总排放口</w:t>
                  </w:r>
                </w:p>
              </w:tc>
              <w:tc>
                <w:tcPr>
                  <w:tcW w:w="2016"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流量</w:t>
                  </w:r>
                </w:p>
              </w:tc>
              <w:tc>
                <w:tcPr>
                  <w:tcW w:w="1435"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自动监测</w:t>
                  </w:r>
                </w:p>
              </w:tc>
              <w:tc>
                <w:tcPr>
                  <w:tcW w:w="3774" w:type="dxa"/>
                  <w:vMerge w:val="restart"/>
                  <w:tcBorders>
                    <w:tl2br w:val="nil"/>
                    <w:tr2bl w:val="nil"/>
                  </w:tcBorders>
                  <w:vAlign w:val="center"/>
                </w:tcPr>
                <w:p>
                  <w:pPr>
                    <w:autoSpaceDE w:val="0"/>
                    <w:autoSpaceDN w:val="0"/>
                    <w:adjustRightIn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达到《医疗机构水污染物排放标准》（GB18466-2005）中“表2综合</w:t>
                  </w:r>
                  <w:r>
                    <w:rPr>
                      <w:rFonts w:ascii="Times New Roman" w:hAnsi="Times New Roman" w:eastAsia="宋体" w:cs="Times New Roman"/>
                      <w:color w:val="000000"/>
                      <w:spacing w:val="-3"/>
                      <w:szCs w:val="21"/>
                    </w:rPr>
                    <w:t>医疗机构和其他医疗机构水污染物排放限值（日均值）中的</w:t>
                  </w:r>
                  <w:r>
                    <w:rPr>
                      <w:rFonts w:ascii="Times New Roman" w:hAnsi="Times New Roman" w:eastAsia="宋体" w:cs="Times New Roman"/>
                      <w:color w:val="000000"/>
                      <w:szCs w:val="21"/>
                    </w:rPr>
                    <w:t>预处理标准”、广东省地方标准《水污染物排放限值》（DB44/26-2001）第二时段三级标准及湛江市赤坎水质净化厂进水水质标准的较严值</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67" w:hRule="atLeast"/>
              </w:trPr>
              <w:tc>
                <w:tcPr>
                  <w:tcW w:w="728"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c>
                <w:tcPr>
                  <w:tcW w:w="741"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c>
                <w:tcPr>
                  <w:tcW w:w="2016"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pH值</w:t>
                  </w:r>
                </w:p>
              </w:tc>
              <w:tc>
                <w:tcPr>
                  <w:tcW w:w="1435"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每12小时1次</w:t>
                  </w:r>
                </w:p>
              </w:tc>
              <w:tc>
                <w:tcPr>
                  <w:tcW w:w="3774"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7" w:hRule="atLeast"/>
              </w:trPr>
              <w:tc>
                <w:tcPr>
                  <w:tcW w:w="728"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c>
                <w:tcPr>
                  <w:tcW w:w="741"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c>
                <w:tcPr>
                  <w:tcW w:w="2016"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化学需氧量、悬浮物</w:t>
                  </w:r>
                </w:p>
              </w:tc>
              <w:tc>
                <w:tcPr>
                  <w:tcW w:w="1435"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每周</w:t>
                  </w:r>
                  <w:r>
                    <w:rPr>
                      <w:rFonts w:ascii="Times New Roman" w:hAnsi="Times New Roman" w:eastAsia="宋体" w:cs="Times New Roman"/>
                      <w:color w:val="000000"/>
                    </w:rPr>
                    <w:t>1次</w:t>
                  </w:r>
                </w:p>
              </w:tc>
              <w:tc>
                <w:tcPr>
                  <w:tcW w:w="3774"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15" w:hRule="atLeast"/>
              </w:trPr>
              <w:tc>
                <w:tcPr>
                  <w:tcW w:w="728"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c>
                <w:tcPr>
                  <w:tcW w:w="741"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c>
                <w:tcPr>
                  <w:tcW w:w="2016"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粪大肠菌群数</w:t>
                  </w:r>
                </w:p>
              </w:tc>
              <w:tc>
                <w:tcPr>
                  <w:tcW w:w="1435"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每月1次</w:t>
                  </w:r>
                </w:p>
              </w:tc>
              <w:tc>
                <w:tcPr>
                  <w:tcW w:w="3774"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003" w:hRule="atLeast"/>
              </w:trPr>
              <w:tc>
                <w:tcPr>
                  <w:tcW w:w="728"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c>
                <w:tcPr>
                  <w:tcW w:w="741"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c>
                <w:tcPr>
                  <w:tcW w:w="2016"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五日生化需氧量、石油类、挥发酚、动植物油、阴离子表面活性剂、总氰化物</w:t>
                  </w:r>
                </w:p>
              </w:tc>
              <w:tc>
                <w:tcPr>
                  <w:tcW w:w="1435" w:type="dxa"/>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每季度1次</w:t>
                  </w:r>
                </w:p>
              </w:tc>
              <w:tc>
                <w:tcPr>
                  <w:tcW w:w="3774" w:type="dxa"/>
                  <w:vMerge w:val="continue"/>
                  <w:tcBorders>
                    <w:tl2br w:val="nil"/>
                    <w:tr2bl w:val="nil"/>
                  </w:tcBorders>
                  <w:vAlign w:val="center"/>
                </w:tcPr>
                <w:p>
                  <w:pPr>
                    <w:autoSpaceDE w:val="0"/>
                    <w:autoSpaceDN w:val="0"/>
                    <w:adjustRightInd w:val="0"/>
                    <w:rPr>
                      <w:rFonts w:ascii="Times New Roman" w:hAnsi="Times New Roman" w:eastAsia="宋体" w:cs="Times New Roman"/>
                      <w:color w:val="000000"/>
                      <w:szCs w:val="21"/>
                    </w:rPr>
                  </w:pPr>
                </w:p>
              </w:tc>
            </w:tr>
          </w:tbl>
          <w:p>
            <w:pPr>
              <w:spacing w:line="360" w:lineRule="auto"/>
              <w:jc w:val="left"/>
              <w:rPr>
                <w:rFonts w:ascii="Times New Roman" w:hAnsi="Times New Roman" w:eastAsia="宋体" w:cs="Times New Roman"/>
                <w:b/>
                <w:bCs/>
                <w:color w:val="000000"/>
                <w:sz w:val="24"/>
              </w:rPr>
            </w:pPr>
            <w:r>
              <w:rPr>
                <w:rFonts w:ascii="Times New Roman" w:hAnsi="Times New Roman" w:eastAsia="宋体" w:cs="Times New Roman"/>
                <w:b/>
                <w:bCs/>
                <w:color w:val="000000"/>
                <w:sz w:val="24"/>
              </w:rPr>
              <w:t>三、噪声影响分析</w:t>
            </w:r>
          </w:p>
          <w:p>
            <w:pPr>
              <w:pStyle w:val="39"/>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1、项目运营期噪声源强估算</w:t>
            </w:r>
          </w:p>
          <w:p>
            <w:pPr>
              <w:pStyle w:val="20"/>
              <w:spacing w:before="0" w:after="0" w:line="360" w:lineRule="auto"/>
              <w:ind w:right="0" w:firstLine="480" w:firstLineChars="200"/>
              <w:rPr>
                <w:rFonts w:ascii="Times New Roman" w:hAnsi="Times New Roman" w:eastAsia="宋体" w:cs="Times New Roman"/>
                <w:b/>
                <w:bCs/>
                <w:color w:val="000000"/>
                <w:kern w:val="2"/>
                <w:sz w:val="24"/>
              </w:rPr>
            </w:pPr>
            <w:r>
              <w:rPr>
                <w:rFonts w:ascii="Times New Roman" w:hAnsi="Times New Roman" w:eastAsia="宋体" w:cs="Times New Roman"/>
                <w:color w:val="000000"/>
                <w:sz w:val="24"/>
                <w:szCs w:val="24"/>
              </w:rPr>
              <w:t>项目运营期噪声源主要有普通医疗设备、医院生活噪声、废水处理设备的噪声及空调主机噪声。</w:t>
            </w:r>
          </w:p>
          <w:p>
            <w:pPr>
              <w:pStyle w:val="39"/>
              <w:spacing w:line="360" w:lineRule="auto"/>
              <w:jc w:val="center"/>
              <w:rPr>
                <w:rFonts w:ascii="Times New Roman" w:hAnsi="Times New Roman" w:eastAsia="宋体" w:cs="Times New Roman"/>
                <w:b/>
                <w:bCs/>
                <w:color w:val="000000"/>
                <w:kern w:val="2"/>
                <w:sz w:val="24"/>
              </w:rPr>
            </w:pPr>
            <w:r>
              <w:rPr>
                <w:rFonts w:ascii="Times New Roman" w:hAnsi="Times New Roman" w:eastAsia="宋体" w:cs="Times New Roman"/>
                <w:b/>
                <w:bCs/>
                <w:color w:val="000000"/>
                <w:kern w:val="2"/>
                <w:sz w:val="24"/>
              </w:rPr>
              <w:t>表4-</w:t>
            </w:r>
            <w:r>
              <w:rPr>
                <w:rFonts w:hint="eastAsia" w:ascii="Times New Roman" w:hAnsi="Times New Roman" w:eastAsia="宋体" w:cs="Times New Roman"/>
                <w:b/>
                <w:bCs/>
                <w:color w:val="000000"/>
                <w:kern w:val="2"/>
                <w:sz w:val="24"/>
              </w:rPr>
              <w:t>1</w:t>
            </w:r>
            <w:r>
              <w:rPr>
                <w:rFonts w:hint="eastAsia" w:ascii="Times New Roman" w:hAnsi="Times New Roman" w:eastAsia="宋体" w:cs="Times New Roman"/>
                <w:b/>
                <w:bCs/>
                <w:color w:val="000000"/>
                <w:kern w:val="2"/>
                <w:sz w:val="24"/>
                <w:lang w:val="en-US" w:eastAsia="zh-CN"/>
              </w:rPr>
              <w:t>7</w:t>
            </w:r>
            <w:r>
              <w:rPr>
                <w:rFonts w:ascii="Times New Roman" w:hAnsi="Times New Roman" w:eastAsia="宋体" w:cs="Times New Roman"/>
                <w:b/>
                <w:bCs/>
                <w:color w:val="000000"/>
                <w:kern w:val="2"/>
                <w:sz w:val="24"/>
              </w:rPr>
              <w:t>项目运营期</w:t>
            </w:r>
            <w:r>
              <w:rPr>
                <w:rFonts w:hint="eastAsia" w:ascii="Times New Roman" w:hAnsi="Times New Roman" w:eastAsia="宋体" w:cs="Times New Roman"/>
                <w:b/>
                <w:bCs/>
                <w:color w:val="000000"/>
                <w:kern w:val="2"/>
                <w:sz w:val="24"/>
              </w:rPr>
              <w:t>噪声产排情况一览表</w:t>
            </w:r>
          </w:p>
          <w:tbl>
            <w:tblPr>
              <w:tblStyle w:val="29"/>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595"/>
              <w:gridCol w:w="1529"/>
              <w:gridCol w:w="1755"/>
              <w:gridCol w:w="1115"/>
              <w:gridCol w:w="1553"/>
              <w:gridCol w:w="2148"/>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53" w:hRule="atLeast"/>
              </w:trPr>
              <w:tc>
                <w:tcPr>
                  <w:tcW w:w="342"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序号</w:t>
                  </w:r>
                </w:p>
              </w:tc>
              <w:tc>
                <w:tcPr>
                  <w:tcW w:w="879" w:type="pct"/>
                  <w:tcBorders>
                    <w:tl2br w:val="nil"/>
                    <w:tr2bl w:val="nil"/>
                  </w:tcBorders>
                  <w:vAlign w:val="center"/>
                </w:tcPr>
                <w:p>
                  <w:pPr>
                    <w:pStyle w:val="39"/>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设备名称</w:t>
                  </w:r>
                </w:p>
              </w:tc>
              <w:tc>
                <w:tcPr>
                  <w:tcW w:w="1009" w:type="pct"/>
                  <w:tcBorders>
                    <w:tl2br w:val="nil"/>
                    <w:tr2bl w:val="nil"/>
                  </w:tcBorders>
                  <w:vAlign w:val="center"/>
                </w:tcPr>
                <w:p>
                  <w:pPr>
                    <w:pStyle w:val="39"/>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噪声源强dB（A）</w:t>
                  </w:r>
                </w:p>
              </w:tc>
              <w:tc>
                <w:tcPr>
                  <w:tcW w:w="641" w:type="pct"/>
                  <w:tcBorders>
                    <w:tl2br w:val="nil"/>
                    <w:tr2bl w:val="nil"/>
                  </w:tcBorders>
                  <w:vAlign w:val="center"/>
                </w:tcPr>
                <w:p>
                  <w:pPr>
                    <w:pStyle w:val="39"/>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数量（台）</w:t>
                  </w:r>
                </w:p>
              </w:tc>
              <w:tc>
                <w:tcPr>
                  <w:tcW w:w="890" w:type="pct"/>
                  <w:tcBorders>
                    <w:tl2br w:val="nil"/>
                    <w:tr2bl w:val="nil"/>
                  </w:tcBorders>
                  <w:vAlign w:val="center"/>
                </w:tcPr>
                <w:p>
                  <w:pPr>
                    <w:pStyle w:val="39"/>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持续时间（h/d）</w:t>
                  </w:r>
                </w:p>
              </w:tc>
              <w:tc>
                <w:tcPr>
                  <w:tcW w:w="1235" w:type="pct"/>
                  <w:tcBorders>
                    <w:tl2br w:val="nil"/>
                    <w:tr2bl w:val="nil"/>
                  </w:tcBorders>
                  <w:vAlign w:val="center"/>
                </w:tcPr>
                <w:p>
                  <w:pPr>
                    <w:pStyle w:val="39"/>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等效叠加源强dB（A）</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12" w:hRule="atLeast"/>
              </w:trPr>
              <w:tc>
                <w:tcPr>
                  <w:tcW w:w="342"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p>
              </w:tc>
              <w:tc>
                <w:tcPr>
                  <w:tcW w:w="879"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普通医疗设备</w:t>
                  </w:r>
                </w:p>
              </w:tc>
              <w:tc>
                <w:tcPr>
                  <w:tcW w:w="1009" w:type="pct"/>
                  <w:tcBorders>
                    <w:tl2br w:val="nil"/>
                    <w:tr2bl w:val="nil"/>
                  </w:tcBorders>
                  <w:vAlign w:val="center"/>
                </w:tcPr>
                <w:p>
                  <w:pPr>
                    <w:pStyle w:val="39"/>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val="en-US" w:eastAsia="zh-CN"/>
                    </w:rPr>
                    <w:t>35</w:t>
                  </w:r>
                  <w:r>
                    <w:rPr>
                      <w:rFonts w:ascii="Times New Roman" w:hAnsi="Times New Roman" w:eastAsia="宋体" w:cs="Times New Roman"/>
                      <w:color w:val="000000"/>
                      <w:szCs w:val="21"/>
                    </w:rPr>
                    <w:t>～5</w:t>
                  </w:r>
                  <w:r>
                    <w:rPr>
                      <w:rFonts w:hint="eastAsia" w:ascii="Times New Roman" w:hAnsi="Times New Roman" w:eastAsia="宋体" w:cs="Times New Roman"/>
                      <w:color w:val="000000"/>
                      <w:szCs w:val="21"/>
                      <w:lang w:val="en-US" w:eastAsia="zh-CN"/>
                    </w:rPr>
                    <w:t>5</w:t>
                  </w:r>
                  <w:r>
                    <w:rPr>
                      <w:rFonts w:hint="eastAsia" w:ascii="Times New Roman" w:hAnsi="Times New Roman" w:eastAsia="宋体" w:cs="Times New Roman"/>
                      <w:color w:val="000000"/>
                      <w:szCs w:val="21"/>
                      <w:lang w:eastAsia="zh-CN"/>
                    </w:rPr>
                    <w:t>（</w:t>
                  </w:r>
                  <w:r>
                    <w:rPr>
                      <w:rFonts w:hint="eastAsia" w:ascii="Times New Roman" w:hAnsi="Times New Roman" w:eastAsia="宋体" w:cs="Times New Roman"/>
                      <w:color w:val="000000"/>
                      <w:szCs w:val="21"/>
                      <w:lang w:val="en-US" w:eastAsia="zh-CN"/>
                    </w:rPr>
                    <w:t>取值45</w:t>
                  </w:r>
                  <w:r>
                    <w:rPr>
                      <w:rFonts w:hint="eastAsia" w:ascii="Times New Roman" w:hAnsi="Times New Roman" w:eastAsia="宋体" w:cs="Times New Roman"/>
                      <w:color w:val="000000"/>
                      <w:szCs w:val="21"/>
                      <w:lang w:eastAsia="zh-CN"/>
                    </w:rPr>
                    <w:t>）</w:t>
                  </w:r>
                </w:p>
              </w:tc>
              <w:tc>
                <w:tcPr>
                  <w:tcW w:w="641" w:type="pct"/>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14</w:t>
                  </w:r>
                </w:p>
              </w:tc>
              <w:tc>
                <w:tcPr>
                  <w:tcW w:w="890" w:type="pct"/>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24</w:t>
                  </w:r>
                </w:p>
              </w:tc>
              <w:tc>
                <w:tcPr>
                  <w:tcW w:w="1235"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40</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53" w:hRule="atLeast"/>
              </w:trPr>
              <w:tc>
                <w:tcPr>
                  <w:tcW w:w="342"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w:t>
                  </w:r>
                </w:p>
              </w:tc>
              <w:tc>
                <w:tcPr>
                  <w:tcW w:w="879"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医院生活噪声</w:t>
                  </w:r>
                </w:p>
              </w:tc>
              <w:tc>
                <w:tcPr>
                  <w:tcW w:w="1009" w:type="pct"/>
                  <w:tcBorders>
                    <w:tl2br w:val="nil"/>
                    <w:tr2bl w:val="nil"/>
                  </w:tcBorders>
                  <w:vAlign w:val="center"/>
                </w:tcPr>
                <w:p>
                  <w:pPr>
                    <w:pStyle w:val="39"/>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val="en-US" w:eastAsia="zh-CN"/>
                    </w:rPr>
                    <w:t>35</w:t>
                  </w:r>
                  <w:r>
                    <w:rPr>
                      <w:rFonts w:ascii="Times New Roman" w:hAnsi="Times New Roman" w:eastAsia="宋体" w:cs="Times New Roman"/>
                      <w:color w:val="000000"/>
                      <w:szCs w:val="21"/>
                    </w:rPr>
                    <w:t>～</w:t>
                  </w:r>
                  <w:r>
                    <w:rPr>
                      <w:rFonts w:hint="eastAsia" w:ascii="Times New Roman" w:hAnsi="Times New Roman" w:eastAsia="宋体" w:cs="Times New Roman"/>
                      <w:color w:val="000000"/>
                      <w:szCs w:val="21"/>
                      <w:lang w:val="en-US" w:eastAsia="zh-CN"/>
                    </w:rPr>
                    <w:t>40</w:t>
                  </w:r>
                  <w:r>
                    <w:rPr>
                      <w:rFonts w:hint="eastAsia" w:ascii="Times New Roman" w:hAnsi="Times New Roman" w:eastAsia="宋体" w:cs="Times New Roman"/>
                      <w:color w:val="000000"/>
                      <w:szCs w:val="21"/>
                      <w:lang w:eastAsia="zh-CN"/>
                    </w:rPr>
                    <w:t>（</w:t>
                  </w:r>
                  <w:r>
                    <w:rPr>
                      <w:rFonts w:hint="eastAsia" w:ascii="Times New Roman" w:hAnsi="Times New Roman" w:eastAsia="宋体" w:cs="Times New Roman"/>
                      <w:color w:val="000000"/>
                      <w:szCs w:val="21"/>
                      <w:lang w:val="en-US" w:eastAsia="zh-CN"/>
                    </w:rPr>
                    <w:t>取值40</w:t>
                  </w:r>
                  <w:r>
                    <w:rPr>
                      <w:rFonts w:hint="eastAsia" w:ascii="Times New Roman" w:hAnsi="Times New Roman" w:eastAsia="宋体" w:cs="Times New Roman"/>
                      <w:color w:val="000000"/>
                      <w:szCs w:val="21"/>
                      <w:lang w:eastAsia="zh-CN"/>
                    </w:rPr>
                    <w:t>）</w:t>
                  </w:r>
                </w:p>
              </w:tc>
              <w:tc>
                <w:tcPr>
                  <w:tcW w:w="641" w:type="pct"/>
                  <w:tcBorders>
                    <w:tl2br w:val="nil"/>
                    <w:tr2bl w:val="nil"/>
                  </w:tcBorders>
                  <w:vAlign w:val="center"/>
                </w:tcPr>
                <w:p>
                  <w:pPr>
                    <w:pStyle w:val="39"/>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w:t>
                  </w:r>
                </w:p>
              </w:tc>
              <w:tc>
                <w:tcPr>
                  <w:tcW w:w="890" w:type="pct"/>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w:t>
                  </w:r>
                </w:p>
              </w:tc>
              <w:tc>
                <w:tcPr>
                  <w:tcW w:w="1235" w:type="pct"/>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40</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63" w:hRule="atLeast"/>
              </w:trPr>
              <w:tc>
                <w:tcPr>
                  <w:tcW w:w="342"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w:t>
                  </w:r>
                </w:p>
              </w:tc>
              <w:tc>
                <w:tcPr>
                  <w:tcW w:w="879"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废水处理设备</w:t>
                  </w:r>
                </w:p>
              </w:tc>
              <w:tc>
                <w:tcPr>
                  <w:tcW w:w="1009" w:type="pct"/>
                  <w:tcBorders>
                    <w:tl2br w:val="nil"/>
                    <w:tr2bl w:val="nil"/>
                  </w:tcBorders>
                  <w:vAlign w:val="center"/>
                </w:tcPr>
                <w:p>
                  <w:pPr>
                    <w:pStyle w:val="39"/>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val="en-US" w:eastAsia="zh-CN"/>
                    </w:rPr>
                    <w:t>50</w:t>
                  </w:r>
                  <w:r>
                    <w:rPr>
                      <w:rFonts w:ascii="Times New Roman" w:hAnsi="Times New Roman" w:eastAsia="宋体" w:cs="Times New Roman"/>
                      <w:color w:val="000000"/>
                      <w:szCs w:val="21"/>
                    </w:rPr>
                    <w:t>～</w:t>
                  </w:r>
                  <w:r>
                    <w:rPr>
                      <w:rFonts w:hint="eastAsia" w:ascii="Times New Roman" w:hAnsi="Times New Roman" w:eastAsia="宋体" w:cs="Times New Roman"/>
                      <w:color w:val="000000"/>
                      <w:szCs w:val="21"/>
                      <w:lang w:val="en-US" w:eastAsia="zh-CN"/>
                    </w:rPr>
                    <w:t>65</w:t>
                  </w:r>
                  <w:r>
                    <w:rPr>
                      <w:rFonts w:hint="eastAsia" w:ascii="Times New Roman" w:hAnsi="Times New Roman" w:eastAsia="宋体" w:cs="Times New Roman"/>
                      <w:color w:val="000000"/>
                      <w:szCs w:val="21"/>
                      <w:lang w:eastAsia="zh-CN"/>
                    </w:rPr>
                    <w:t>（</w:t>
                  </w:r>
                  <w:r>
                    <w:rPr>
                      <w:rFonts w:hint="eastAsia" w:ascii="Times New Roman" w:hAnsi="Times New Roman" w:eastAsia="宋体" w:cs="Times New Roman"/>
                      <w:color w:val="000000"/>
                      <w:szCs w:val="21"/>
                      <w:lang w:val="en-US" w:eastAsia="zh-CN"/>
                    </w:rPr>
                    <w:t>取值60</w:t>
                  </w:r>
                  <w:r>
                    <w:rPr>
                      <w:rFonts w:hint="eastAsia" w:ascii="Times New Roman" w:hAnsi="Times New Roman" w:eastAsia="宋体" w:cs="Times New Roman"/>
                      <w:color w:val="000000"/>
                      <w:szCs w:val="21"/>
                      <w:lang w:eastAsia="zh-CN"/>
                    </w:rPr>
                    <w:t>）</w:t>
                  </w:r>
                </w:p>
              </w:tc>
              <w:tc>
                <w:tcPr>
                  <w:tcW w:w="641" w:type="pct"/>
                  <w:tcBorders>
                    <w:tl2br w:val="nil"/>
                    <w:tr2bl w:val="nil"/>
                  </w:tcBorders>
                  <w:vAlign w:val="center"/>
                </w:tcPr>
                <w:p>
                  <w:pPr>
                    <w:pStyle w:val="39"/>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w:t>
                  </w:r>
                </w:p>
              </w:tc>
              <w:tc>
                <w:tcPr>
                  <w:tcW w:w="890" w:type="pct"/>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24</w:t>
                  </w:r>
                </w:p>
              </w:tc>
              <w:tc>
                <w:tcPr>
                  <w:tcW w:w="1235"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60</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PrEx>
              <w:trPr>
                <w:trHeight w:val="378" w:hRule="atLeast"/>
              </w:trPr>
              <w:tc>
                <w:tcPr>
                  <w:tcW w:w="342"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4</w:t>
                  </w:r>
                </w:p>
              </w:tc>
              <w:tc>
                <w:tcPr>
                  <w:tcW w:w="879"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空调主机</w:t>
                  </w:r>
                </w:p>
              </w:tc>
              <w:tc>
                <w:tcPr>
                  <w:tcW w:w="1009" w:type="pct"/>
                  <w:tcBorders>
                    <w:tl2br w:val="nil"/>
                    <w:tr2bl w:val="nil"/>
                  </w:tcBorders>
                  <w:vAlign w:val="center"/>
                </w:tcPr>
                <w:p>
                  <w:pPr>
                    <w:pStyle w:val="39"/>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val="en-US" w:eastAsia="zh-CN"/>
                    </w:rPr>
                    <w:t>35</w:t>
                  </w:r>
                  <w:r>
                    <w:rPr>
                      <w:rFonts w:ascii="Times New Roman" w:hAnsi="Times New Roman" w:eastAsia="宋体" w:cs="Times New Roman"/>
                      <w:color w:val="000000"/>
                      <w:szCs w:val="21"/>
                    </w:rPr>
                    <w:t>～</w:t>
                  </w:r>
                  <w:r>
                    <w:rPr>
                      <w:rFonts w:hint="eastAsia" w:ascii="Times New Roman" w:hAnsi="Times New Roman" w:eastAsia="宋体" w:cs="Times New Roman"/>
                      <w:color w:val="000000"/>
                      <w:szCs w:val="21"/>
                      <w:lang w:val="en-US" w:eastAsia="zh-CN"/>
                    </w:rPr>
                    <w:t>55</w:t>
                  </w:r>
                  <w:r>
                    <w:rPr>
                      <w:rFonts w:hint="eastAsia" w:ascii="Times New Roman" w:hAnsi="Times New Roman" w:eastAsia="宋体" w:cs="Times New Roman"/>
                      <w:color w:val="000000"/>
                      <w:szCs w:val="21"/>
                      <w:lang w:eastAsia="zh-CN"/>
                    </w:rPr>
                    <w:t>（</w:t>
                  </w:r>
                  <w:r>
                    <w:rPr>
                      <w:rFonts w:hint="eastAsia" w:ascii="Times New Roman" w:hAnsi="Times New Roman" w:eastAsia="宋体" w:cs="Times New Roman"/>
                      <w:color w:val="000000"/>
                      <w:szCs w:val="21"/>
                      <w:lang w:val="en-US" w:eastAsia="zh-CN"/>
                    </w:rPr>
                    <w:t>取值45</w:t>
                  </w:r>
                  <w:r>
                    <w:rPr>
                      <w:rFonts w:hint="eastAsia" w:ascii="Times New Roman" w:hAnsi="Times New Roman" w:eastAsia="宋体" w:cs="Times New Roman"/>
                      <w:color w:val="000000"/>
                      <w:szCs w:val="21"/>
                      <w:lang w:eastAsia="zh-CN"/>
                    </w:rPr>
                    <w:t>）</w:t>
                  </w:r>
                </w:p>
              </w:tc>
              <w:tc>
                <w:tcPr>
                  <w:tcW w:w="641" w:type="pct"/>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70</w:t>
                  </w:r>
                </w:p>
              </w:tc>
              <w:tc>
                <w:tcPr>
                  <w:tcW w:w="890" w:type="pct"/>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24</w:t>
                  </w:r>
                </w:p>
              </w:tc>
              <w:tc>
                <w:tcPr>
                  <w:tcW w:w="1235" w:type="pct"/>
                  <w:tcBorders>
                    <w:tl2br w:val="nil"/>
                    <w:tr2bl w:val="nil"/>
                  </w:tcBorders>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78" w:hRule="atLeast"/>
              </w:trPr>
              <w:tc>
                <w:tcPr>
                  <w:tcW w:w="342" w:type="pct"/>
                  <w:tcBorders>
                    <w:tl2br w:val="nil"/>
                    <w:tr2bl w:val="nil"/>
                  </w:tcBorders>
                  <w:vAlign w:val="center"/>
                </w:tcPr>
                <w:p>
                  <w:pPr>
                    <w:pStyle w:val="39"/>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5</w:t>
                  </w:r>
                </w:p>
              </w:tc>
              <w:tc>
                <w:tcPr>
                  <w:tcW w:w="879" w:type="pct"/>
                  <w:tcBorders>
                    <w:tl2br w:val="nil"/>
                    <w:tr2bl w:val="nil"/>
                  </w:tcBorders>
                  <w:vAlign w:val="center"/>
                </w:tcPr>
                <w:p>
                  <w:pPr>
                    <w:pStyle w:val="39"/>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柴油发电机</w:t>
                  </w:r>
                </w:p>
              </w:tc>
              <w:tc>
                <w:tcPr>
                  <w:tcW w:w="1009" w:type="pct"/>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90~102（取值95）</w:t>
                  </w:r>
                </w:p>
              </w:tc>
              <w:tc>
                <w:tcPr>
                  <w:tcW w:w="641" w:type="pct"/>
                  <w:tcBorders>
                    <w:tl2br w:val="nil"/>
                    <w:tr2bl w:val="nil"/>
                  </w:tcBorders>
                  <w:vAlign w:val="center"/>
                </w:tcPr>
                <w:p>
                  <w:pPr>
                    <w:pStyle w:val="39"/>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w:t>
                  </w:r>
                </w:p>
              </w:tc>
              <w:tc>
                <w:tcPr>
                  <w:tcW w:w="890" w:type="pct"/>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24</w:t>
                  </w:r>
                </w:p>
              </w:tc>
              <w:tc>
                <w:tcPr>
                  <w:tcW w:w="1235" w:type="pct"/>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95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78" w:hRule="atLeast"/>
              </w:trPr>
              <w:tc>
                <w:tcPr>
                  <w:tcW w:w="3764" w:type="pct"/>
                  <w:gridSpan w:val="5"/>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w:t>
                  </w:r>
                </w:p>
              </w:tc>
              <w:tc>
                <w:tcPr>
                  <w:tcW w:w="1235" w:type="pct"/>
                  <w:tcBorders>
                    <w:tl2br w:val="nil"/>
                    <w:tr2bl w:val="nil"/>
                  </w:tcBorders>
                  <w:vAlign w:val="center"/>
                </w:tcPr>
                <w:p>
                  <w:pPr>
                    <w:pStyle w:val="39"/>
                    <w:jc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95</w:t>
                  </w:r>
                </w:p>
              </w:tc>
            </w:tr>
          </w:tbl>
          <w:p>
            <w:pPr>
              <w:pStyle w:val="11"/>
              <w:adjustRightInd w:val="0"/>
              <w:snapToGrid w:val="0"/>
              <w:spacing w:after="0" w:line="360" w:lineRule="auto"/>
              <w:ind w:left="0" w:leftChars="0" w:firstLine="482" w:firstLineChars="200"/>
              <w:jc w:val="left"/>
              <w:rPr>
                <w:rFonts w:hint="eastAsia" w:ascii="Times New Roman" w:hAnsi="Times New Roman" w:eastAsia="宋体" w:cs="Times New Roman"/>
                <w:b/>
                <w:bCs/>
                <w:color w:val="000000"/>
                <w:szCs w:val="24"/>
              </w:rPr>
            </w:pPr>
            <w:r>
              <w:rPr>
                <w:rFonts w:hint="eastAsia" w:ascii="Times New Roman" w:hAnsi="Times New Roman" w:eastAsia="宋体" w:cs="Times New Roman"/>
                <w:b/>
                <w:bCs/>
                <w:color w:val="000000"/>
                <w:szCs w:val="24"/>
              </w:rPr>
              <w:t>多个设备同时作业的总等效连续声级：</w:t>
            </w:r>
          </w:p>
          <w:p>
            <w:pPr>
              <w:pStyle w:val="11"/>
              <w:adjustRightInd w:val="0"/>
              <w:snapToGrid w:val="0"/>
              <w:spacing w:after="0" w:line="360" w:lineRule="auto"/>
              <w:ind w:left="0" w:leftChars="0" w:firstLine="480" w:firstLineChars="200"/>
              <w:jc w:val="center"/>
              <w:rPr>
                <w:rFonts w:hint="eastAsia" w:ascii="Times New Roman" w:hAnsi="Times New Roman" w:eastAsia="宋体" w:cs="Times New Roman"/>
                <w:b/>
                <w:bCs/>
                <w:color w:val="000000"/>
                <w:szCs w:val="24"/>
              </w:rPr>
            </w:pPr>
            <w:r>
              <w:rPr>
                <w:rFonts w:hint="default"/>
                <w:color w:val="auto"/>
                <w:position w:val="-30"/>
                <w:szCs w:val="21"/>
              </w:rPr>
              <w:object>
                <v:shape id="_x0000_i1025" o:spt="75" type="#_x0000_t75" style="height:36.3pt;width:163pt;" o:ole="t" filled="f" o:preferrelative="t" stroked="f" coordsize="21600,21600">
                  <v:path/>
                  <v:fill on="f" focussize="0,0"/>
                  <v:stroke on="f" joinstyle="miter"/>
                  <v:imagedata r:id="rId22" o:title=""/>
                  <o:lock v:ext="edit" aspectratio="t"/>
                  <w10:wrap type="none"/>
                  <w10:anchorlock/>
                </v:shape>
                <o:OLEObject Type="Embed" ProgID="Equation.KSEE3" ShapeID="_x0000_i1025" DrawAspect="Content" ObjectID="_1468075725" r:id="rId21">
                  <o:LockedField>false</o:LockedField>
                </o:OLEObject>
              </w:object>
            </w:r>
          </w:p>
          <w:p>
            <w:pPr>
              <w:pStyle w:val="11"/>
              <w:adjustRightInd w:val="0"/>
              <w:snapToGrid w:val="0"/>
              <w:spacing w:after="0" w:line="360" w:lineRule="auto"/>
              <w:ind w:left="0" w:leftChars="0" w:firstLine="480" w:firstLineChars="200"/>
              <w:jc w:val="left"/>
              <w:rPr>
                <w:rFonts w:hint="default" w:ascii="Times New Roman" w:hAnsi="Times New Roman" w:eastAsia="宋体" w:cs="Times New Roman"/>
                <w:b w:val="0"/>
                <w:bCs w:val="0"/>
                <w:color w:val="000000"/>
                <w:szCs w:val="24"/>
              </w:rPr>
            </w:pPr>
            <w:r>
              <w:rPr>
                <w:rFonts w:hint="default" w:ascii="Times New Roman" w:hAnsi="Times New Roman" w:eastAsia="宋体" w:cs="Times New Roman"/>
                <w:b w:val="0"/>
                <w:bCs w:val="0"/>
                <w:color w:val="000000"/>
                <w:szCs w:val="24"/>
              </w:rPr>
              <w:t>式中：Leq（T）——总等效连续声级</w:t>
            </w:r>
          </w:p>
          <w:p>
            <w:pPr>
              <w:pStyle w:val="11"/>
              <w:adjustRightInd w:val="0"/>
              <w:snapToGrid w:val="0"/>
              <w:spacing w:after="0" w:line="360" w:lineRule="auto"/>
              <w:ind w:left="0" w:leftChars="0" w:firstLine="480" w:firstLineChars="200"/>
              <w:jc w:val="left"/>
              <w:rPr>
                <w:rFonts w:hint="default" w:ascii="Times New Roman" w:hAnsi="Times New Roman" w:eastAsia="宋体" w:cs="Times New Roman"/>
                <w:b w:val="0"/>
                <w:bCs w:val="0"/>
                <w:color w:val="000000"/>
                <w:szCs w:val="24"/>
              </w:rPr>
            </w:pPr>
            <w:r>
              <w:rPr>
                <w:rFonts w:hint="default" w:ascii="Times New Roman" w:hAnsi="Times New Roman" w:eastAsia="宋体" w:cs="Times New Roman"/>
                <w:b w:val="0"/>
                <w:bCs w:val="0"/>
                <w:color w:val="000000"/>
                <w:szCs w:val="24"/>
              </w:rPr>
              <w:t>ti——第i个设备在预测点的噪声作用时间（在T时间内）</w:t>
            </w:r>
          </w:p>
          <w:p>
            <w:pPr>
              <w:pStyle w:val="11"/>
              <w:adjustRightInd w:val="0"/>
              <w:snapToGrid w:val="0"/>
              <w:spacing w:after="0" w:line="360" w:lineRule="auto"/>
              <w:ind w:left="0" w:leftChars="0" w:firstLine="480" w:firstLineChars="200"/>
              <w:jc w:val="left"/>
              <w:rPr>
                <w:rFonts w:hint="default" w:ascii="Times New Roman" w:hAnsi="Times New Roman" w:eastAsia="宋体" w:cs="Times New Roman"/>
                <w:b w:val="0"/>
                <w:bCs w:val="0"/>
                <w:color w:val="000000"/>
                <w:szCs w:val="24"/>
              </w:rPr>
            </w:pPr>
            <w:r>
              <w:rPr>
                <w:rFonts w:hint="default" w:ascii="Times New Roman" w:hAnsi="Times New Roman" w:eastAsia="宋体" w:cs="Times New Roman"/>
                <w:b w:val="0"/>
                <w:bCs w:val="0"/>
                <w:color w:val="000000"/>
                <w:szCs w:val="24"/>
              </w:rPr>
              <w:t>LPi——第i个设备在预测点产生的A声级</w:t>
            </w:r>
          </w:p>
          <w:p>
            <w:pPr>
              <w:pStyle w:val="11"/>
              <w:adjustRightInd w:val="0"/>
              <w:snapToGrid w:val="0"/>
              <w:spacing w:after="0" w:line="360" w:lineRule="auto"/>
              <w:ind w:left="0" w:leftChars="0" w:firstLine="480" w:firstLineChars="200"/>
              <w:jc w:val="left"/>
              <w:rPr>
                <w:rFonts w:hint="default" w:ascii="Times New Roman" w:hAnsi="Times New Roman" w:eastAsia="宋体" w:cs="Times New Roman"/>
                <w:b w:val="0"/>
                <w:bCs w:val="0"/>
                <w:color w:val="000000"/>
                <w:szCs w:val="24"/>
              </w:rPr>
            </w:pPr>
            <w:r>
              <w:rPr>
                <w:rFonts w:hint="default" w:ascii="Times New Roman" w:hAnsi="Times New Roman" w:eastAsia="宋体" w:cs="Times New Roman"/>
                <w:b w:val="0"/>
                <w:bCs w:val="0"/>
                <w:color w:val="000000"/>
                <w:szCs w:val="24"/>
              </w:rPr>
              <w:t>T——计算等效声级的时间</w:t>
            </w:r>
          </w:p>
          <w:p>
            <w:pPr>
              <w:pStyle w:val="11"/>
              <w:adjustRightInd w:val="0"/>
              <w:snapToGrid w:val="0"/>
              <w:spacing w:after="0" w:line="360" w:lineRule="auto"/>
              <w:ind w:left="0" w:leftChars="0" w:firstLine="480" w:firstLineChars="200"/>
              <w:jc w:val="left"/>
              <w:rPr>
                <w:rFonts w:hint="default" w:ascii="Times New Roman" w:hAnsi="Times New Roman" w:eastAsia="宋体" w:cs="Times New Roman"/>
                <w:b w:val="0"/>
                <w:bCs w:val="0"/>
                <w:color w:val="000000"/>
                <w:szCs w:val="24"/>
              </w:rPr>
            </w:pPr>
            <w:r>
              <w:rPr>
                <w:rFonts w:hint="default" w:ascii="Times New Roman" w:hAnsi="Times New Roman" w:eastAsia="宋体" w:cs="Times New Roman"/>
                <w:b w:val="0"/>
                <w:bCs w:val="0"/>
                <w:color w:val="000000"/>
                <w:szCs w:val="24"/>
              </w:rPr>
              <w:t>将表4-</w:t>
            </w:r>
            <w:r>
              <w:rPr>
                <w:rFonts w:hint="eastAsia" w:ascii="Times New Roman" w:hAnsi="Times New Roman" w:eastAsia="宋体" w:cs="Times New Roman"/>
                <w:b w:val="0"/>
                <w:bCs w:val="0"/>
                <w:color w:val="000000"/>
                <w:szCs w:val="24"/>
                <w:lang w:val="en-US" w:eastAsia="zh-CN"/>
              </w:rPr>
              <w:t>17</w:t>
            </w:r>
            <w:r>
              <w:rPr>
                <w:rFonts w:hint="default" w:ascii="Times New Roman" w:hAnsi="Times New Roman" w:eastAsia="宋体" w:cs="Times New Roman"/>
                <w:b w:val="0"/>
                <w:bCs w:val="0"/>
                <w:color w:val="000000"/>
                <w:szCs w:val="24"/>
              </w:rPr>
              <w:t>项目设备等效叠加后的源强输入上公式，得出</w:t>
            </w:r>
            <w:r>
              <w:rPr>
                <w:rFonts w:hint="default" w:ascii="Times New Roman" w:hAnsi="Times New Roman" w:eastAsia="宋体" w:cs="Times New Roman"/>
                <w:b w:val="0"/>
                <w:bCs w:val="0"/>
                <w:color w:val="000000"/>
                <w:szCs w:val="24"/>
                <w:lang w:val="en-US" w:eastAsia="zh-CN"/>
              </w:rPr>
              <w:t>项目</w:t>
            </w:r>
            <w:r>
              <w:rPr>
                <w:rFonts w:hint="default" w:ascii="Times New Roman" w:hAnsi="Times New Roman" w:eastAsia="宋体" w:cs="Times New Roman"/>
                <w:b w:val="0"/>
                <w:bCs w:val="0"/>
                <w:color w:val="000000"/>
                <w:szCs w:val="24"/>
              </w:rPr>
              <w:t>多台设备同时作业的总等效连续A声级约为</w:t>
            </w:r>
            <w:r>
              <w:rPr>
                <w:rFonts w:hint="default" w:ascii="Times New Roman" w:hAnsi="Times New Roman" w:eastAsia="宋体" w:cs="Times New Roman"/>
                <w:b w:val="0"/>
                <w:bCs w:val="0"/>
                <w:color w:val="000000"/>
                <w:szCs w:val="24"/>
                <w:lang w:val="en-US" w:eastAsia="zh-CN"/>
              </w:rPr>
              <w:t>95</w:t>
            </w:r>
            <w:r>
              <w:rPr>
                <w:rFonts w:hint="default" w:ascii="Times New Roman" w:hAnsi="Times New Roman" w:eastAsia="宋体" w:cs="Times New Roman"/>
                <w:b w:val="0"/>
                <w:bCs w:val="0"/>
                <w:color w:val="000000"/>
                <w:szCs w:val="24"/>
              </w:rPr>
              <w:t>dB（A）。</w:t>
            </w:r>
          </w:p>
          <w:p>
            <w:pPr>
              <w:pStyle w:val="11"/>
              <w:adjustRightInd w:val="0"/>
              <w:snapToGrid w:val="0"/>
              <w:spacing w:after="0" w:line="360" w:lineRule="auto"/>
              <w:ind w:left="0" w:leftChars="0" w:firstLine="482" w:firstLineChars="200"/>
              <w:jc w:val="left"/>
              <w:rPr>
                <w:rFonts w:ascii="Times New Roman" w:hAnsi="Times New Roman" w:eastAsia="宋体" w:cs="Times New Roman"/>
                <w:b/>
                <w:bCs/>
                <w:color w:val="000000"/>
                <w:szCs w:val="24"/>
              </w:rPr>
            </w:pPr>
            <w:r>
              <w:rPr>
                <w:rFonts w:ascii="Times New Roman" w:hAnsi="Times New Roman" w:eastAsia="宋体" w:cs="Times New Roman"/>
                <w:b/>
                <w:bCs/>
                <w:color w:val="000000"/>
                <w:szCs w:val="24"/>
              </w:rPr>
              <w:t>2、噪声防治措施</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为进一步减少项目运营期噪声的环境影响，本项目采取以下措施：</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①选用低噪声设备，做好设备保养，保持设备运行良好；</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②合理布置各设备位置，污水处理设备在院区角落，普通医疗设备设置于室内建构筑物内，通过墙体阻隔降噪。</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③加强职工环保意识教育，提倡文明生产，防止人为噪声，院区内做好人员管理，禁止职工和病患大声喧哗。</w:t>
            </w:r>
          </w:p>
          <w:p>
            <w:pPr>
              <w:pStyle w:val="11"/>
              <w:adjustRightInd w:val="0"/>
              <w:snapToGrid w:val="0"/>
              <w:spacing w:after="0" w:line="360" w:lineRule="auto"/>
              <w:ind w:left="0" w:leftChars="0" w:firstLine="482" w:firstLineChars="200"/>
              <w:jc w:val="left"/>
              <w:rPr>
                <w:rFonts w:ascii="Times New Roman" w:hAnsi="Times New Roman" w:eastAsia="宋体" w:cs="Times New Roman"/>
                <w:b/>
                <w:bCs/>
                <w:color w:val="000000"/>
                <w:szCs w:val="24"/>
              </w:rPr>
            </w:pPr>
            <w:r>
              <w:rPr>
                <w:rFonts w:ascii="Times New Roman" w:hAnsi="Times New Roman" w:eastAsia="宋体" w:cs="Times New Roman"/>
                <w:b/>
                <w:bCs/>
                <w:color w:val="000000"/>
                <w:szCs w:val="24"/>
              </w:rPr>
              <w:t>3、噪声达标分析</w:t>
            </w:r>
          </w:p>
          <w:p>
            <w:pPr>
              <w:pStyle w:val="11"/>
              <w:adjustRightInd w:val="0"/>
              <w:snapToGrid w:val="0"/>
              <w:spacing w:line="360" w:lineRule="auto"/>
              <w:ind w:left="0" w:leftChars="0" w:firstLine="480" w:firstLineChars="200"/>
              <w:rPr>
                <w:rFonts w:ascii="Times New Roman" w:hAnsi="Times New Roman" w:eastAsia="宋体" w:cs="Times New Roman"/>
                <w:color w:val="000000"/>
                <w:szCs w:val="24"/>
              </w:rPr>
            </w:pPr>
            <w:r>
              <w:rPr>
                <w:rStyle w:val="34"/>
                <w:rFonts w:ascii="Times New Roman" w:hAnsi="Times New Roman" w:eastAsia="宋体" w:cs="Times New Roman"/>
                <w:color w:val="000000"/>
                <w:sz w:val="24"/>
                <w:szCs w:val="24"/>
              </w:rPr>
              <w:t>1）</w:t>
            </w:r>
            <w:r>
              <w:rPr>
                <w:rFonts w:ascii="Times New Roman" w:hAnsi="Times New Roman" w:eastAsia="宋体" w:cs="Times New Roman"/>
                <w:color w:val="000000"/>
                <w:szCs w:val="24"/>
              </w:rPr>
              <w:t>对户外声传播衰减主要考虑噪声的几何发散衰减、声屏障、空气吸收等环境因素衰减：</w:t>
            </w:r>
          </w:p>
          <w:p>
            <w:pPr>
              <w:pStyle w:val="11"/>
              <w:adjustRightInd w:val="0"/>
              <w:snapToGrid w:val="0"/>
              <w:spacing w:after="0" w:line="360" w:lineRule="auto"/>
              <w:ind w:left="0" w:leftChars="0" w:firstLine="480" w:firstLineChars="200"/>
              <w:rPr>
                <w:rStyle w:val="34"/>
                <w:rFonts w:ascii="Times New Roman" w:hAnsi="Times New Roman" w:eastAsia="宋体" w:cs="Times New Roman"/>
                <w:color w:val="000000"/>
                <w:sz w:val="24"/>
                <w:szCs w:val="24"/>
              </w:rPr>
            </w:pPr>
            <w:r>
              <w:rPr>
                <w:rFonts w:ascii="Times New Roman" w:hAnsi="Times New Roman" w:eastAsia="宋体" w:cs="Times New Roman"/>
                <w:color w:val="000000"/>
                <w:szCs w:val="24"/>
              </w:rPr>
              <w:drawing>
                <wp:inline distT="0" distB="0" distL="114300" distR="114300">
                  <wp:extent cx="1633855" cy="563245"/>
                  <wp:effectExtent l="0" t="0" r="4445" b="762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3"/>
                          <a:stretch>
                            <a:fillRect/>
                          </a:stretch>
                        </pic:blipFill>
                        <pic:spPr>
                          <a:xfrm>
                            <a:off x="0" y="0"/>
                            <a:ext cx="1633855" cy="563245"/>
                          </a:xfrm>
                          <a:prstGeom prst="rect">
                            <a:avLst/>
                          </a:prstGeom>
                          <a:noFill/>
                          <a:ln>
                            <a:noFill/>
                          </a:ln>
                        </pic:spPr>
                      </pic:pic>
                    </a:graphicData>
                  </a:graphic>
                </wp:inline>
              </w:drawing>
            </w:r>
          </w:p>
          <w:p>
            <w:pPr>
              <w:spacing w:line="360" w:lineRule="auto"/>
              <w:ind w:firstLine="480"/>
              <w:rPr>
                <w:rFonts w:ascii="Times New Roman" w:hAnsi="Times New Roman" w:eastAsia="宋体" w:cs="Times New Roman"/>
                <w:color w:val="000000"/>
                <w:sz w:val="24"/>
              </w:rPr>
            </w:pPr>
            <w:r>
              <w:rPr>
                <w:rStyle w:val="34"/>
                <w:rFonts w:ascii="Times New Roman" w:hAnsi="Times New Roman" w:eastAsia="宋体" w:cs="Times New Roman"/>
                <w:color w:val="000000"/>
                <w:sz w:val="24"/>
              </w:rPr>
              <w:t>式中：</w:t>
            </w:r>
            <w:r>
              <w:rPr>
                <w:rFonts w:ascii="Times New Roman" w:hAnsi="Times New Roman" w:eastAsia="宋体" w:cs="Times New Roman"/>
                <w:i/>
                <w:color w:val="000000"/>
                <w:sz w:val="24"/>
              </w:rPr>
              <w:t>Lp</w:t>
            </w:r>
            <w:r>
              <w:rPr>
                <w:rFonts w:ascii="Times New Roman" w:hAnsi="Times New Roman" w:eastAsia="宋体" w:cs="Times New Roman"/>
                <w:color w:val="000000"/>
                <w:sz w:val="24"/>
              </w:rPr>
              <w:t>一距声源r米处的施工噪声预测值，dB（A）；</w:t>
            </w:r>
          </w:p>
          <w:p>
            <w:pPr>
              <w:pStyle w:val="11"/>
              <w:adjustRightInd w:val="0"/>
              <w:snapToGrid w:val="0"/>
              <w:spacing w:after="0" w:line="360" w:lineRule="auto"/>
              <w:ind w:left="630" w:leftChars="300" w:firstLine="480" w:firstLineChars="200"/>
              <w:rPr>
                <w:rStyle w:val="34"/>
                <w:rFonts w:ascii="Times New Roman" w:hAnsi="Times New Roman" w:eastAsia="宋体" w:cs="Times New Roman"/>
                <w:color w:val="000000"/>
                <w:sz w:val="24"/>
                <w:szCs w:val="24"/>
              </w:rPr>
            </w:pPr>
            <w:r>
              <w:rPr>
                <w:rFonts w:ascii="Times New Roman" w:hAnsi="Times New Roman" w:eastAsia="宋体" w:cs="Times New Roman"/>
                <w:i/>
                <w:color w:val="000000"/>
                <w:szCs w:val="24"/>
              </w:rPr>
              <w:t>Lp</w:t>
            </w:r>
            <w:r>
              <w:rPr>
                <w:rFonts w:ascii="Times New Roman" w:hAnsi="Times New Roman" w:eastAsia="宋体" w:cs="Times New Roman"/>
                <w:i/>
                <w:color w:val="000000"/>
                <w:szCs w:val="24"/>
                <w:vertAlign w:val="subscript"/>
              </w:rPr>
              <w:t>0</w:t>
            </w:r>
            <w:r>
              <w:rPr>
                <w:rFonts w:ascii="Times New Roman" w:hAnsi="Times New Roman" w:eastAsia="宋体" w:cs="Times New Roman"/>
                <w:color w:val="000000"/>
                <w:szCs w:val="24"/>
              </w:rPr>
              <w:t>一距声源r</w:t>
            </w:r>
            <w:r>
              <w:rPr>
                <w:rFonts w:ascii="Times New Roman" w:hAnsi="Times New Roman" w:eastAsia="宋体" w:cs="Times New Roman"/>
                <w:color w:val="000000"/>
                <w:szCs w:val="24"/>
                <w:vertAlign w:val="subscript"/>
              </w:rPr>
              <w:t>0</w:t>
            </w:r>
            <w:r>
              <w:rPr>
                <w:rFonts w:ascii="Times New Roman" w:hAnsi="Times New Roman" w:eastAsia="宋体" w:cs="Times New Roman"/>
                <w:color w:val="000000"/>
                <w:szCs w:val="24"/>
              </w:rPr>
              <w:t>米处的参考声级，dB（A）。</w:t>
            </w:r>
          </w:p>
          <w:p>
            <w:pPr>
              <w:pStyle w:val="11"/>
              <w:adjustRightInd w:val="0"/>
              <w:snapToGrid w:val="0"/>
              <w:spacing w:after="0" w:line="360" w:lineRule="auto"/>
              <w:ind w:left="0" w:leftChars="0" w:firstLine="480" w:firstLineChars="200"/>
              <w:rPr>
                <w:rStyle w:val="34"/>
                <w:rFonts w:ascii="Times New Roman" w:hAnsi="Times New Roman" w:eastAsia="宋体" w:cs="Times New Roman"/>
                <w:color w:val="000000"/>
                <w:sz w:val="24"/>
                <w:szCs w:val="24"/>
              </w:rPr>
            </w:pPr>
            <w:r>
              <w:rPr>
                <w:rStyle w:val="34"/>
                <w:rFonts w:ascii="Times New Roman" w:hAnsi="Times New Roman" w:eastAsia="宋体" w:cs="Times New Roman"/>
                <w:color w:val="000000"/>
                <w:sz w:val="24"/>
                <w:szCs w:val="24"/>
              </w:rPr>
              <w:t>2）对两个以上多个声源同时存在时，多点源叠加计算总源强，采用如下公式：</w:t>
            </w:r>
          </w:p>
          <w:p>
            <w:pPr>
              <w:pStyle w:val="11"/>
              <w:adjustRightInd w:val="0"/>
              <w:snapToGrid w:val="0"/>
              <w:spacing w:after="0" w:line="360" w:lineRule="auto"/>
              <w:ind w:left="0" w:leftChars="0" w:firstLine="480" w:firstLineChars="200"/>
              <w:rPr>
                <w:rStyle w:val="34"/>
                <w:rFonts w:ascii="Times New Roman" w:hAnsi="Times New Roman" w:eastAsia="宋体" w:cs="Times New Roman"/>
                <w:color w:val="000000"/>
                <w:sz w:val="24"/>
                <w:szCs w:val="24"/>
              </w:rPr>
            </w:pPr>
            <w:r>
              <w:rPr>
                <w:rStyle w:val="34"/>
                <w:rFonts w:ascii="Times New Roman" w:hAnsi="Times New Roman" w:eastAsia="宋体" w:cs="Times New Roman"/>
                <w:bCs/>
                <w:color w:val="000000"/>
                <w:sz w:val="24"/>
                <w:szCs w:val="24"/>
              </w:rPr>
              <w:object>
                <v:shape id="_x0000_i1026" o:spt="75" type="#_x0000_t75" style="height:27.6pt;width:191.4pt;" o:ole="t" filled="f" o:preferrelative="t" stroked="f" coordsize="21600,21600">
                  <v:path/>
                  <v:fill on="f" focussize="0,0"/>
                  <v:stroke on="f" joinstyle="miter"/>
                  <v:imagedata r:id="rId25" o:title=""/>
                  <o:lock v:ext="edit" aspectratio="t"/>
                  <w10:wrap type="none"/>
                  <w10:anchorlock/>
                </v:shape>
                <o:OLEObject Type="Embed" ProgID="Equation.DSMT4" ShapeID="_x0000_i1026" DrawAspect="Content" ObjectID="_1468075726" r:id="rId24">
                  <o:LockedField>false</o:LockedField>
                </o:OLEObject>
              </w:object>
            </w:r>
          </w:p>
          <w:p>
            <w:pPr>
              <w:pStyle w:val="11"/>
              <w:adjustRightInd w:val="0"/>
              <w:snapToGrid w:val="0"/>
              <w:spacing w:after="0" w:line="360" w:lineRule="auto"/>
              <w:ind w:left="0" w:leftChars="0" w:firstLine="480" w:firstLineChars="200"/>
              <w:rPr>
                <w:rStyle w:val="34"/>
                <w:rFonts w:ascii="Times New Roman" w:hAnsi="Times New Roman" w:eastAsia="宋体" w:cs="Times New Roman"/>
                <w:color w:val="000000"/>
                <w:sz w:val="24"/>
                <w:szCs w:val="24"/>
              </w:rPr>
            </w:pPr>
            <w:r>
              <w:rPr>
                <w:rStyle w:val="34"/>
                <w:rFonts w:ascii="Times New Roman" w:hAnsi="Times New Roman" w:eastAsia="宋体" w:cs="Times New Roman"/>
                <w:color w:val="000000"/>
                <w:sz w:val="24"/>
                <w:szCs w:val="24"/>
              </w:rPr>
              <w:t>式中：Leq—预测点的总等效声级，dB(A)；</w:t>
            </w:r>
          </w:p>
          <w:p>
            <w:pPr>
              <w:pStyle w:val="11"/>
              <w:adjustRightInd w:val="0"/>
              <w:snapToGrid w:val="0"/>
              <w:spacing w:after="0" w:line="360" w:lineRule="auto"/>
              <w:ind w:left="630" w:leftChars="300" w:firstLine="480" w:firstLineChars="200"/>
              <w:rPr>
                <w:rStyle w:val="34"/>
                <w:rFonts w:ascii="Times New Roman" w:hAnsi="Times New Roman" w:eastAsia="宋体" w:cs="Times New Roman"/>
                <w:color w:val="000000"/>
                <w:sz w:val="24"/>
                <w:szCs w:val="24"/>
              </w:rPr>
            </w:pPr>
            <w:r>
              <w:rPr>
                <w:rStyle w:val="34"/>
                <w:rFonts w:ascii="Times New Roman" w:hAnsi="Times New Roman" w:eastAsia="宋体" w:cs="Times New Roman"/>
                <w:color w:val="000000"/>
                <w:sz w:val="24"/>
                <w:szCs w:val="24"/>
              </w:rPr>
              <w:t>Li—第i个声源对预测点的声级影响，dB(A)；</w:t>
            </w:r>
          </w:p>
          <w:p>
            <w:pPr>
              <w:pStyle w:val="20"/>
              <w:spacing w:before="0" w:after="0" w:line="360" w:lineRule="auto"/>
              <w:ind w:right="0" w:firstLine="480" w:firstLineChars="200"/>
              <w:rPr>
                <w:rFonts w:ascii="Times New Roman" w:hAnsi="Times New Roman" w:eastAsia="宋体" w:cs="Times New Roman"/>
                <w:b/>
                <w:bCs/>
                <w:color w:val="000000"/>
                <w:sz w:val="24"/>
              </w:rPr>
            </w:pPr>
            <w:r>
              <w:rPr>
                <w:rFonts w:ascii="Times New Roman" w:hAnsi="Times New Roman" w:eastAsia="宋体" w:cs="Times New Roman"/>
                <w:color w:val="000000"/>
                <w:sz w:val="24"/>
                <w:szCs w:val="24"/>
              </w:rPr>
              <w:t>采用《声环境质量标准》（GB3096-2008）评价运营期噪声对周边环境敏感点的影响。本次评价以最不利情况下，所有设备均同时运行，经噪声叠加，可得到项目不同距离的噪声贡献值，详见下表：</w:t>
            </w:r>
          </w:p>
          <w:p>
            <w:pPr>
              <w:widowControl/>
              <w:spacing w:line="360" w:lineRule="auto"/>
              <w:jc w:val="center"/>
              <w:rPr>
                <w:rFonts w:ascii="Times New Roman" w:hAnsi="Times New Roman" w:eastAsia="宋体" w:cs="Times New Roman"/>
                <w:b/>
                <w:bCs/>
                <w:color w:val="000000"/>
                <w:sz w:val="24"/>
              </w:rPr>
            </w:pPr>
          </w:p>
          <w:p>
            <w:pPr>
              <w:widowControl/>
              <w:spacing w:line="360" w:lineRule="auto"/>
              <w:jc w:val="center"/>
              <w:rPr>
                <w:rFonts w:ascii="Times New Roman" w:hAnsi="Times New Roman" w:eastAsia="宋体" w:cs="Times New Roman"/>
                <w:b/>
                <w:bCs/>
                <w:color w:val="000000"/>
                <w:sz w:val="24"/>
              </w:rPr>
            </w:pPr>
          </w:p>
          <w:p>
            <w:pPr>
              <w:widowControl/>
              <w:spacing w:line="360" w:lineRule="auto"/>
              <w:jc w:val="center"/>
              <w:rPr>
                <w:rFonts w:ascii="Times New Roman" w:hAnsi="Times New Roman" w:eastAsia="宋体" w:cs="Times New Roman"/>
                <w:b/>
                <w:bCs/>
                <w:color w:val="000000"/>
                <w:sz w:val="24"/>
              </w:rPr>
            </w:pPr>
          </w:p>
          <w:p>
            <w:pPr>
              <w:widowControl/>
              <w:spacing w:line="360" w:lineRule="auto"/>
              <w:jc w:val="center"/>
              <w:rPr>
                <w:rFonts w:ascii="Times New Roman" w:hAnsi="Times New Roman" w:eastAsia="宋体" w:cs="Times New Roman"/>
                <w:b/>
                <w:bCs/>
                <w:color w:val="000000"/>
                <w:sz w:val="24"/>
              </w:rPr>
            </w:pP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表4-1</w:t>
            </w:r>
            <w:r>
              <w:rPr>
                <w:rFonts w:hint="eastAsia" w:ascii="Times New Roman" w:hAnsi="Times New Roman" w:eastAsia="宋体" w:cs="Times New Roman"/>
                <w:b/>
                <w:bCs/>
                <w:color w:val="000000"/>
                <w:sz w:val="24"/>
                <w:lang w:val="en-US" w:eastAsia="zh-CN"/>
              </w:rPr>
              <w:t>8</w:t>
            </w:r>
            <w:r>
              <w:rPr>
                <w:rFonts w:ascii="Times New Roman" w:hAnsi="Times New Roman" w:eastAsia="宋体" w:cs="Times New Roman"/>
                <w:b/>
                <w:bCs/>
                <w:color w:val="000000"/>
                <w:sz w:val="24"/>
              </w:rPr>
              <w:t>噪声预测结果单位：等效声级</w:t>
            </w:r>
            <w:r>
              <w:rPr>
                <w:rFonts w:hint="eastAsia" w:ascii="Times New Roman" w:hAnsi="Times New Roman" w:eastAsia="宋体" w:cs="Times New Roman"/>
                <w:b/>
                <w:bCs/>
                <w:color w:val="000000"/>
                <w:sz w:val="24"/>
              </w:rPr>
              <w:t>[</w:t>
            </w:r>
            <w:r>
              <w:rPr>
                <w:rFonts w:ascii="Times New Roman" w:hAnsi="Times New Roman" w:eastAsia="宋体" w:cs="Times New Roman"/>
                <w:b/>
                <w:bCs/>
                <w:color w:val="000000"/>
                <w:sz w:val="24"/>
              </w:rPr>
              <w:t>dB</w:t>
            </w:r>
            <w:r>
              <w:rPr>
                <w:rFonts w:hint="eastAsia" w:ascii="Times New Roman" w:hAnsi="Times New Roman" w:eastAsia="宋体" w:cs="Times New Roman"/>
                <w:b/>
                <w:bCs/>
                <w:color w:val="000000"/>
                <w:sz w:val="24"/>
              </w:rPr>
              <w:t>（A）]</w:t>
            </w:r>
          </w:p>
          <w:tbl>
            <w:tblPr>
              <w:tblStyle w:val="29"/>
              <w:tblW w:w="4997" w:type="pct"/>
              <w:jc w:val="center"/>
              <w:tblLayout w:type="autofit"/>
              <w:tblCellMar>
                <w:top w:w="0" w:type="dxa"/>
                <w:left w:w="108" w:type="dxa"/>
                <w:bottom w:w="0" w:type="dxa"/>
                <w:right w:w="108" w:type="dxa"/>
              </w:tblCellMar>
            </w:tblPr>
            <w:tblGrid>
              <w:gridCol w:w="673"/>
              <w:gridCol w:w="752"/>
              <w:gridCol w:w="867"/>
              <w:gridCol w:w="1065"/>
              <w:gridCol w:w="764"/>
              <w:gridCol w:w="782"/>
              <w:gridCol w:w="1034"/>
              <w:gridCol w:w="1210"/>
              <w:gridCol w:w="867"/>
              <w:gridCol w:w="679"/>
            </w:tblGrid>
            <w:tr>
              <w:tblPrEx>
                <w:tblCellMar>
                  <w:top w:w="0" w:type="dxa"/>
                  <w:left w:w="108" w:type="dxa"/>
                  <w:bottom w:w="0" w:type="dxa"/>
                  <w:right w:w="108" w:type="dxa"/>
                </w:tblCellMar>
              </w:tblPrEx>
              <w:trPr>
                <w:trHeight w:val="570" w:hRule="atLeast"/>
                <w:jc w:val="center"/>
              </w:trPr>
              <w:tc>
                <w:tcPr>
                  <w:tcW w:w="387" w:type="pct"/>
                  <w:tcBorders>
                    <w:top w:val="single" w:color="000000" w:sz="12"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序号</w:t>
                  </w:r>
                </w:p>
              </w:tc>
              <w:tc>
                <w:tcPr>
                  <w:tcW w:w="432" w:type="pct"/>
                  <w:tcBorders>
                    <w:top w:val="single" w:color="000000" w:sz="12"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预测点位置</w:t>
                  </w:r>
                </w:p>
              </w:tc>
              <w:tc>
                <w:tcPr>
                  <w:tcW w:w="498" w:type="pct"/>
                  <w:tcBorders>
                    <w:top w:val="single" w:color="000000" w:sz="12"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预测点距离项目声源距离/m</w:t>
                  </w:r>
                </w:p>
              </w:tc>
              <w:tc>
                <w:tcPr>
                  <w:tcW w:w="612" w:type="pct"/>
                  <w:tcBorders>
                    <w:top w:val="single" w:color="000000" w:sz="12"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建筑隔声量dB（A）</w:t>
                  </w:r>
                </w:p>
              </w:tc>
              <w:tc>
                <w:tcPr>
                  <w:tcW w:w="439" w:type="pct"/>
                  <w:tcBorders>
                    <w:top w:val="single" w:color="000000" w:sz="12"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距离衰减后噪声贡献值</w:t>
                  </w:r>
                </w:p>
              </w:tc>
              <w:tc>
                <w:tcPr>
                  <w:tcW w:w="449" w:type="pct"/>
                  <w:tcBorders>
                    <w:top w:val="single" w:color="000000" w:sz="12"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时段</w:t>
                  </w:r>
                </w:p>
              </w:tc>
              <w:tc>
                <w:tcPr>
                  <w:tcW w:w="594" w:type="pct"/>
                  <w:tcBorders>
                    <w:top w:val="single" w:color="000000" w:sz="12"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背景值</w:t>
                  </w:r>
                </w:p>
              </w:tc>
              <w:tc>
                <w:tcPr>
                  <w:tcW w:w="695" w:type="pct"/>
                  <w:tcBorders>
                    <w:top w:val="single" w:color="000000" w:sz="12" w:space="0"/>
                    <w:left w:val="single" w:color="000000" w:sz="8" w:space="0"/>
                    <w:bottom w:val="nil"/>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预测值</w:t>
                  </w:r>
                </w:p>
              </w:tc>
              <w:tc>
                <w:tcPr>
                  <w:tcW w:w="498" w:type="pct"/>
                  <w:tcBorders>
                    <w:top w:val="single" w:color="000000" w:sz="12"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标准值</w:t>
                  </w:r>
                </w:p>
              </w:tc>
              <w:tc>
                <w:tcPr>
                  <w:tcW w:w="390" w:type="pct"/>
                  <w:tcBorders>
                    <w:top w:val="single" w:color="000000" w:sz="12"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达标情况</w:t>
                  </w:r>
                </w:p>
              </w:tc>
            </w:tr>
            <w:tr>
              <w:tblPrEx>
                <w:tblCellMar>
                  <w:top w:w="0" w:type="dxa"/>
                  <w:left w:w="108" w:type="dxa"/>
                  <w:bottom w:w="0" w:type="dxa"/>
                  <w:right w:w="108" w:type="dxa"/>
                </w:tblCellMar>
              </w:tblPrEx>
              <w:trPr>
                <w:trHeight w:val="285" w:hRule="atLeast"/>
                <w:jc w:val="center"/>
              </w:trPr>
              <w:tc>
                <w:tcPr>
                  <w:tcW w:w="387"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1</w:t>
                  </w:r>
                </w:p>
              </w:tc>
              <w:tc>
                <w:tcPr>
                  <w:tcW w:w="432"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东侧厂界</w:t>
                  </w:r>
                </w:p>
              </w:tc>
              <w:tc>
                <w:tcPr>
                  <w:tcW w:w="498"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35</w:t>
                  </w:r>
                </w:p>
              </w:tc>
              <w:tc>
                <w:tcPr>
                  <w:tcW w:w="612"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25</w:t>
                  </w:r>
                </w:p>
              </w:tc>
              <w:tc>
                <w:tcPr>
                  <w:tcW w:w="439"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kern w:val="0"/>
                      <w:szCs w:val="21"/>
                      <w:lang w:val="en-US" w:eastAsia="zh-CN" w:bidi="ar"/>
                    </w:rPr>
                    <w:t>39.1</w:t>
                  </w: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昼间</w:t>
                  </w:r>
                </w:p>
              </w:tc>
              <w:tc>
                <w:tcPr>
                  <w:tcW w:w="594" w:type="pc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52.5</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52.69 </w:t>
                  </w:r>
                </w:p>
              </w:tc>
              <w:tc>
                <w:tcPr>
                  <w:tcW w:w="498" w:type="pc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60</w:t>
                  </w:r>
                </w:p>
              </w:tc>
              <w:tc>
                <w:tcPr>
                  <w:tcW w:w="390"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达标</w:t>
                  </w:r>
                </w:p>
              </w:tc>
            </w:tr>
            <w:tr>
              <w:tblPrEx>
                <w:tblCellMar>
                  <w:top w:w="0" w:type="dxa"/>
                  <w:left w:w="108" w:type="dxa"/>
                  <w:bottom w:w="0" w:type="dxa"/>
                  <w:right w:w="108" w:type="dxa"/>
                </w:tblCellMar>
              </w:tblPrEx>
              <w:trPr>
                <w:trHeight w:val="285" w:hRule="atLeast"/>
                <w:jc w:val="center"/>
              </w:trPr>
              <w:tc>
                <w:tcPr>
                  <w:tcW w:w="387"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98"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c>
                <w:tcPr>
                  <w:tcW w:w="61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9"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夜间</w:t>
                  </w:r>
                </w:p>
              </w:tc>
              <w:tc>
                <w:tcPr>
                  <w:tcW w:w="59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43.5</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44.85 </w:t>
                  </w:r>
                </w:p>
              </w:tc>
              <w:tc>
                <w:tcPr>
                  <w:tcW w:w="498"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50</w:t>
                  </w:r>
                </w:p>
              </w:tc>
              <w:tc>
                <w:tcPr>
                  <w:tcW w:w="390"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r>
            <w:tr>
              <w:tblPrEx>
                <w:tblCellMar>
                  <w:top w:w="0" w:type="dxa"/>
                  <w:left w:w="108" w:type="dxa"/>
                  <w:bottom w:w="0" w:type="dxa"/>
                  <w:right w:w="108" w:type="dxa"/>
                </w:tblCellMar>
              </w:tblPrEx>
              <w:trPr>
                <w:trHeight w:val="285" w:hRule="atLeast"/>
                <w:jc w:val="center"/>
              </w:trPr>
              <w:tc>
                <w:tcPr>
                  <w:tcW w:w="387"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w:t>
                  </w:r>
                </w:p>
              </w:tc>
              <w:tc>
                <w:tcPr>
                  <w:tcW w:w="432"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南侧厂界</w:t>
                  </w:r>
                </w:p>
              </w:tc>
              <w:tc>
                <w:tcPr>
                  <w:tcW w:w="498"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20</w:t>
                  </w:r>
                </w:p>
              </w:tc>
              <w:tc>
                <w:tcPr>
                  <w:tcW w:w="61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9"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kern w:val="0"/>
                      <w:szCs w:val="21"/>
                      <w:lang w:val="en-US" w:eastAsia="zh-CN" w:bidi="ar"/>
                    </w:rPr>
                    <w:t>44.0</w:t>
                  </w: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昼间</w:t>
                  </w:r>
                </w:p>
              </w:tc>
              <w:tc>
                <w:tcPr>
                  <w:tcW w:w="59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54.5</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54.87 </w:t>
                  </w:r>
                </w:p>
              </w:tc>
              <w:tc>
                <w:tcPr>
                  <w:tcW w:w="498" w:type="pc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60</w:t>
                  </w:r>
                </w:p>
              </w:tc>
              <w:tc>
                <w:tcPr>
                  <w:tcW w:w="390"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达标</w:t>
                  </w:r>
                </w:p>
              </w:tc>
            </w:tr>
            <w:tr>
              <w:tblPrEx>
                <w:tblCellMar>
                  <w:top w:w="0" w:type="dxa"/>
                  <w:left w:w="108" w:type="dxa"/>
                  <w:bottom w:w="0" w:type="dxa"/>
                  <w:right w:w="108" w:type="dxa"/>
                </w:tblCellMar>
              </w:tblPrEx>
              <w:trPr>
                <w:trHeight w:val="285" w:hRule="atLeast"/>
                <w:jc w:val="center"/>
              </w:trPr>
              <w:tc>
                <w:tcPr>
                  <w:tcW w:w="387"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98"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c>
                <w:tcPr>
                  <w:tcW w:w="61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9"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夜间</w:t>
                  </w:r>
                </w:p>
              </w:tc>
              <w:tc>
                <w:tcPr>
                  <w:tcW w:w="59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44.5</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47.27 </w:t>
                  </w:r>
                </w:p>
              </w:tc>
              <w:tc>
                <w:tcPr>
                  <w:tcW w:w="498"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50</w:t>
                  </w:r>
                </w:p>
              </w:tc>
              <w:tc>
                <w:tcPr>
                  <w:tcW w:w="390"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r>
            <w:tr>
              <w:tblPrEx>
                <w:tblCellMar>
                  <w:top w:w="0" w:type="dxa"/>
                  <w:left w:w="108" w:type="dxa"/>
                  <w:bottom w:w="0" w:type="dxa"/>
                  <w:right w:w="108" w:type="dxa"/>
                </w:tblCellMar>
              </w:tblPrEx>
              <w:trPr>
                <w:trHeight w:val="285" w:hRule="atLeast"/>
                <w:jc w:val="center"/>
              </w:trPr>
              <w:tc>
                <w:tcPr>
                  <w:tcW w:w="387"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3</w:t>
                  </w:r>
                </w:p>
              </w:tc>
              <w:tc>
                <w:tcPr>
                  <w:tcW w:w="432"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西侧厂界</w:t>
                  </w:r>
                </w:p>
              </w:tc>
              <w:tc>
                <w:tcPr>
                  <w:tcW w:w="498"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40</w:t>
                  </w:r>
                </w:p>
              </w:tc>
              <w:tc>
                <w:tcPr>
                  <w:tcW w:w="61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9"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kern w:val="0"/>
                      <w:szCs w:val="21"/>
                      <w:lang w:val="en-US" w:eastAsia="zh-CN" w:bidi="ar"/>
                    </w:rPr>
                    <w:t>38.0</w:t>
                  </w: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昼间</w:t>
                  </w:r>
                </w:p>
              </w:tc>
              <w:tc>
                <w:tcPr>
                  <w:tcW w:w="59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53.5</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53.62 </w:t>
                  </w:r>
                </w:p>
              </w:tc>
              <w:tc>
                <w:tcPr>
                  <w:tcW w:w="498" w:type="pc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60</w:t>
                  </w:r>
                </w:p>
              </w:tc>
              <w:tc>
                <w:tcPr>
                  <w:tcW w:w="390"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达标</w:t>
                  </w:r>
                </w:p>
              </w:tc>
            </w:tr>
            <w:tr>
              <w:tblPrEx>
                <w:tblCellMar>
                  <w:top w:w="0" w:type="dxa"/>
                  <w:left w:w="108" w:type="dxa"/>
                  <w:bottom w:w="0" w:type="dxa"/>
                  <w:right w:w="108" w:type="dxa"/>
                </w:tblCellMar>
              </w:tblPrEx>
              <w:trPr>
                <w:trHeight w:val="285" w:hRule="atLeast"/>
                <w:jc w:val="center"/>
              </w:trPr>
              <w:tc>
                <w:tcPr>
                  <w:tcW w:w="387"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98"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c>
                <w:tcPr>
                  <w:tcW w:w="61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9"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夜间</w:t>
                  </w:r>
                </w:p>
              </w:tc>
              <w:tc>
                <w:tcPr>
                  <w:tcW w:w="59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43.0</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44.19 </w:t>
                  </w:r>
                </w:p>
              </w:tc>
              <w:tc>
                <w:tcPr>
                  <w:tcW w:w="498"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50</w:t>
                  </w:r>
                </w:p>
              </w:tc>
              <w:tc>
                <w:tcPr>
                  <w:tcW w:w="390"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r>
            <w:tr>
              <w:tblPrEx>
                <w:tblCellMar>
                  <w:top w:w="0" w:type="dxa"/>
                  <w:left w:w="108" w:type="dxa"/>
                  <w:bottom w:w="0" w:type="dxa"/>
                  <w:right w:w="108" w:type="dxa"/>
                </w:tblCellMar>
              </w:tblPrEx>
              <w:trPr>
                <w:trHeight w:val="285" w:hRule="atLeast"/>
                <w:jc w:val="center"/>
              </w:trPr>
              <w:tc>
                <w:tcPr>
                  <w:tcW w:w="387"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w:t>
                  </w:r>
                </w:p>
              </w:tc>
              <w:tc>
                <w:tcPr>
                  <w:tcW w:w="432"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北侧厂界</w:t>
                  </w:r>
                </w:p>
              </w:tc>
              <w:tc>
                <w:tcPr>
                  <w:tcW w:w="498"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42</w:t>
                  </w:r>
                </w:p>
              </w:tc>
              <w:tc>
                <w:tcPr>
                  <w:tcW w:w="61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9"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kern w:val="0"/>
                      <w:szCs w:val="21"/>
                      <w:lang w:val="en-US" w:eastAsia="zh-CN" w:bidi="ar"/>
                    </w:rPr>
                    <w:t>37.5</w:t>
                  </w: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昼间</w:t>
                  </w:r>
                </w:p>
              </w:tc>
              <w:tc>
                <w:tcPr>
                  <w:tcW w:w="59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54.5</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54.59 </w:t>
                  </w:r>
                </w:p>
              </w:tc>
              <w:tc>
                <w:tcPr>
                  <w:tcW w:w="498" w:type="pc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60</w:t>
                  </w:r>
                </w:p>
              </w:tc>
              <w:tc>
                <w:tcPr>
                  <w:tcW w:w="390"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达标</w:t>
                  </w:r>
                </w:p>
              </w:tc>
            </w:tr>
            <w:tr>
              <w:trPr>
                <w:trHeight w:val="285" w:hRule="atLeast"/>
                <w:jc w:val="center"/>
              </w:trPr>
              <w:tc>
                <w:tcPr>
                  <w:tcW w:w="387"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98"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c>
                <w:tcPr>
                  <w:tcW w:w="61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9"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夜间</w:t>
                  </w:r>
                </w:p>
              </w:tc>
              <w:tc>
                <w:tcPr>
                  <w:tcW w:w="59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45.0</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45.71 </w:t>
                  </w:r>
                </w:p>
              </w:tc>
              <w:tc>
                <w:tcPr>
                  <w:tcW w:w="498"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50</w:t>
                  </w:r>
                </w:p>
              </w:tc>
              <w:tc>
                <w:tcPr>
                  <w:tcW w:w="390"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r>
            <w:tr>
              <w:tblPrEx>
                <w:tblCellMar>
                  <w:top w:w="0" w:type="dxa"/>
                  <w:left w:w="108" w:type="dxa"/>
                  <w:bottom w:w="0" w:type="dxa"/>
                  <w:right w:w="108" w:type="dxa"/>
                </w:tblCellMar>
              </w:tblPrEx>
              <w:trPr>
                <w:trHeight w:val="502" w:hRule="atLeast"/>
                <w:jc w:val="center"/>
              </w:trPr>
              <w:tc>
                <w:tcPr>
                  <w:tcW w:w="387"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w:t>
                  </w:r>
                </w:p>
              </w:tc>
              <w:tc>
                <w:tcPr>
                  <w:tcW w:w="432"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农林二路公租房</w:t>
                  </w:r>
                </w:p>
              </w:tc>
              <w:tc>
                <w:tcPr>
                  <w:tcW w:w="498"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67</w:t>
                  </w:r>
                </w:p>
              </w:tc>
              <w:tc>
                <w:tcPr>
                  <w:tcW w:w="61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9"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kern w:val="0"/>
                      <w:szCs w:val="21"/>
                      <w:lang w:val="en-US" w:eastAsia="zh-CN" w:bidi="ar"/>
                    </w:rPr>
                    <w:t>33.5</w:t>
                  </w: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昼间</w:t>
                  </w:r>
                </w:p>
              </w:tc>
              <w:tc>
                <w:tcPr>
                  <w:tcW w:w="59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54.5</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54.53 </w:t>
                  </w:r>
                </w:p>
              </w:tc>
              <w:tc>
                <w:tcPr>
                  <w:tcW w:w="498" w:type="pc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60</w:t>
                  </w:r>
                </w:p>
              </w:tc>
              <w:tc>
                <w:tcPr>
                  <w:tcW w:w="390"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达标</w:t>
                  </w:r>
                </w:p>
              </w:tc>
            </w:tr>
            <w:tr>
              <w:tblPrEx>
                <w:tblCellMar>
                  <w:top w:w="0" w:type="dxa"/>
                  <w:left w:w="108" w:type="dxa"/>
                  <w:bottom w:w="0" w:type="dxa"/>
                  <w:right w:w="108" w:type="dxa"/>
                </w:tblCellMar>
              </w:tblPrEx>
              <w:trPr>
                <w:trHeight w:val="285" w:hRule="atLeast"/>
                <w:jc w:val="center"/>
              </w:trPr>
              <w:tc>
                <w:tcPr>
                  <w:tcW w:w="387"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98"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c>
                <w:tcPr>
                  <w:tcW w:w="61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9"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夜间</w:t>
                  </w:r>
                </w:p>
              </w:tc>
              <w:tc>
                <w:tcPr>
                  <w:tcW w:w="59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46.0</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46.24 </w:t>
                  </w:r>
                </w:p>
              </w:tc>
              <w:tc>
                <w:tcPr>
                  <w:tcW w:w="498"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50</w:t>
                  </w:r>
                </w:p>
              </w:tc>
              <w:tc>
                <w:tcPr>
                  <w:tcW w:w="390"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r>
            <w:tr>
              <w:tblPrEx>
                <w:tblCellMar>
                  <w:top w:w="0" w:type="dxa"/>
                  <w:left w:w="108" w:type="dxa"/>
                  <w:bottom w:w="0" w:type="dxa"/>
                  <w:right w:w="108" w:type="dxa"/>
                </w:tblCellMar>
              </w:tblPrEx>
              <w:trPr>
                <w:trHeight w:val="548" w:hRule="atLeast"/>
                <w:jc w:val="center"/>
              </w:trPr>
              <w:tc>
                <w:tcPr>
                  <w:tcW w:w="387"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w:t>
                  </w:r>
                </w:p>
              </w:tc>
              <w:tc>
                <w:tcPr>
                  <w:tcW w:w="432"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第二机械厂宿舍楼</w:t>
                  </w:r>
                </w:p>
              </w:tc>
              <w:tc>
                <w:tcPr>
                  <w:tcW w:w="498"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49</w:t>
                  </w:r>
                </w:p>
              </w:tc>
              <w:tc>
                <w:tcPr>
                  <w:tcW w:w="61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9" w:type="pct"/>
                  <w:vMerge w:val="restar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kern w:val="0"/>
                      <w:szCs w:val="21"/>
                      <w:lang w:val="en-US" w:eastAsia="zh-CN" w:bidi="ar"/>
                    </w:rPr>
                    <w:t>36.2</w:t>
                  </w: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昼间</w:t>
                  </w:r>
                </w:p>
              </w:tc>
              <w:tc>
                <w:tcPr>
                  <w:tcW w:w="59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56.5</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56.54 </w:t>
                  </w:r>
                </w:p>
              </w:tc>
              <w:tc>
                <w:tcPr>
                  <w:tcW w:w="498" w:type="pc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60</w:t>
                  </w:r>
                </w:p>
              </w:tc>
              <w:tc>
                <w:tcPr>
                  <w:tcW w:w="390" w:type="pct"/>
                  <w:vMerge w:val="restart"/>
                  <w:tcBorders>
                    <w:top w:val="single" w:color="000000" w:sz="8" w:space="0"/>
                    <w:left w:val="single" w:color="000000" w:sz="8" w:space="0"/>
                    <w:bottom w:val="single" w:color="000000" w:sz="8" w:space="0"/>
                    <w:right w:val="nil"/>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达标</w:t>
                  </w:r>
                </w:p>
              </w:tc>
            </w:tr>
            <w:tr>
              <w:tblPrEx>
                <w:tblCellMar>
                  <w:top w:w="0" w:type="dxa"/>
                  <w:left w:w="108" w:type="dxa"/>
                  <w:bottom w:w="0" w:type="dxa"/>
                  <w:right w:w="108" w:type="dxa"/>
                </w:tblCellMar>
              </w:tblPrEx>
              <w:trPr>
                <w:trHeight w:val="285" w:hRule="atLeast"/>
                <w:jc w:val="center"/>
              </w:trPr>
              <w:tc>
                <w:tcPr>
                  <w:tcW w:w="387"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98"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c>
                <w:tcPr>
                  <w:tcW w:w="61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39" w:type="pct"/>
                  <w:vMerge w:val="continue"/>
                  <w:tcBorders>
                    <w:top w:val="single" w:color="000000" w:sz="8" w:space="0"/>
                    <w:left w:val="nil"/>
                    <w:bottom w:val="single" w:color="000000" w:sz="8" w:space="0"/>
                    <w:right w:val="single" w:color="000000" w:sz="8" w:space="0"/>
                  </w:tcBorders>
                  <w:shd w:val="clear" w:color="auto" w:fill="auto"/>
                  <w:vAlign w:val="center"/>
                </w:tcPr>
                <w:p>
                  <w:pPr>
                    <w:jc w:val="center"/>
                    <w:rPr>
                      <w:rFonts w:ascii="Times New Roman" w:hAnsi="Times New Roman" w:eastAsia="宋体" w:cs="Times New Roman"/>
                      <w:color w:val="000000"/>
                      <w:szCs w:val="21"/>
                    </w:rPr>
                  </w:pPr>
                </w:p>
              </w:tc>
              <w:tc>
                <w:tcPr>
                  <w:tcW w:w="44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夜间</w:t>
                  </w:r>
                </w:p>
              </w:tc>
              <w:tc>
                <w:tcPr>
                  <w:tcW w:w="59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46.5</w:t>
                  </w:r>
                </w:p>
              </w:tc>
              <w:tc>
                <w:tcPr>
                  <w:tcW w:w="121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i w:val="0"/>
                      <w:iCs w:val="0"/>
                      <w:color w:val="000000"/>
                      <w:kern w:val="0"/>
                      <w:sz w:val="21"/>
                      <w:szCs w:val="21"/>
                      <w:u w:val="none"/>
                      <w:lang w:val="en-US" w:eastAsia="zh-CN" w:bidi="ar"/>
                    </w:rPr>
                    <w:t xml:space="preserve">46.89 </w:t>
                  </w:r>
                </w:p>
              </w:tc>
              <w:tc>
                <w:tcPr>
                  <w:tcW w:w="498"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50</w:t>
                  </w:r>
                </w:p>
              </w:tc>
              <w:tc>
                <w:tcPr>
                  <w:tcW w:w="390" w:type="pct"/>
                  <w:vMerge w:val="continue"/>
                  <w:tcBorders>
                    <w:top w:val="single" w:color="000000" w:sz="8" w:space="0"/>
                    <w:left w:val="single" w:color="000000" w:sz="8" w:space="0"/>
                    <w:bottom w:val="single" w:color="000000" w:sz="8" w:space="0"/>
                    <w:right w:val="nil"/>
                  </w:tcBorders>
                  <w:shd w:val="clear" w:color="auto" w:fill="auto"/>
                  <w:vAlign w:val="center"/>
                </w:tcPr>
                <w:p>
                  <w:pPr>
                    <w:jc w:val="center"/>
                    <w:rPr>
                      <w:rFonts w:ascii="Times New Roman" w:hAnsi="Times New Roman" w:eastAsia="宋体" w:cs="Times New Roman"/>
                      <w:color w:val="000000"/>
                      <w:szCs w:val="21"/>
                    </w:rPr>
                  </w:pPr>
                </w:p>
              </w:tc>
            </w:tr>
          </w:tbl>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由上表可知，项目运营过程中产生的噪声经基础减震和墙体隔声后，项目东侧厂界、南侧厂界、西侧厂界、北侧厂界昼间和夜间噪声</w:t>
            </w:r>
            <w:r>
              <w:rPr>
                <w:rFonts w:hint="eastAsia" w:ascii="Times New Roman" w:hAnsi="Times New Roman" w:eastAsia="宋体" w:cs="Times New Roman"/>
                <w:color w:val="000000"/>
                <w:sz w:val="24"/>
                <w:szCs w:val="24"/>
              </w:rPr>
              <w:t>贡献值</w:t>
            </w:r>
            <w:r>
              <w:rPr>
                <w:rFonts w:ascii="Times New Roman" w:hAnsi="Times New Roman" w:eastAsia="宋体" w:cs="Times New Roman"/>
                <w:color w:val="000000"/>
                <w:sz w:val="24"/>
                <w:szCs w:val="24"/>
              </w:rPr>
              <w:t>符合《工业企业厂界环境噪声排放标准》（GB12348－2008）中的2类标准；农林二路公租房、第二机械厂宿舍楼</w:t>
            </w:r>
            <w:r>
              <w:rPr>
                <w:rFonts w:hint="eastAsia" w:ascii="Times New Roman" w:hAnsi="Times New Roman" w:eastAsia="宋体" w:cs="Times New Roman"/>
                <w:color w:val="000000"/>
                <w:sz w:val="24"/>
                <w:szCs w:val="24"/>
              </w:rPr>
              <w:t>噪声贡献值</w:t>
            </w:r>
            <w:r>
              <w:rPr>
                <w:rFonts w:ascii="Times New Roman" w:hAnsi="Times New Roman" w:eastAsia="宋体" w:cs="Times New Roman"/>
                <w:color w:val="000000"/>
                <w:sz w:val="24"/>
                <w:szCs w:val="24"/>
              </w:rPr>
              <w:t>符合《声环境质量标准》(GB3096-2008）中的2类标准。</w:t>
            </w:r>
          </w:p>
          <w:p>
            <w:pPr>
              <w:pStyle w:val="20"/>
              <w:spacing w:before="0" w:after="0" w:line="360" w:lineRule="auto"/>
              <w:ind w:right="0"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4、噪声监测计划</w:t>
            </w:r>
          </w:p>
          <w:p>
            <w:pPr>
              <w:pStyle w:val="39"/>
              <w:spacing w:line="360" w:lineRule="auto"/>
              <w:ind w:firstLine="480" w:firstLineChars="200"/>
              <w:jc w:val="both"/>
              <w:rPr>
                <w:rFonts w:ascii="Times New Roman" w:hAnsi="Times New Roman" w:eastAsia="宋体" w:cs="Times New Roman"/>
                <w:b/>
                <w:bCs/>
                <w:color w:val="000000"/>
                <w:kern w:val="2"/>
                <w:sz w:val="24"/>
              </w:rPr>
            </w:pPr>
            <w:r>
              <w:rPr>
                <w:rFonts w:ascii="Times New Roman" w:hAnsi="Times New Roman" w:eastAsia="宋体" w:cs="Times New Roman"/>
                <w:color w:val="000000"/>
                <w:sz w:val="24"/>
              </w:rPr>
              <w:t>根据《排污单位自行监测技术指南 总则》（HJ819-2017），项目</w:t>
            </w:r>
            <w:r>
              <w:rPr>
                <w:rFonts w:hint="eastAsia" w:ascii="Times New Roman" w:hAnsi="Times New Roman" w:eastAsia="宋体" w:cs="Times New Roman"/>
                <w:color w:val="000000"/>
                <w:sz w:val="24"/>
              </w:rPr>
              <w:t>运营期</w:t>
            </w:r>
            <w:r>
              <w:rPr>
                <w:rFonts w:ascii="Times New Roman" w:hAnsi="Times New Roman" w:eastAsia="宋体" w:cs="Times New Roman"/>
                <w:color w:val="000000"/>
                <w:sz w:val="24"/>
              </w:rPr>
              <w:t>噪声自行监测计划见下表：</w:t>
            </w:r>
          </w:p>
          <w:p>
            <w:pPr>
              <w:pStyle w:val="39"/>
              <w:spacing w:line="360" w:lineRule="auto"/>
              <w:ind w:right="95" w:firstLine="482" w:firstLineChars="200"/>
              <w:jc w:val="center"/>
              <w:rPr>
                <w:rFonts w:ascii="Times New Roman" w:hAnsi="Times New Roman" w:eastAsia="宋体" w:cs="Times New Roman"/>
                <w:b/>
                <w:bCs/>
                <w:color w:val="000000"/>
                <w:kern w:val="2"/>
                <w:sz w:val="24"/>
              </w:rPr>
            </w:pPr>
            <w:r>
              <w:rPr>
                <w:rFonts w:ascii="Times New Roman" w:hAnsi="Times New Roman" w:eastAsia="宋体" w:cs="Times New Roman"/>
                <w:b/>
                <w:bCs/>
                <w:color w:val="000000"/>
                <w:kern w:val="2"/>
                <w:sz w:val="24"/>
              </w:rPr>
              <w:t>表4-</w:t>
            </w:r>
            <w:r>
              <w:rPr>
                <w:rFonts w:hint="eastAsia" w:ascii="Times New Roman" w:hAnsi="Times New Roman" w:eastAsia="宋体" w:cs="Times New Roman"/>
                <w:b/>
                <w:bCs/>
                <w:color w:val="000000"/>
                <w:kern w:val="2"/>
                <w:sz w:val="24"/>
              </w:rPr>
              <w:t>1</w:t>
            </w:r>
            <w:r>
              <w:rPr>
                <w:rFonts w:hint="eastAsia" w:ascii="Times New Roman" w:hAnsi="Times New Roman" w:eastAsia="宋体" w:cs="Times New Roman"/>
                <w:b/>
                <w:bCs/>
                <w:color w:val="000000"/>
                <w:kern w:val="2"/>
                <w:sz w:val="24"/>
                <w:lang w:val="en-US" w:eastAsia="zh-CN"/>
              </w:rPr>
              <w:t>9</w:t>
            </w:r>
            <w:r>
              <w:rPr>
                <w:rFonts w:ascii="Times New Roman" w:hAnsi="Times New Roman" w:eastAsia="宋体" w:cs="Times New Roman"/>
                <w:b/>
                <w:bCs/>
                <w:color w:val="000000"/>
                <w:kern w:val="2"/>
                <w:sz w:val="24"/>
              </w:rPr>
              <w:t>项目运营期</w:t>
            </w:r>
            <w:r>
              <w:rPr>
                <w:rFonts w:hint="eastAsia" w:ascii="Times New Roman" w:hAnsi="Times New Roman" w:eastAsia="宋体" w:cs="Times New Roman"/>
                <w:b/>
                <w:bCs/>
                <w:color w:val="000000"/>
                <w:kern w:val="2"/>
                <w:sz w:val="24"/>
              </w:rPr>
              <w:t>噪声</w:t>
            </w:r>
            <w:r>
              <w:rPr>
                <w:rFonts w:ascii="Times New Roman" w:hAnsi="Times New Roman" w:eastAsia="宋体" w:cs="Times New Roman"/>
                <w:b/>
                <w:bCs/>
                <w:color w:val="000000"/>
                <w:kern w:val="2"/>
                <w:sz w:val="24"/>
              </w:rPr>
              <w:t>监测计划表</w:t>
            </w:r>
          </w:p>
          <w:tbl>
            <w:tblPr>
              <w:tblStyle w:val="2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83"/>
              <w:gridCol w:w="1760"/>
              <w:gridCol w:w="1294"/>
              <w:gridCol w:w="2067"/>
              <w:gridCol w:w="279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450" w:type="pct"/>
                  <w:tcBorders>
                    <w:tl2br w:val="nil"/>
                    <w:tr2bl w:val="nil"/>
                  </w:tcBorders>
                  <w:shd w:val="clear" w:color="auto" w:fill="auto"/>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项目</w:t>
                  </w:r>
                </w:p>
              </w:tc>
              <w:tc>
                <w:tcPr>
                  <w:tcW w:w="1012" w:type="pct"/>
                  <w:tcBorders>
                    <w:tl2br w:val="nil"/>
                    <w:tr2bl w:val="nil"/>
                  </w:tcBorders>
                  <w:shd w:val="clear" w:color="auto" w:fill="auto"/>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监测点位</w:t>
                  </w:r>
                </w:p>
              </w:tc>
              <w:tc>
                <w:tcPr>
                  <w:tcW w:w="744" w:type="pct"/>
                  <w:tcBorders>
                    <w:tl2br w:val="nil"/>
                    <w:tr2bl w:val="nil"/>
                  </w:tcBorders>
                  <w:shd w:val="clear" w:color="auto" w:fill="auto"/>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监测因子</w:t>
                  </w:r>
                </w:p>
              </w:tc>
              <w:tc>
                <w:tcPr>
                  <w:tcW w:w="1188" w:type="pct"/>
                  <w:tcBorders>
                    <w:tl2br w:val="nil"/>
                    <w:tr2bl w:val="nil"/>
                  </w:tcBorders>
                  <w:shd w:val="clear" w:color="auto" w:fill="auto"/>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监测频次</w:t>
                  </w:r>
                </w:p>
              </w:tc>
              <w:tc>
                <w:tcPr>
                  <w:tcW w:w="1604" w:type="pct"/>
                  <w:tcBorders>
                    <w:tl2br w:val="nil"/>
                    <w:tr2bl w:val="nil"/>
                  </w:tcBorders>
                  <w:shd w:val="clear" w:color="auto" w:fill="auto"/>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执行排放标准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50" w:type="pct"/>
                  <w:tcBorders>
                    <w:tl2br w:val="nil"/>
                    <w:tr2bl w:val="nil"/>
                  </w:tcBorders>
                  <w:shd w:val="clear" w:color="auto" w:fill="auto"/>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噪声</w:t>
                  </w:r>
                </w:p>
              </w:tc>
              <w:tc>
                <w:tcPr>
                  <w:tcW w:w="1012" w:type="pct"/>
                  <w:tcBorders>
                    <w:tl2br w:val="nil"/>
                    <w:tr2bl w:val="nil"/>
                  </w:tcBorders>
                  <w:shd w:val="clear" w:color="auto" w:fill="auto"/>
                  <w:vAlign w:val="center"/>
                </w:tcPr>
                <w:p>
                  <w:pPr>
                    <w:pStyle w:val="39"/>
                    <w:jc w:val="center"/>
                    <w:rPr>
                      <w:rFonts w:hint="eastAsia" w:ascii="Times New Roman" w:hAnsi="Times New Roman" w:eastAsia="宋体" w:cs="Times New Roman"/>
                      <w:color w:val="000000"/>
                      <w:szCs w:val="21"/>
                      <w:lang w:eastAsia="zh-CN"/>
                    </w:rPr>
                  </w:pPr>
                  <w:r>
                    <w:rPr>
                      <w:rFonts w:ascii="Times New Roman" w:hAnsi="Times New Roman" w:eastAsia="宋体" w:cs="Times New Roman"/>
                      <w:color w:val="000000"/>
                      <w:szCs w:val="21"/>
                    </w:rPr>
                    <w:t>项目东侧、南侧、西侧、北侧厂界外1m</w:t>
                  </w:r>
                  <w:r>
                    <w:rPr>
                      <w:rFonts w:hint="eastAsia" w:ascii="Times New Roman" w:hAnsi="Times New Roman" w:eastAsia="宋体" w:cs="Times New Roman"/>
                      <w:color w:val="000000"/>
                      <w:szCs w:val="21"/>
                      <w:lang w:eastAsia="zh-CN"/>
                    </w:rPr>
                    <w:t>、农林二路公租房、第二机械厂宿舍楼</w:t>
                  </w:r>
                </w:p>
              </w:tc>
              <w:tc>
                <w:tcPr>
                  <w:tcW w:w="744" w:type="pct"/>
                  <w:tcBorders>
                    <w:tl2br w:val="nil"/>
                    <w:tr2bl w:val="nil"/>
                  </w:tcBorders>
                  <w:shd w:val="clear" w:color="auto" w:fill="auto"/>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等效</w:t>
                  </w:r>
                  <w:r>
                    <w:rPr>
                      <w:rFonts w:ascii="Times New Roman" w:hAnsi="Times New Roman" w:eastAsia="宋体" w:cs="Times New Roman"/>
                      <w:color w:val="000000"/>
                      <w:szCs w:val="21"/>
                      <w:lang w:eastAsia="en-US"/>
                    </w:rPr>
                    <w:t>A</w:t>
                  </w:r>
                  <w:r>
                    <w:rPr>
                      <w:rFonts w:ascii="Times New Roman" w:hAnsi="Times New Roman" w:eastAsia="宋体" w:cs="Times New Roman"/>
                      <w:color w:val="000000"/>
                      <w:szCs w:val="21"/>
                    </w:rPr>
                    <w:t>声级</w:t>
                  </w:r>
                </w:p>
              </w:tc>
              <w:tc>
                <w:tcPr>
                  <w:tcW w:w="1188" w:type="pct"/>
                  <w:tcBorders>
                    <w:tl2br w:val="nil"/>
                    <w:tr2bl w:val="nil"/>
                  </w:tcBorders>
                  <w:shd w:val="clear" w:color="auto" w:fill="auto"/>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每季度1次，每次一</w:t>
                  </w:r>
                </w:p>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天，分昼、夜监测</w:t>
                  </w:r>
                </w:p>
              </w:tc>
              <w:tc>
                <w:tcPr>
                  <w:tcW w:w="1604" w:type="pct"/>
                  <w:tcBorders>
                    <w:tl2br w:val="nil"/>
                    <w:tr2bl w:val="nil"/>
                  </w:tcBorders>
                  <w:shd w:val="clear" w:color="auto" w:fill="auto"/>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《工业企业厂界环境噪声排放标准》（GB12348-2008）2类标准</w:t>
                  </w:r>
                </w:p>
              </w:tc>
            </w:tr>
          </w:tbl>
          <w:p>
            <w:pPr>
              <w:widowControl/>
              <w:spacing w:line="360" w:lineRule="auto"/>
              <w:ind w:firstLine="482" w:firstLineChars="200"/>
              <w:jc w:val="left"/>
              <w:rPr>
                <w:rFonts w:ascii="Times New Roman" w:hAnsi="Times New Roman" w:eastAsia="宋体" w:cs="Times New Roman"/>
                <w:b/>
                <w:bCs/>
                <w:color w:val="000000"/>
                <w:sz w:val="24"/>
              </w:rPr>
            </w:pPr>
            <w:r>
              <w:rPr>
                <w:rFonts w:ascii="Times New Roman" w:hAnsi="Times New Roman" w:eastAsia="宋体" w:cs="Times New Roman"/>
                <w:b/>
                <w:bCs/>
                <w:color w:val="000000"/>
                <w:sz w:val="24"/>
              </w:rPr>
              <w:t>四、固体废弃物影响分析：</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项目经营过程中产生的固体废物主要为生活垃圾、使用后未污染的输液瓶（袋）、医疗废物、废紫外线灯管、污水处理站产生的污泥</w:t>
            </w:r>
            <w:r>
              <w:rPr>
                <w:rFonts w:hint="eastAsia" w:ascii="Times New Roman" w:hAnsi="Times New Roman" w:eastAsia="宋体" w:cs="Times New Roman"/>
                <w:color w:val="000000"/>
                <w:sz w:val="24"/>
                <w:szCs w:val="24"/>
              </w:rPr>
              <w:t>、检验科固废</w:t>
            </w:r>
            <w:r>
              <w:rPr>
                <w:rFonts w:hint="eastAsia" w:ascii="Times New Roman" w:hAnsi="Times New Roman" w:eastAsia="宋体" w:cs="Times New Roman"/>
                <w:color w:val="000000"/>
                <w:sz w:val="24"/>
                <w:szCs w:val="24"/>
                <w:lang w:eastAsia="zh-CN"/>
              </w:rPr>
              <w:t>、</w:t>
            </w:r>
            <w:r>
              <w:rPr>
                <w:rFonts w:hint="eastAsia" w:ascii="Times New Roman" w:hAnsi="Times New Roman" w:eastAsia="宋体" w:cs="Times New Roman"/>
                <w:color w:val="000000"/>
                <w:sz w:val="24"/>
                <w:szCs w:val="24"/>
                <w:lang w:val="en-US" w:eastAsia="zh-CN"/>
              </w:rPr>
              <w:t>检验科废液</w:t>
            </w:r>
            <w:r>
              <w:rPr>
                <w:rFonts w:ascii="Times New Roman" w:hAnsi="Times New Roman" w:eastAsia="宋体" w:cs="Times New Roman"/>
                <w:color w:val="000000"/>
                <w:sz w:val="24"/>
                <w:szCs w:val="24"/>
              </w:rPr>
              <w:t>。</w:t>
            </w:r>
          </w:p>
          <w:p>
            <w:pPr>
              <w:pStyle w:val="39"/>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1、项目固废种类及产生量</w:t>
            </w:r>
          </w:p>
          <w:p>
            <w:pPr>
              <w:pStyle w:val="39"/>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（1）一般固体废物</w:t>
            </w:r>
          </w:p>
          <w:p>
            <w:pPr>
              <w:pStyle w:val="39"/>
              <w:tabs>
                <w:tab w:val="left" w:pos="431"/>
              </w:tabs>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①生活垃圾</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项目医院员工生活垃圾产生量按0.5kg/d·人计算，项目共有员工38人，则医院员工生活垃圾产生量为19kg/d；门诊生活垃圾按每日每人次产生0.1kg计，项目每天门诊量约35人，产生生活垃圾3.5kg/d；住院病人生活垃圾产生量按每日每床0.5kg计，医院共设病床50张，则住院病人生活垃圾产生量为25kg/d；项目运营期预计生活垃圾产生量为47.5kg/d，17.34t/a。建设单位拟在各层电梯或楼梯口附近及洗手间里设置垃圾分类收集桶，各种生活垃圾包括医院公共区域的生活垃圾、病房的普通生活垃圾、行政人员生活垃圾等，经垃圾分类收集于垃圾桶内，然后每日由环卫部门上门收集外运和统一处理。</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②使用后未污染的输液瓶（袋）</w:t>
            </w:r>
          </w:p>
          <w:p>
            <w:pPr>
              <w:pStyle w:val="20"/>
              <w:spacing w:before="0" w:after="0" w:line="360" w:lineRule="auto"/>
              <w:ind w:right="0"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szCs w:val="24"/>
              </w:rPr>
              <w:t>项目运营期医疗活动使用后未污染的输液瓶（袋），这部分使用后未污染的输液瓶（袋）是可回收一般固体废物，可收集后交由有资质处置单位回收利用。项目使用后未污染的输液瓶（袋）产生量约0.02t/a。</w:t>
            </w:r>
          </w:p>
          <w:p>
            <w:pPr>
              <w:pStyle w:val="39"/>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sz w:val="24"/>
              </w:rPr>
              <w:t>（2）危险废物</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①医疗废物</w:t>
            </w:r>
          </w:p>
          <w:p>
            <w:pPr>
              <w:pStyle w:val="20"/>
              <w:spacing w:before="0" w:after="0" w:line="360" w:lineRule="auto"/>
              <w:ind w:right="0" w:firstLine="480" w:firstLineChars="200"/>
              <w:rPr>
                <w:rFonts w:ascii="Times New Roman" w:hAnsi="Times New Roman" w:eastAsia="宋体" w:cs="Times New Roman"/>
                <w:b/>
                <w:bCs/>
                <w:color w:val="000000"/>
                <w:kern w:val="2"/>
                <w:sz w:val="24"/>
              </w:rPr>
            </w:pPr>
            <w:r>
              <w:rPr>
                <w:rFonts w:ascii="Times New Roman" w:hAnsi="Times New Roman" w:eastAsia="宋体" w:cs="Times New Roman"/>
                <w:color w:val="000000"/>
                <w:sz w:val="24"/>
                <w:szCs w:val="24"/>
              </w:rPr>
              <w:t>根据《医疗废物分类目录（2021年版）》（国卫医函〔2021〕238号），医疗废物一般可分为感染性废物、病理性废物、损伤性废物、药物性废物、化学性废物等，根据《国家危险废物名录（2021年版）》（部令第15号），项目产生的医疗废物属于危险固废，编号为HW01医疗废物，具体分类如下表：</w:t>
            </w:r>
          </w:p>
          <w:p>
            <w:pPr>
              <w:pStyle w:val="39"/>
              <w:spacing w:line="360" w:lineRule="auto"/>
              <w:jc w:val="center"/>
              <w:rPr>
                <w:rFonts w:ascii="Times New Roman" w:hAnsi="Times New Roman" w:eastAsia="宋体" w:cs="Times New Roman"/>
                <w:b/>
                <w:bCs/>
                <w:color w:val="000000"/>
                <w:kern w:val="2"/>
                <w:sz w:val="24"/>
              </w:rPr>
            </w:pPr>
            <w:r>
              <w:rPr>
                <w:rFonts w:ascii="Times New Roman" w:hAnsi="Times New Roman" w:eastAsia="宋体" w:cs="Times New Roman"/>
                <w:b/>
                <w:bCs/>
                <w:color w:val="000000"/>
                <w:kern w:val="2"/>
                <w:sz w:val="24"/>
              </w:rPr>
              <w:t>表4-</w:t>
            </w:r>
            <w:r>
              <w:rPr>
                <w:rFonts w:hint="eastAsia" w:ascii="Times New Roman" w:hAnsi="Times New Roman" w:eastAsia="宋体" w:cs="Times New Roman"/>
                <w:b/>
                <w:bCs/>
                <w:color w:val="000000"/>
                <w:kern w:val="2"/>
                <w:sz w:val="24"/>
                <w:lang w:val="en-US" w:eastAsia="zh-CN"/>
              </w:rPr>
              <w:t>20</w:t>
            </w:r>
            <w:r>
              <w:rPr>
                <w:rFonts w:ascii="Times New Roman" w:hAnsi="Times New Roman" w:eastAsia="宋体" w:cs="Times New Roman"/>
                <w:b/>
                <w:bCs/>
                <w:color w:val="000000"/>
                <w:kern w:val="2"/>
                <w:sz w:val="24"/>
              </w:rPr>
              <w:t>项目医疗废物分类情况</w:t>
            </w:r>
          </w:p>
          <w:tbl>
            <w:tblPr>
              <w:tblStyle w:val="29"/>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760"/>
              <w:gridCol w:w="1280"/>
              <w:gridCol w:w="2905"/>
              <w:gridCol w:w="2601"/>
              <w:gridCol w:w="1149"/>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4" w:hRule="atLeast"/>
                <w:tblHeader/>
                <w:jc w:val="center"/>
              </w:trPr>
              <w:tc>
                <w:tcPr>
                  <w:tcW w:w="437"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医疗废物类型</w:t>
                  </w:r>
                </w:p>
              </w:tc>
              <w:tc>
                <w:tcPr>
                  <w:tcW w:w="736"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特征</w:t>
                  </w:r>
                </w:p>
              </w:tc>
              <w:tc>
                <w:tcPr>
                  <w:tcW w:w="1670"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项目产生的医疗废物</w:t>
                  </w:r>
                </w:p>
              </w:tc>
              <w:tc>
                <w:tcPr>
                  <w:tcW w:w="1495"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收集方式</w:t>
                  </w:r>
                </w:p>
              </w:tc>
              <w:tc>
                <w:tcPr>
                  <w:tcW w:w="660"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废物代码</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408" w:hRule="atLeast"/>
                <w:jc w:val="center"/>
              </w:trPr>
              <w:tc>
                <w:tcPr>
                  <w:tcW w:w="437"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感染性废物</w:t>
                  </w:r>
                </w:p>
              </w:tc>
              <w:tc>
                <w:tcPr>
                  <w:tcW w:w="736"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携带病原微生物具有引发感染性疾病传播危险的医疗废物。</w:t>
                  </w:r>
                </w:p>
              </w:tc>
              <w:tc>
                <w:tcPr>
                  <w:tcW w:w="1670" w:type="pct"/>
                  <w:tcBorders>
                    <w:tl2br w:val="nil"/>
                    <w:tr2bl w:val="nil"/>
                  </w:tcBorders>
                  <w:tcMar>
                    <w:top w:w="0" w:type="dxa"/>
                    <w:left w:w="57" w:type="dxa"/>
                    <w:bottom w:w="0" w:type="dxa"/>
                    <w:right w:w="57" w:type="dxa"/>
                  </w:tcMar>
                  <w:vAlign w:val="center"/>
                </w:tcPr>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1、被患者血液、体液、排泄物等污染的除锐器以外的废物；</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2、使用后废弃的一次性使用医疗器械，如注射器、输液器、透析器等；</w:t>
                  </w:r>
                </w:p>
              </w:tc>
              <w:tc>
                <w:tcPr>
                  <w:tcW w:w="1495" w:type="pct"/>
                  <w:tcBorders>
                    <w:tl2br w:val="nil"/>
                    <w:tr2bl w:val="nil"/>
                  </w:tcBorders>
                  <w:tcMar>
                    <w:top w:w="0" w:type="dxa"/>
                    <w:left w:w="57" w:type="dxa"/>
                    <w:bottom w:w="0" w:type="dxa"/>
                    <w:right w:w="57" w:type="dxa"/>
                  </w:tcMar>
                  <w:vAlign w:val="center"/>
                </w:tcPr>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1、收集于符合《医疗废物专用包装袋、容器和警示标志标准》（HJ 421-2008）的医疗废物包装袋中；</w:t>
                  </w:r>
                </w:p>
              </w:tc>
              <w:tc>
                <w:tcPr>
                  <w:tcW w:w="660" w:type="pct"/>
                  <w:tcBorders>
                    <w:tl2br w:val="nil"/>
                    <w:tr2bl w:val="nil"/>
                  </w:tcBorders>
                  <w:tcMar>
                    <w:top w:w="0" w:type="dxa"/>
                    <w:left w:w="57" w:type="dxa"/>
                    <w:bottom w:w="0" w:type="dxa"/>
                    <w:right w:w="57" w:type="dxa"/>
                  </w:tcMar>
                  <w:vAlign w:val="center"/>
                </w:tcPr>
                <w:p>
                  <w:pPr>
                    <w:pStyle w:val="39"/>
                    <w:widowControl/>
                    <w:autoSpaceDE/>
                    <w:autoSpaceDN/>
                    <w:ind w:firstLine="208"/>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HW01 841-001-01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41" w:hRule="atLeast"/>
                <w:jc w:val="center"/>
              </w:trPr>
              <w:tc>
                <w:tcPr>
                  <w:tcW w:w="437"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损伤性废物</w:t>
                  </w:r>
                </w:p>
              </w:tc>
              <w:tc>
                <w:tcPr>
                  <w:tcW w:w="736"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能够刺伤或者割伤人体的废弃的医用锐器。</w:t>
                  </w:r>
                </w:p>
              </w:tc>
              <w:tc>
                <w:tcPr>
                  <w:tcW w:w="1670" w:type="pct"/>
                  <w:tcBorders>
                    <w:tl2br w:val="nil"/>
                    <w:tr2bl w:val="nil"/>
                  </w:tcBorders>
                  <w:tcMar>
                    <w:top w:w="0" w:type="dxa"/>
                    <w:left w:w="57" w:type="dxa"/>
                    <w:bottom w:w="0" w:type="dxa"/>
                    <w:right w:w="57" w:type="dxa"/>
                  </w:tcMar>
                  <w:vAlign w:val="center"/>
                </w:tcPr>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1、废弃的金属类锐器，如针头、缝合针、针灸针、探针、穿刺针、解剖刀、手术刀、手术锯、备皮刀、钢钉和导丝等；</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2、废弃的玻璃类锐器，如盖玻片、载玻片、玻璃安瓿等；</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3、废弃的其他材质类锐器。</w:t>
                  </w:r>
                </w:p>
              </w:tc>
              <w:tc>
                <w:tcPr>
                  <w:tcW w:w="1495" w:type="pct"/>
                  <w:tcBorders>
                    <w:tl2br w:val="nil"/>
                    <w:tr2bl w:val="nil"/>
                  </w:tcBorders>
                  <w:tcMar>
                    <w:top w:w="0" w:type="dxa"/>
                    <w:left w:w="57" w:type="dxa"/>
                    <w:bottom w:w="0" w:type="dxa"/>
                    <w:right w:w="57" w:type="dxa"/>
                  </w:tcMar>
                  <w:vAlign w:val="center"/>
                </w:tcPr>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1、收集于符合《医疗废物专用包装袋、容器和警示标志标准》（HJ 421-2008）的利器盒中；</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2、利器盒达到3/4满时，应当封闭严密，按流程运送、贮存。</w:t>
                  </w:r>
                </w:p>
              </w:tc>
              <w:tc>
                <w:tcPr>
                  <w:tcW w:w="660"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HW01 841-002-01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957" w:hRule="atLeast"/>
                <w:jc w:val="center"/>
              </w:trPr>
              <w:tc>
                <w:tcPr>
                  <w:tcW w:w="437"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病理性废物</w:t>
                  </w:r>
                </w:p>
              </w:tc>
              <w:tc>
                <w:tcPr>
                  <w:tcW w:w="736"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诊疗过程中产生的人体废弃物和医学实验动物尸体等。</w:t>
                  </w:r>
                </w:p>
              </w:tc>
              <w:tc>
                <w:tcPr>
                  <w:tcW w:w="1670" w:type="pct"/>
                  <w:tcBorders>
                    <w:tl2br w:val="nil"/>
                    <w:tr2bl w:val="nil"/>
                  </w:tcBorders>
                  <w:tcMar>
                    <w:top w:w="0" w:type="dxa"/>
                    <w:left w:w="57" w:type="dxa"/>
                    <w:bottom w:w="0" w:type="dxa"/>
                    <w:right w:w="57" w:type="dxa"/>
                  </w:tcMar>
                  <w:vAlign w:val="center"/>
                </w:tcPr>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1、手术及其他医学服务过程中产生的废弃的人体组织、器官；</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2、病理切片后废弃的人体组织、病理蜡块；</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3、16周胎龄以下或重量不足500克的胚胎组织等；</w:t>
                  </w:r>
                </w:p>
              </w:tc>
              <w:tc>
                <w:tcPr>
                  <w:tcW w:w="1495" w:type="pct"/>
                  <w:tcBorders>
                    <w:tl2br w:val="nil"/>
                    <w:tr2bl w:val="nil"/>
                  </w:tcBorders>
                  <w:tcMar>
                    <w:top w:w="0" w:type="dxa"/>
                    <w:left w:w="57" w:type="dxa"/>
                    <w:bottom w:w="0" w:type="dxa"/>
                    <w:right w:w="57" w:type="dxa"/>
                  </w:tcMar>
                  <w:vAlign w:val="center"/>
                </w:tcPr>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1、收集于符合《医疗废物专用包装袋、容器和警示标志标准》（HJ 421-2008）的医疗废物包装袋中；</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2、可进行防腐或者低温保存。</w:t>
                  </w:r>
                </w:p>
              </w:tc>
              <w:tc>
                <w:tcPr>
                  <w:tcW w:w="660" w:type="pct"/>
                  <w:tcBorders>
                    <w:tl2br w:val="nil"/>
                    <w:tr2bl w:val="nil"/>
                  </w:tcBorders>
                  <w:tcMar>
                    <w:top w:w="0" w:type="dxa"/>
                    <w:left w:w="57" w:type="dxa"/>
                    <w:bottom w:w="0" w:type="dxa"/>
                    <w:right w:w="57" w:type="dxa"/>
                  </w:tcMar>
                  <w:vAlign w:val="center"/>
                </w:tcPr>
                <w:p>
                  <w:pPr>
                    <w:pStyle w:val="39"/>
                    <w:widowControl/>
                    <w:autoSpaceDE/>
                    <w:autoSpaceDN/>
                    <w:ind w:firstLine="208"/>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HW01 841-003-01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738" w:hRule="atLeast"/>
                <w:jc w:val="center"/>
              </w:trPr>
              <w:tc>
                <w:tcPr>
                  <w:tcW w:w="437"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药物性废物</w:t>
                  </w:r>
                </w:p>
              </w:tc>
              <w:tc>
                <w:tcPr>
                  <w:tcW w:w="736"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过期、淘汰、变质或者被污染的废弃的药物。</w:t>
                  </w:r>
                </w:p>
              </w:tc>
              <w:tc>
                <w:tcPr>
                  <w:tcW w:w="1670" w:type="pct"/>
                  <w:tcBorders>
                    <w:tl2br w:val="nil"/>
                    <w:tr2bl w:val="nil"/>
                  </w:tcBorders>
                  <w:tcMar>
                    <w:top w:w="0" w:type="dxa"/>
                    <w:left w:w="57" w:type="dxa"/>
                    <w:bottom w:w="0" w:type="dxa"/>
                    <w:right w:w="57" w:type="dxa"/>
                  </w:tcMar>
                  <w:vAlign w:val="center"/>
                </w:tcPr>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1、废弃的一般性药物；</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2、废弃的细胞毒性药物和遗传毒性药物；</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3、废弃的疫苗及血液制品。</w:t>
                  </w:r>
                </w:p>
              </w:tc>
              <w:tc>
                <w:tcPr>
                  <w:tcW w:w="1495" w:type="pct"/>
                  <w:tcBorders>
                    <w:tl2br w:val="nil"/>
                    <w:tr2bl w:val="nil"/>
                  </w:tcBorders>
                  <w:tcMar>
                    <w:top w:w="0" w:type="dxa"/>
                    <w:left w:w="57" w:type="dxa"/>
                    <w:bottom w:w="0" w:type="dxa"/>
                    <w:right w:w="57" w:type="dxa"/>
                  </w:tcMar>
                  <w:vAlign w:val="center"/>
                </w:tcPr>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1、少量的药物性废物可以并入感染性废物中，但应在标签中注明；</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2、批量废弃的药物性废物，收集后交由有资质的危险废物处置单位进行处置。</w:t>
                  </w:r>
                </w:p>
              </w:tc>
              <w:tc>
                <w:tcPr>
                  <w:tcW w:w="660" w:type="pct"/>
                  <w:tcBorders>
                    <w:tl2br w:val="nil"/>
                    <w:tr2bl w:val="nil"/>
                  </w:tcBorders>
                  <w:tcMar>
                    <w:top w:w="0" w:type="dxa"/>
                    <w:left w:w="57" w:type="dxa"/>
                    <w:bottom w:w="0" w:type="dxa"/>
                    <w:right w:w="57" w:type="dxa"/>
                  </w:tcMar>
                  <w:vAlign w:val="center"/>
                </w:tcPr>
                <w:p>
                  <w:pPr>
                    <w:pStyle w:val="39"/>
                    <w:widowControl/>
                    <w:autoSpaceDE/>
                    <w:autoSpaceDN/>
                    <w:ind w:firstLine="208"/>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HW01 841-005-01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52" w:hRule="atLeast"/>
                <w:jc w:val="center"/>
              </w:trPr>
              <w:tc>
                <w:tcPr>
                  <w:tcW w:w="437"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化学性废物</w:t>
                  </w:r>
                </w:p>
              </w:tc>
              <w:tc>
                <w:tcPr>
                  <w:tcW w:w="736"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具有毒性、腐蚀性、易燃性、反应性的废弃的化学物品。</w:t>
                  </w:r>
                </w:p>
              </w:tc>
              <w:tc>
                <w:tcPr>
                  <w:tcW w:w="1670" w:type="pct"/>
                  <w:tcBorders>
                    <w:tl2br w:val="nil"/>
                    <w:tr2bl w:val="nil"/>
                  </w:tcBorders>
                  <w:tcMar>
                    <w:top w:w="0" w:type="dxa"/>
                    <w:left w:w="57" w:type="dxa"/>
                    <w:bottom w:w="0" w:type="dxa"/>
                    <w:right w:w="57" w:type="dxa"/>
                  </w:tcMar>
                  <w:vAlign w:val="center"/>
                </w:tcPr>
                <w:p>
                  <w:pPr>
                    <w:pStyle w:val="39"/>
                    <w:widowControl/>
                    <w:numPr>
                      <w:ilvl w:val="0"/>
                      <w:numId w:val="7"/>
                    </w:numPr>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实验室废弃的化学试剂；</w:t>
                  </w:r>
                </w:p>
                <w:p>
                  <w:pPr>
                    <w:pStyle w:val="39"/>
                    <w:widowControl/>
                    <w:numPr>
                      <w:ilvl w:val="0"/>
                      <w:numId w:val="7"/>
                    </w:numPr>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废弃的化学消毒剂。</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3、废弃的汞血压计、汞温度计。</w:t>
                  </w:r>
                </w:p>
              </w:tc>
              <w:tc>
                <w:tcPr>
                  <w:tcW w:w="1495" w:type="pct"/>
                  <w:tcBorders>
                    <w:tl2br w:val="nil"/>
                    <w:tr2bl w:val="nil"/>
                  </w:tcBorders>
                  <w:tcMar>
                    <w:top w:w="0" w:type="dxa"/>
                    <w:left w:w="57" w:type="dxa"/>
                    <w:bottom w:w="0" w:type="dxa"/>
                    <w:right w:w="57" w:type="dxa"/>
                  </w:tcMar>
                  <w:vAlign w:val="center"/>
                </w:tcPr>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1、收集于容器中，粘贴标签并注明主要成分；</w:t>
                  </w:r>
                </w:p>
                <w:p>
                  <w:pPr>
                    <w:pStyle w:val="39"/>
                    <w:widowControl/>
                    <w:autoSpaceDE/>
                    <w:autoSpaceDN/>
                    <w:rPr>
                      <w:rFonts w:ascii="Times New Roman" w:hAnsi="Times New Roman" w:eastAsia="宋体" w:cs="Times New Roman"/>
                      <w:color w:val="000000"/>
                      <w:szCs w:val="21"/>
                    </w:rPr>
                  </w:pPr>
                  <w:r>
                    <w:rPr>
                      <w:rFonts w:ascii="Times New Roman" w:hAnsi="Times New Roman" w:eastAsia="宋体" w:cs="Times New Roman"/>
                      <w:color w:val="000000"/>
                      <w:szCs w:val="21"/>
                    </w:rPr>
                    <w:t>2、收集后应交由有资质的危险废物处置单位进行处置。</w:t>
                  </w:r>
                </w:p>
              </w:tc>
              <w:tc>
                <w:tcPr>
                  <w:tcW w:w="660" w:type="pct"/>
                  <w:tcBorders>
                    <w:tl2br w:val="nil"/>
                    <w:tr2bl w:val="nil"/>
                  </w:tcBorders>
                  <w:tcMar>
                    <w:top w:w="0" w:type="dxa"/>
                    <w:left w:w="57" w:type="dxa"/>
                    <w:bottom w:w="0" w:type="dxa"/>
                    <w:right w:w="57" w:type="dxa"/>
                  </w:tcMar>
                  <w:vAlign w:val="center"/>
                </w:tcPr>
                <w:p>
                  <w:pPr>
                    <w:pStyle w:val="39"/>
                    <w:widowControl/>
                    <w:autoSpaceDE/>
                    <w:autoSpaceDN/>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HW01 841-004-01</w:t>
                  </w:r>
                </w:p>
              </w:tc>
            </w:tr>
          </w:tbl>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根据上表结合建设单位提供资料，项目内不做大型手术实验，基本不产生病理性废物，药物性废物（主要为过期药）和化学性废物（主要为废温度计）较少，医疗废物以感染性废物为主，根据《医疗废物化学消毒集中处理工程技术规范》（HJ228-2021），医疗机构产生的医疗废物总量包括固定病床的医疗废物产生量和门诊医疗废物产生量。其中病床的医疗废物产生量（kg/d）=床位医疗废物产生率（kg/床·d）×床位数×床位使用率；门诊医疗废物产生量（kg/d）=门诊医疗废物产生率（kg/人次·d）×门诊人数（人次/d）。其中床位的医疗废物产生率以1.0kg/床·d计，病床使用率以100%计；门诊医疗废物产生率以0.1kg/人次·天计。项目病床数为50张，门诊量为35人次/天，则医疗废物产生量为53.5kg/d，19.53t/a。项目</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医疗废物经妥善收集后暂存在医疗废物暂存间，统一收集后交由有资质单位处理。</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②废紫外线灯管</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危废暂存间以及其他需要消毒的区域均设紫外线消毒装置，紫外线消毒装置在运行一定时间后会产生废灯管，属于《国家危险废物名录（2021年版）》（部令第15号）里“HW29含汞废物”，废物代码为900-023-29。根据建设单位提供资料，废紫外线灯管量约0.0003t/a，统一收集后交由有资质单位处理。</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fldChar w:fldCharType="begin"/>
            </w:r>
            <w:r>
              <w:rPr>
                <w:rFonts w:ascii="Times New Roman" w:hAnsi="Times New Roman" w:eastAsia="宋体" w:cs="Times New Roman"/>
                <w:color w:val="000000"/>
                <w:sz w:val="24"/>
                <w:szCs w:val="24"/>
              </w:rPr>
              <w:instrText xml:space="preserve"> = 3 \* GB3 \* MERGEFORMAT </w:instrText>
            </w:r>
            <w:r>
              <w:rPr>
                <w:rFonts w:ascii="Times New Roman" w:hAnsi="Times New Roman" w:eastAsia="宋体" w:cs="Times New Roman"/>
                <w:color w:val="000000"/>
                <w:sz w:val="24"/>
                <w:szCs w:val="24"/>
              </w:rPr>
              <w:fldChar w:fldCharType="separate"/>
            </w:r>
            <w:r>
              <w:rPr>
                <w:rFonts w:ascii="Times New Roman" w:hAnsi="Times New Roman" w:eastAsia="宋体" w:cs="Times New Roman"/>
                <w:color w:val="000000"/>
                <w:sz w:val="24"/>
                <w:szCs w:val="24"/>
              </w:rPr>
              <w:t>③</w:t>
            </w:r>
            <w:r>
              <w:rPr>
                <w:rFonts w:ascii="Times New Roman" w:hAnsi="Times New Roman" w:eastAsia="宋体" w:cs="Times New Roman"/>
                <w:color w:val="000000"/>
                <w:sz w:val="24"/>
                <w:szCs w:val="24"/>
              </w:rPr>
              <w:fldChar w:fldCharType="end"/>
            </w:r>
            <w:r>
              <w:rPr>
                <w:rFonts w:ascii="Times New Roman" w:hAnsi="Times New Roman" w:eastAsia="宋体" w:cs="Times New Roman"/>
                <w:color w:val="000000"/>
                <w:sz w:val="24"/>
                <w:szCs w:val="24"/>
              </w:rPr>
              <w:t>污水处理站污泥</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根据《国家危险废物名录（2021年版）》（部令第15号），医院污水处理过程产生的沉淀池污泥属于危险废物，废物代码为772-006-49。项目医院自建污水处理站对综合医疗废水进行处理，在医院废污水处理过程中，大量悬浮在水中的有机、无机污染物和致病菌、病毒、寄生虫卵等沉淀分离出来形成污泥，若不妥善消毒处理，任意排放或弃置，会污染环境，造成疾病传播和流行。住院病区的粪便污水，由于各种病人的排泄物较多，因此其化粪池污泥中也含有各种粪大肠菌群、致病菌、病毒等。</w:t>
            </w:r>
          </w:p>
          <w:p>
            <w:pPr>
              <w:pStyle w:val="20"/>
              <w:spacing w:before="0" w:after="0" w:line="360" w:lineRule="auto"/>
              <w:ind w:right="0" w:firstLine="480" w:firstLineChars="200"/>
              <w:rPr>
                <w:rFonts w:ascii="Times New Roman" w:hAnsi="Times New Roman" w:eastAsia="宋体" w:cs="Times New Roman"/>
                <w:b/>
                <w:bCs/>
                <w:color w:val="000000"/>
                <w:sz w:val="24"/>
              </w:rPr>
            </w:pPr>
            <w:r>
              <w:rPr>
                <w:rFonts w:ascii="Times New Roman" w:hAnsi="Times New Roman" w:eastAsia="宋体" w:cs="Times New Roman"/>
                <w:color w:val="000000"/>
                <w:sz w:val="24"/>
                <w:szCs w:val="24"/>
              </w:rPr>
              <w:t>污水处理站污泥主要在污泥池产生。污泥产生量根据《医院污水处理技术指南》（环发〔2003〕197号）表6.1污泥量平均值，产生系数为</w:t>
            </w:r>
            <w:r>
              <w:rPr>
                <w:rFonts w:hint="eastAsia" w:ascii="Times New Roman" w:hAnsi="Times New Roman" w:eastAsia="宋体" w:cs="Times New Roman"/>
                <w:color w:val="000000"/>
                <w:sz w:val="24"/>
                <w:szCs w:val="24"/>
              </w:rPr>
              <w:t>54</w:t>
            </w:r>
            <w:r>
              <w:rPr>
                <w:rFonts w:ascii="Times New Roman" w:hAnsi="Times New Roman" w:eastAsia="宋体" w:cs="Times New Roman"/>
                <w:color w:val="000000"/>
                <w:sz w:val="24"/>
                <w:szCs w:val="24"/>
              </w:rPr>
              <w:t>g/人·d（本项目取值为66g/人·d），详见下表。本项目建成后有门诊量35人、50张床位以及38名职工，则医院人数为123人/d，则污泥产生量为123×</w:t>
            </w:r>
            <w:r>
              <w:rPr>
                <w:rFonts w:hint="eastAsia" w:ascii="Times New Roman" w:hAnsi="Times New Roman" w:eastAsia="宋体" w:cs="Times New Roman"/>
                <w:color w:val="000000"/>
                <w:sz w:val="24"/>
                <w:szCs w:val="24"/>
              </w:rPr>
              <w:t>54</w:t>
            </w:r>
            <w:r>
              <w:rPr>
                <w:rFonts w:ascii="Times New Roman" w:hAnsi="Times New Roman" w:eastAsia="宋体" w:cs="Times New Roman"/>
                <w:color w:val="000000"/>
                <w:sz w:val="24"/>
                <w:szCs w:val="24"/>
              </w:rPr>
              <w:t>=0.0</w:t>
            </w:r>
            <w:r>
              <w:rPr>
                <w:rFonts w:hint="eastAsia" w:ascii="Times New Roman" w:hAnsi="Times New Roman" w:eastAsia="宋体" w:cs="Times New Roman"/>
                <w:color w:val="000000"/>
                <w:sz w:val="24"/>
                <w:szCs w:val="24"/>
              </w:rPr>
              <w:t>1</w:t>
            </w:r>
            <w:r>
              <w:rPr>
                <w:rFonts w:ascii="Times New Roman" w:hAnsi="Times New Roman" w:eastAsia="宋体" w:cs="Times New Roman"/>
                <w:color w:val="000000"/>
                <w:sz w:val="24"/>
                <w:szCs w:val="24"/>
              </w:rPr>
              <w:t>t/d，即2.</w:t>
            </w:r>
            <w:r>
              <w:rPr>
                <w:rFonts w:hint="eastAsia" w:ascii="Times New Roman" w:hAnsi="Times New Roman" w:eastAsia="宋体" w:cs="Times New Roman"/>
                <w:color w:val="000000"/>
                <w:sz w:val="24"/>
                <w:szCs w:val="24"/>
              </w:rPr>
              <w:t>4</w:t>
            </w:r>
            <w:r>
              <w:rPr>
                <w:rFonts w:ascii="Times New Roman" w:hAnsi="Times New Roman" w:eastAsia="宋体" w:cs="Times New Roman"/>
                <w:color w:val="000000"/>
                <w:sz w:val="24"/>
                <w:szCs w:val="24"/>
              </w:rPr>
              <w:t>2t/a。根据《国家危险废物名录》（2021年版），此类污泥属于HW01医疗废物。污泥的含水率为9</w:t>
            </w:r>
            <w:r>
              <w:rPr>
                <w:rFonts w:hint="eastAsia" w:ascii="Times New Roman" w:hAnsi="Times New Roman" w:eastAsia="宋体" w:cs="Times New Roman"/>
                <w:color w:val="000000"/>
                <w:sz w:val="24"/>
                <w:szCs w:val="24"/>
              </w:rPr>
              <w:t>2</w:t>
            </w:r>
            <w:r>
              <w:rPr>
                <w:rFonts w:ascii="Times New Roman" w:hAnsi="Times New Roman" w:eastAsia="宋体" w:cs="Times New Roman"/>
                <w:color w:val="000000"/>
                <w:sz w:val="24"/>
                <w:szCs w:val="24"/>
              </w:rPr>
              <w:t>%~9</w:t>
            </w:r>
            <w:r>
              <w:rPr>
                <w:rFonts w:hint="eastAsia" w:ascii="Times New Roman" w:hAnsi="Times New Roman" w:eastAsia="宋体" w:cs="Times New Roman"/>
                <w:color w:val="000000"/>
                <w:sz w:val="24"/>
                <w:szCs w:val="24"/>
              </w:rPr>
              <w:t>5</w:t>
            </w:r>
            <w:r>
              <w:rPr>
                <w:rFonts w:ascii="Times New Roman" w:hAnsi="Times New Roman" w:eastAsia="宋体" w:cs="Times New Roman"/>
                <w:color w:val="000000"/>
                <w:sz w:val="24"/>
                <w:szCs w:val="24"/>
              </w:rPr>
              <w:t>%（本项目取值为9</w:t>
            </w:r>
            <w:r>
              <w:rPr>
                <w:rFonts w:hint="eastAsia" w:ascii="Times New Roman" w:hAnsi="Times New Roman" w:eastAsia="宋体" w:cs="Times New Roman"/>
                <w:color w:val="000000"/>
                <w:sz w:val="24"/>
                <w:szCs w:val="24"/>
              </w:rPr>
              <w:t>3</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，则绝干污泥量为0.17t/a</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污水站污泥根据《医院污水处理技术指南》，向污泥中投加石灰（15g/L污泥），并搅拌均匀，进行消毒处理。经消毒后的污泥，委托有资质的单位进行处理。</w:t>
            </w:r>
          </w:p>
          <w:p>
            <w:pPr>
              <w:widowControl/>
              <w:spacing w:line="360" w:lineRule="auto"/>
              <w:jc w:val="center"/>
              <w:rPr>
                <w:rFonts w:ascii="Times New Roman" w:hAnsi="Times New Roman" w:eastAsia="宋体" w:cs="Times New Roman"/>
                <w:b/>
                <w:bCs/>
                <w:color w:val="000000"/>
                <w:sz w:val="24"/>
              </w:rPr>
            </w:pPr>
            <w:r>
              <w:rPr>
                <w:rFonts w:ascii="Times New Roman" w:hAnsi="Times New Roman" w:eastAsia="宋体" w:cs="Times New Roman"/>
                <w:b/>
                <w:bCs/>
                <w:color w:val="000000"/>
                <w:sz w:val="24"/>
              </w:rPr>
              <w:t>表4-</w:t>
            </w:r>
            <w:r>
              <w:rPr>
                <w:rFonts w:hint="eastAsia" w:ascii="Times New Roman" w:hAnsi="Times New Roman" w:eastAsia="宋体" w:cs="Times New Roman"/>
                <w:b/>
                <w:bCs/>
                <w:color w:val="000000"/>
                <w:sz w:val="24"/>
              </w:rPr>
              <w:t>2</w:t>
            </w:r>
            <w:r>
              <w:rPr>
                <w:rFonts w:hint="eastAsia" w:ascii="Times New Roman" w:hAnsi="Times New Roman" w:eastAsia="宋体" w:cs="Times New Roman"/>
                <w:b/>
                <w:bCs/>
                <w:color w:val="000000"/>
                <w:sz w:val="24"/>
                <w:lang w:val="en-US" w:eastAsia="zh-CN"/>
              </w:rPr>
              <w:t>1</w:t>
            </w:r>
            <w:r>
              <w:rPr>
                <w:rFonts w:ascii="Times New Roman" w:hAnsi="Times New Roman" w:eastAsia="宋体" w:cs="Times New Roman"/>
                <w:b/>
                <w:bCs/>
                <w:color w:val="000000"/>
                <w:sz w:val="24"/>
              </w:rPr>
              <w:t>《医院污水处理技术指南》（环发[2003]197号）中表6.1（节取）</w:t>
            </w:r>
          </w:p>
          <w:tbl>
            <w:tblPr>
              <w:tblStyle w:val="30"/>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14"/>
              <w:gridCol w:w="2321"/>
              <w:gridCol w:w="2475"/>
              <w:gridCol w:w="228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928" w:type="pct"/>
                  <w:tcBorders>
                    <w:tl2br w:val="nil"/>
                    <w:tr2bl w:val="nil"/>
                  </w:tcBorders>
                  <w:vAlign w:val="center"/>
                </w:tcPr>
                <w:p>
                  <w:pPr>
                    <w:jc w:val="center"/>
                    <w:rPr>
                      <w:rFonts w:ascii="Times New Roman" w:hAnsi="Times New Roman" w:eastAsia="宋体" w:cs="Times New Roman"/>
                      <w:color w:val="000000"/>
                    </w:rPr>
                  </w:pPr>
                  <w:r>
                    <w:rPr>
                      <w:rFonts w:ascii="Times New Roman" w:hAnsi="Times New Roman" w:eastAsia="宋体" w:cs="Times New Roman"/>
                      <w:color w:val="000000"/>
                    </w:rPr>
                    <w:t>污泥来源</w:t>
                  </w:r>
                </w:p>
              </w:tc>
              <w:tc>
                <w:tcPr>
                  <w:tcW w:w="1334" w:type="pct"/>
                  <w:tcBorders>
                    <w:tl2br w:val="nil"/>
                    <w:tr2bl w:val="nil"/>
                  </w:tcBorders>
                  <w:vAlign w:val="center"/>
                </w:tcPr>
                <w:p>
                  <w:pPr>
                    <w:jc w:val="center"/>
                    <w:rPr>
                      <w:rFonts w:ascii="Times New Roman" w:hAnsi="Times New Roman" w:eastAsia="宋体" w:cs="Times New Roman"/>
                      <w:color w:val="000000"/>
                    </w:rPr>
                  </w:pPr>
                  <w:r>
                    <w:rPr>
                      <w:rFonts w:ascii="Times New Roman" w:hAnsi="Times New Roman" w:eastAsia="宋体" w:cs="Times New Roman"/>
                      <w:color w:val="000000"/>
                    </w:rPr>
                    <w:t>产生位置</w:t>
                  </w:r>
                </w:p>
              </w:tc>
              <w:tc>
                <w:tcPr>
                  <w:tcW w:w="1423" w:type="pct"/>
                  <w:tcBorders>
                    <w:tl2br w:val="nil"/>
                    <w:tr2bl w:val="nil"/>
                  </w:tcBorders>
                  <w:vAlign w:val="center"/>
                </w:tcPr>
                <w:p>
                  <w:pPr>
                    <w:jc w:val="center"/>
                    <w:rPr>
                      <w:rFonts w:ascii="Times New Roman" w:hAnsi="Times New Roman" w:eastAsia="宋体" w:cs="Times New Roman"/>
                      <w:color w:val="000000"/>
                    </w:rPr>
                  </w:pPr>
                  <w:r>
                    <w:rPr>
                      <w:rFonts w:ascii="Times New Roman" w:hAnsi="Times New Roman" w:eastAsia="宋体" w:cs="Times New Roman"/>
                      <w:color w:val="000000"/>
                    </w:rPr>
                    <w:t>总固体（g/人·d）</w:t>
                  </w:r>
                </w:p>
              </w:tc>
              <w:tc>
                <w:tcPr>
                  <w:tcW w:w="1313" w:type="pct"/>
                  <w:tcBorders>
                    <w:tl2br w:val="nil"/>
                    <w:tr2bl w:val="nil"/>
                  </w:tcBorders>
                  <w:vAlign w:val="center"/>
                </w:tcPr>
                <w:p>
                  <w:pPr>
                    <w:jc w:val="center"/>
                    <w:rPr>
                      <w:rFonts w:ascii="Times New Roman" w:hAnsi="Times New Roman" w:eastAsia="宋体" w:cs="Times New Roman"/>
                      <w:color w:val="000000"/>
                    </w:rPr>
                  </w:pPr>
                  <w:r>
                    <w:rPr>
                      <w:rFonts w:ascii="Times New Roman" w:hAnsi="Times New Roman" w:eastAsia="宋体" w:cs="Times New Roman"/>
                      <w:color w:val="000000"/>
                    </w:rPr>
                    <w:t>含水率%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trPr>
              <w:tc>
                <w:tcPr>
                  <w:tcW w:w="928" w:type="pct"/>
                  <w:tcBorders>
                    <w:tl2br w:val="nil"/>
                    <w:tr2bl w:val="nil"/>
                  </w:tcBorders>
                  <w:vAlign w:val="center"/>
                </w:tcPr>
                <w:p>
                  <w:pPr>
                    <w:jc w:val="center"/>
                    <w:rPr>
                      <w:rFonts w:ascii="Times New Roman" w:hAnsi="Times New Roman" w:eastAsia="宋体" w:cs="Times New Roman"/>
                      <w:color w:val="000000"/>
                    </w:rPr>
                  </w:pPr>
                  <w:r>
                    <w:rPr>
                      <w:rFonts w:hint="eastAsia" w:ascii="Times New Roman" w:hAnsi="Times New Roman" w:eastAsia="宋体" w:cs="Times New Roman"/>
                      <w:color w:val="000000"/>
                      <w:lang w:val="en-US" w:eastAsia="zh-CN"/>
                    </w:rPr>
                    <w:t>污泥池</w:t>
                  </w:r>
                </w:p>
              </w:tc>
              <w:tc>
                <w:tcPr>
                  <w:tcW w:w="1334" w:type="pct"/>
                  <w:tcBorders>
                    <w:tl2br w:val="nil"/>
                    <w:tr2bl w:val="nil"/>
                  </w:tcBorders>
                  <w:vAlign w:val="center"/>
                </w:tcPr>
                <w:p>
                  <w:pPr>
                    <w:jc w:val="center"/>
                    <w:rPr>
                      <w:rFonts w:ascii="Times New Roman" w:hAnsi="Times New Roman" w:eastAsia="宋体" w:cs="Times New Roman"/>
                      <w:color w:val="000000"/>
                    </w:rPr>
                  </w:pPr>
                  <w:r>
                    <w:rPr>
                      <w:rFonts w:ascii="Times New Roman" w:hAnsi="Times New Roman" w:eastAsia="宋体" w:cs="Times New Roman"/>
                      <w:color w:val="000000"/>
                    </w:rPr>
                    <w:t>污水处理站内</w:t>
                  </w:r>
                </w:p>
              </w:tc>
              <w:tc>
                <w:tcPr>
                  <w:tcW w:w="1423" w:type="pct"/>
                  <w:tcBorders>
                    <w:tl2br w:val="nil"/>
                    <w:tr2bl w:val="nil"/>
                  </w:tcBorders>
                  <w:vAlign w:val="center"/>
                </w:tcPr>
                <w:p>
                  <w:pPr>
                    <w:jc w:val="center"/>
                    <w:rPr>
                      <w:rFonts w:ascii="Times New Roman" w:hAnsi="Times New Roman" w:eastAsia="宋体" w:cs="Times New Roman"/>
                      <w:color w:val="000000"/>
                    </w:rPr>
                  </w:pPr>
                  <w:r>
                    <w:rPr>
                      <w:rFonts w:hint="eastAsia" w:ascii="Times New Roman" w:hAnsi="Times New Roman" w:eastAsia="宋体" w:cs="Times New Roman"/>
                      <w:color w:val="000000"/>
                    </w:rPr>
                    <w:t>54</w:t>
                  </w:r>
                </w:p>
              </w:tc>
              <w:tc>
                <w:tcPr>
                  <w:tcW w:w="1313" w:type="pct"/>
                  <w:tcBorders>
                    <w:tl2br w:val="nil"/>
                    <w:tr2bl w:val="nil"/>
                  </w:tcBorders>
                  <w:vAlign w:val="center"/>
                </w:tcPr>
                <w:p>
                  <w:pPr>
                    <w:jc w:val="center"/>
                    <w:rPr>
                      <w:rFonts w:ascii="Times New Roman" w:hAnsi="Times New Roman" w:eastAsia="宋体" w:cs="Times New Roman"/>
                      <w:color w:val="000000"/>
                    </w:rPr>
                  </w:pPr>
                  <w:r>
                    <w:rPr>
                      <w:rFonts w:ascii="Times New Roman" w:hAnsi="Times New Roman" w:eastAsia="宋体" w:cs="Times New Roman"/>
                      <w:color w:val="000000"/>
                    </w:rPr>
                    <w:t>9</w:t>
                  </w:r>
                  <w:r>
                    <w:rPr>
                      <w:rFonts w:hint="eastAsia" w:ascii="Times New Roman" w:hAnsi="Times New Roman" w:eastAsia="宋体" w:cs="Times New Roman"/>
                      <w:color w:val="000000"/>
                    </w:rPr>
                    <w:t>2</w:t>
                  </w:r>
                  <w:r>
                    <w:rPr>
                      <w:rFonts w:ascii="Times New Roman" w:hAnsi="Times New Roman" w:eastAsia="宋体" w:cs="Times New Roman"/>
                      <w:color w:val="000000"/>
                    </w:rPr>
                    <w:t>~9</w:t>
                  </w:r>
                  <w:r>
                    <w:rPr>
                      <w:rFonts w:hint="eastAsia" w:ascii="Times New Roman" w:hAnsi="Times New Roman" w:eastAsia="宋体" w:cs="Times New Roman"/>
                      <w:color w:val="000000"/>
                    </w:rPr>
                    <w:t>5</w:t>
                  </w:r>
                </w:p>
              </w:tc>
            </w:tr>
          </w:tbl>
          <w:p>
            <w:pPr>
              <w:pStyle w:val="20"/>
              <w:spacing w:before="0" w:after="0" w:line="360" w:lineRule="auto"/>
              <w:ind w:right="0" w:firstLine="480" w:firstLineChars="200"/>
              <w:rPr>
                <w:rFonts w:ascii="Times New Roman" w:hAnsi="Times New Roman" w:eastAsia="宋体" w:cs="Times New Roman"/>
                <w:color w:val="000000"/>
                <w:sz w:val="24"/>
                <w:szCs w:val="24"/>
              </w:rPr>
            </w:pP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fldChar w:fldCharType="begin"/>
            </w:r>
            <w:r>
              <w:rPr>
                <w:rFonts w:ascii="Times New Roman" w:hAnsi="Times New Roman" w:eastAsia="宋体" w:cs="Times New Roman"/>
                <w:color w:val="000000"/>
                <w:sz w:val="24"/>
                <w:szCs w:val="24"/>
              </w:rPr>
              <w:instrText xml:space="preserve"> = 4 \* GB3 \* MERGEFORMAT </w:instrText>
            </w:r>
            <w:r>
              <w:rPr>
                <w:rFonts w:ascii="Times New Roman" w:hAnsi="Times New Roman" w:eastAsia="宋体" w:cs="Times New Roman"/>
                <w:color w:val="000000"/>
                <w:sz w:val="24"/>
                <w:szCs w:val="24"/>
              </w:rPr>
              <w:fldChar w:fldCharType="separate"/>
            </w:r>
            <w:r>
              <w:rPr>
                <w:rFonts w:ascii="Times New Roman" w:hAnsi="Times New Roman" w:eastAsia="宋体" w:cs="Times New Roman"/>
                <w:color w:val="000000"/>
                <w:sz w:val="24"/>
                <w:szCs w:val="24"/>
              </w:rPr>
              <w:t>④</w:t>
            </w:r>
            <w:r>
              <w:rPr>
                <w:rFonts w:ascii="Times New Roman" w:hAnsi="Times New Roman" w:eastAsia="宋体" w:cs="Times New Roman"/>
                <w:color w:val="000000"/>
                <w:sz w:val="24"/>
                <w:szCs w:val="24"/>
              </w:rPr>
              <w:fldChar w:fldCharType="end"/>
            </w:r>
            <w:r>
              <w:rPr>
                <w:rFonts w:ascii="Times New Roman" w:hAnsi="Times New Roman" w:eastAsia="宋体" w:cs="Times New Roman"/>
                <w:color w:val="000000"/>
                <w:sz w:val="24"/>
                <w:szCs w:val="24"/>
              </w:rPr>
              <w:t>检验科固废</w:t>
            </w:r>
          </w:p>
          <w:p>
            <w:pPr>
              <w:pStyle w:val="20"/>
              <w:spacing w:before="0" w:after="0" w:line="360" w:lineRule="auto"/>
              <w:ind w:right="0" w:firstLine="480" w:firstLineChars="200"/>
              <w:rPr>
                <w:rFonts w:hint="eastAsia" w:ascii="Times New Roman" w:hAnsi="Times New Roman" w:eastAsia="宋体" w:cs="Times New Roman"/>
                <w:color w:val="000000"/>
                <w:sz w:val="24"/>
                <w:szCs w:val="24"/>
              </w:rPr>
            </w:pPr>
            <w:r>
              <w:rPr>
                <w:rFonts w:ascii="Times New Roman" w:hAnsi="Times New Roman" w:eastAsia="宋体" w:cs="Times New Roman"/>
                <w:color w:val="000000"/>
                <w:sz w:val="24"/>
                <w:szCs w:val="24"/>
              </w:rPr>
              <w:t>检验科固废为检测后的标本，包括血液标本、体液标本和细菌标本等，检测标本来自病人，多带有大量的病菌，是极其危险的传染源。运营期产生的废弃标本将经过高压灭菌处理后，按照医疗废物流程处理，交由有资质单位进行处理。属于《国家危险废物名录（2021年版）》（部令第15号）里“HW01医疗废物”，废物代码为841-001-01。根据建设单位提供资料，废弃标本数量约0.05t/a，统一收集后交由有资质单位处理。</w:t>
            </w:r>
          </w:p>
          <w:p>
            <w:pPr>
              <w:pStyle w:val="20"/>
              <w:spacing w:before="0" w:after="0" w:line="360" w:lineRule="auto"/>
              <w:ind w:right="0" w:firstLine="480" w:firstLineChars="200"/>
              <w:rPr>
                <w:rFonts w:hint="eastAsia" w:ascii="Times New Roman" w:hAnsi="Times New Roman" w:eastAsia="宋体" w:cs="Times New Roman"/>
                <w:color w:val="000000"/>
                <w:sz w:val="24"/>
                <w:szCs w:val="24"/>
              </w:rPr>
            </w:pPr>
          </w:p>
          <w:p>
            <w:pPr>
              <w:pStyle w:val="20"/>
              <w:spacing w:before="0" w:after="0" w:line="360" w:lineRule="auto"/>
              <w:ind w:right="0" w:firstLine="480" w:firstLineChars="200"/>
              <w:rPr>
                <w:rFonts w:hint="eastAsia" w:ascii="Times New Roman" w:hAnsi="Times New Roman" w:eastAsia="宋体" w:cs="Times New Roman"/>
                <w:color w:val="000000"/>
                <w:sz w:val="24"/>
                <w:szCs w:val="24"/>
                <w:lang w:eastAsia="zh-CN"/>
              </w:rPr>
            </w:pPr>
            <w:r>
              <w:rPr>
                <w:rFonts w:ascii="Times New Roman" w:hAnsi="Times New Roman" w:eastAsia="宋体" w:cs="Times New Roman"/>
                <w:color w:val="000000"/>
                <w:sz w:val="24"/>
                <w:szCs w:val="24"/>
              </w:rPr>
              <w:t>⑤检验科</w:t>
            </w:r>
            <w:r>
              <w:rPr>
                <w:rFonts w:hint="eastAsia" w:ascii="Times New Roman" w:hAnsi="Times New Roman" w:eastAsia="宋体" w:cs="Times New Roman"/>
                <w:color w:val="000000"/>
                <w:sz w:val="24"/>
                <w:szCs w:val="24"/>
                <w:lang w:val="en-US" w:eastAsia="zh-CN"/>
              </w:rPr>
              <w:t>废液</w:t>
            </w:r>
          </w:p>
          <w:p>
            <w:pPr>
              <w:pStyle w:val="20"/>
              <w:spacing w:before="0" w:after="0" w:line="360" w:lineRule="auto"/>
              <w:ind w:right="0" w:firstLine="480" w:firstLineChars="200"/>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项目设有检验科，检验项目使用简易试剂盒检验，不产生检验科废液，使用后的简易试剂盒作为医疗废物中的感染性废物处置。检验科进行血常规、尿常规等常规检验，检验过程中使用不同的化学试剂，各种化学试剂均不含重金属，化学试剂包含硼酸等弱酸性废液；化验完成后使用清洗液清洗仪器，清洗液均不含重金属，清洗液包含氢氧化钠等碱性废液；废样品、化学试剂、清洗液等检验科废液作为危险废物处置。根据建设单位提供资料，检验科废液产生量为0.04t/a，医院产生的检验科废液经预处理后排入自建污水处理站处理。</w:t>
            </w:r>
          </w:p>
          <w:p>
            <w:pPr>
              <w:pStyle w:val="39"/>
              <w:spacing w:line="360" w:lineRule="auto"/>
              <w:ind w:firstLine="480" w:firstLineChars="200"/>
              <w:rPr>
                <w:rFonts w:ascii="Times New Roman" w:hAnsi="Times New Roman" w:eastAsia="宋体" w:cs="Times New Roman"/>
                <w:b/>
                <w:bCs/>
                <w:color w:val="000000"/>
                <w:kern w:val="2"/>
                <w:sz w:val="24"/>
              </w:rPr>
            </w:pPr>
            <w:r>
              <w:rPr>
                <w:rFonts w:hint="eastAsia" w:ascii="Times New Roman" w:hAnsi="Times New Roman" w:eastAsia="宋体" w:cs="Times New Roman"/>
                <w:color w:val="000000"/>
                <w:sz w:val="24"/>
              </w:rPr>
              <w:t>（3）</w:t>
            </w:r>
            <w:r>
              <w:rPr>
                <w:rFonts w:ascii="Times New Roman" w:hAnsi="Times New Roman" w:eastAsia="宋体" w:cs="Times New Roman"/>
                <w:color w:val="000000"/>
                <w:sz w:val="24"/>
              </w:rPr>
              <w:t>项目</w:t>
            </w:r>
            <w:r>
              <w:rPr>
                <w:rFonts w:hint="eastAsia" w:ascii="Times New Roman" w:hAnsi="Times New Roman" w:eastAsia="宋体" w:cs="Times New Roman"/>
                <w:color w:val="000000"/>
                <w:sz w:val="24"/>
              </w:rPr>
              <w:t>运营期</w:t>
            </w:r>
            <w:r>
              <w:rPr>
                <w:rFonts w:ascii="Times New Roman" w:hAnsi="Times New Roman" w:eastAsia="宋体" w:cs="Times New Roman"/>
                <w:color w:val="000000"/>
                <w:sz w:val="24"/>
              </w:rPr>
              <w:t>固（液）体废物汇总</w:t>
            </w:r>
          </w:p>
          <w:p>
            <w:pPr>
              <w:pStyle w:val="39"/>
              <w:spacing w:line="360" w:lineRule="auto"/>
              <w:ind w:left="107" w:firstLine="482" w:firstLineChars="200"/>
              <w:jc w:val="center"/>
              <w:rPr>
                <w:rFonts w:ascii="Times New Roman" w:hAnsi="Times New Roman" w:eastAsia="宋体" w:cs="Times New Roman"/>
                <w:b/>
                <w:bCs/>
                <w:color w:val="000000"/>
                <w:kern w:val="2"/>
                <w:sz w:val="24"/>
              </w:rPr>
            </w:pPr>
            <w:r>
              <w:rPr>
                <w:rFonts w:ascii="Times New Roman" w:hAnsi="Times New Roman" w:eastAsia="宋体" w:cs="Times New Roman"/>
                <w:b/>
                <w:bCs/>
                <w:color w:val="000000"/>
                <w:kern w:val="2"/>
                <w:sz w:val="24"/>
              </w:rPr>
              <w:t>表4-</w:t>
            </w:r>
            <w:r>
              <w:rPr>
                <w:rFonts w:hint="eastAsia" w:ascii="Times New Roman" w:hAnsi="Times New Roman" w:eastAsia="宋体" w:cs="Times New Roman"/>
                <w:b/>
                <w:bCs/>
                <w:color w:val="000000"/>
                <w:kern w:val="2"/>
                <w:sz w:val="24"/>
              </w:rPr>
              <w:t>2</w:t>
            </w:r>
            <w:r>
              <w:rPr>
                <w:rFonts w:hint="eastAsia" w:ascii="Times New Roman" w:hAnsi="Times New Roman" w:eastAsia="宋体" w:cs="Times New Roman"/>
                <w:b/>
                <w:bCs/>
                <w:color w:val="000000"/>
                <w:kern w:val="2"/>
                <w:sz w:val="24"/>
                <w:lang w:val="en-US" w:eastAsia="zh-CN"/>
              </w:rPr>
              <w:t>2</w:t>
            </w:r>
            <w:r>
              <w:rPr>
                <w:rFonts w:ascii="Times New Roman" w:hAnsi="Times New Roman" w:eastAsia="宋体" w:cs="Times New Roman"/>
                <w:b/>
                <w:bCs/>
                <w:color w:val="000000"/>
                <w:kern w:val="2"/>
                <w:sz w:val="24"/>
              </w:rPr>
              <w:t>项目</w:t>
            </w:r>
            <w:r>
              <w:rPr>
                <w:rFonts w:hint="eastAsia" w:ascii="Times New Roman" w:hAnsi="Times New Roman" w:eastAsia="宋体" w:cs="Times New Roman"/>
                <w:b/>
                <w:bCs/>
                <w:color w:val="000000"/>
                <w:kern w:val="2"/>
                <w:sz w:val="24"/>
              </w:rPr>
              <w:t>运营期</w:t>
            </w:r>
            <w:r>
              <w:rPr>
                <w:rFonts w:ascii="Times New Roman" w:hAnsi="Times New Roman" w:eastAsia="宋体" w:cs="Times New Roman"/>
                <w:b/>
                <w:bCs/>
                <w:color w:val="000000"/>
                <w:kern w:val="2"/>
                <w:sz w:val="24"/>
              </w:rPr>
              <w:t>固（液）体废物汇总一览表</w:t>
            </w:r>
          </w:p>
          <w:tbl>
            <w:tblPr>
              <w:tblStyle w:val="29"/>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310"/>
              <w:gridCol w:w="1305"/>
              <w:gridCol w:w="572"/>
              <w:gridCol w:w="506"/>
              <w:gridCol w:w="524"/>
              <w:gridCol w:w="1778"/>
              <w:gridCol w:w="710"/>
              <w:gridCol w:w="990"/>
              <w:gridCol w:w="1042"/>
              <w:gridCol w:w="95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序号</w:t>
                  </w:r>
                </w:p>
              </w:tc>
              <w:tc>
                <w:tcPr>
                  <w:tcW w:w="750"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名称</w:t>
                  </w:r>
                </w:p>
              </w:tc>
              <w:tc>
                <w:tcPr>
                  <w:tcW w:w="32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属性</w:t>
                  </w:r>
                </w:p>
              </w:tc>
              <w:tc>
                <w:tcPr>
                  <w:tcW w:w="29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产生工序</w:t>
                  </w:r>
                </w:p>
              </w:tc>
              <w:tc>
                <w:tcPr>
                  <w:tcW w:w="30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形态</w:t>
                  </w: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主要成分</w:t>
                  </w:r>
                </w:p>
              </w:tc>
              <w:tc>
                <w:tcPr>
                  <w:tcW w:w="408" w:type="pct"/>
                  <w:tcMar>
                    <w:top w:w="0" w:type="dxa"/>
                    <w:left w:w="23" w:type="dxa"/>
                    <w:bottom w:w="0" w:type="dxa"/>
                    <w:right w:w="23" w:type="dxa"/>
                  </w:tcMar>
                  <w:vAlign w:val="center"/>
                </w:tcPr>
                <w:p>
                  <w:pPr>
                    <w:pStyle w:val="6"/>
                    <w:spacing w:line="240" w:lineRule="auto"/>
                    <w:jc w:val="both"/>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危险特性</w:t>
                  </w:r>
                </w:p>
              </w:tc>
              <w:tc>
                <w:tcPr>
                  <w:tcW w:w="56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废物类别</w:t>
                  </w:r>
                </w:p>
              </w:tc>
              <w:tc>
                <w:tcPr>
                  <w:tcW w:w="59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废物代码</w:t>
                  </w:r>
                </w:p>
              </w:tc>
              <w:tc>
                <w:tcPr>
                  <w:tcW w:w="54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估算产生量（t/a）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1</w:t>
                  </w:r>
                </w:p>
              </w:tc>
              <w:tc>
                <w:tcPr>
                  <w:tcW w:w="750"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生活垃圾</w:t>
                  </w:r>
                </w:p>
              </w:tc>
              <w:tc>
                <w:tcPr>
                  <w:tcW w:w="329" w:type="pct"/>
                  <w:vMerge w:val="restar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一般固体废物</w:t>
                  </w:r>
                </w:p>
              </w:tc>
              <w:tc>
                <w:tcPr>
                  <w:tcW w:w="29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办公生活</w:t>
                  </w:r>
                </w:p>
              </w:tc>
              <w:tc>
                <w:tcPr>
                  <w:tcW w:w="30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固态</w:t>
                  </w: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生活垃圾</w:t>
                  </w:r>
                </w:p>
              </w:tc>
              <w:tc>
                <w:tcPr>
                  <w:tcW w:w="40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w:t>
                  </w:r>
                </w:p>
              </w:tc>
              <w:tc>
                <w:tcPr>
                  <w:tcW w:w="56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w:t>
                  </w:r>
                </w:p>
              </w:tc>
              <w:tc>
                <w:tcPr>
                  <w:tcW w:w="59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w:t>
                  </w:r>
                </w:p>
              </w:tc>
              <w:tc>
                <w:tcPr>
                  <w:tcW w:w="54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17.34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2</w:t>
                  </w:r>
                </w:p>
              </w:tc>
              <w:tc>
                <w:tcPr>
                  <w:tcW w:w="750"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使用后未污染的输液瓶（袋）</w:t>
                  </w:r>
                </w:p>
              </w:tc>
              <w:tc>
                <w:tcPr>
                  <w:tcW w:w="32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29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医疗活动</w:t>
                  </w:r>
                </w:p>
              </w:tc>
              <w:tc>
                <w:tcPr>
                  <w:tcW w:w="30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固态</w:t>
                  </w: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输液瓶（袋）</w:t>
                  </w:r>
                </w:p>
              </w:tc>
              <w:tc>
                <w:tcPr>
                  <w:tcW w:w="40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w:t>
                  </w:r>
                </w:p>
              </w:tc>
              <w:tc>
                <w:tcPr>
                  <w:tcW w:w="56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w:t>
                  </w:r>
                </w:p>
              </w:tc>
              <w:tc>
                <w:tcPr>
                  <w:tcW w:w="59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w:t>
                  </w:r>
                </w:p>
              </w:tc>
              <w:tc>
                <w:tcPr>
                  <w:tcW w:w="54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vMerge w:val="restar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3</w:t>
                  </w:r>
                </w:p>
              </w:tc>
              <w:tc>
                <w:tcPr>
                  <w:tcW w:w="750" w:type="pct"/>
                  <w:vMerge w:val="restar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医疗废物</w:t>
                  </w:r>
                </w:p>
              </w:tc>
              <w:tc>
                <w:tcPr>
                  <w:tcW w:w="329" w:type="pct"/>
                  <w:vMerge w:val="restar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危险废物</w:t>
                  </w:r>
                </w:p>
              </w:tc>
              <w:tc>
                <w:tcPr>
                  <w:tcW w:w="291" w:type="pct"/>
                  <w:vMerge w:val="restar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医疗活动</w:t>
                  </w:r>
                </w:p>
              </w:tc>
              <w:tc>
                <w:tcPr>
                  <w:tcW w:w="301" w:type="pct"/>
                  <w:vMerge w:val="restar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固态/半固态</w:t>
                  </w: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感染性废物</w:t>
                  </w:r>
                </w:p>
              </w:tc>
              <w:tc>
                <w:tcPr>
                  <w:tcW w:w="40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In</w:t>
                  </w:r>
                </w:p>
              </w:tc>
              <w:tc>
                <w:tcPr>
                  <w:tcW w:w="569" w:type="pct"/>
                  <w:vMerge w:val="restar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HW01</w:t>
                  </w:r>
                </w:p>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医疗废物</w:t>
                  </w:r>
                </w:p>
              </w:tc>
              <w:tc>
                <w:tcPr>
                  <w:tcW w:w="59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841-001-01</w:t>
                  </w:r>
                </w:p>
              </w:tc>
              <w:tc>
                <w:tcPr>
                  <w:tcW w:w="549" w:type="pct"/>
                  <w:vMerge w:val="restar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19.53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750"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32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291"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301"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损伤性废物</w:t>
                  </w:r>
                </w:p>
              </w:tc>
              <w:tc>
                <w:tcPr>
                  <w:tcW w:w="40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In</w:t>
                  </w:r>
                </w:p>
              </w:tc>
              <w:tc>
                <w:tcPr>
                  <w:tcW w:w="56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59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841-002-01</w:t>
                  </w:r>
                </w:p>
              </w:tc>
              <w:tc>
                <w:tcPr>
                  <w:tcW w:w="54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750"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32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291"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301"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病理性废物</w:t>
                  </w:r>
                </w:p>
              </w:tc>
              <w:tc>
                <w:tcPr>
                  <w:tcW w:w="40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In</w:t>
                  </w:r>
                </w:p>
              </w:tc>
              <w:tc>
                <w:tcPr>
                  <w:tcW w:w="56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59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841-003-01</w:t>
                  </w:r>
                </w:p>
              </w:tc>
              <w:tc>
                <w:tcPr>
                  <w:tcW w:w="54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750"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32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291"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301"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化学性废物</w:t>
                  </w:r>
                </w:p>
              </w:tc>
              <w:tc>
                <w:tcPr>
                  <w:tcW w:w="40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T/C/I/R</w:t>
                  </w:r>
                </w:p>
              </w:tc>
              <w:tc>
                <w:tcPr>
                  <w:tcW w:w="56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59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841-004-01</w:t>
                  </w:r>
                </w:p>
              </w:tc>
              <w:tc>
                <w:tcPr>
                  <w:tcW w:w="54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750"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32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291"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301"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药物性废物</w:t>
                  </w:r>
                </w:p>
              </w:tc>
              <w:tc>
                <w:tcPr>
                  <w:tcW w:w="40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T</w:t>
                  </w:r>
                </w:p>
              </w:tc>
              <w:tc>
                <w:tcPr>
                  <w:tcW w:w="56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59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841-005-01</w:t>
                  </w:r>
                </w:p>
              </w:tc>
              <w:tc>
                <w:tcPr>
                  <w:tcW w:w="54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tcMar>
                    <w:top w:w="0" w:type="dxa"/>
                    <w:left w:w="23" w:type="dxa"/>
                    <w:bottom w:w="0" w:type="dxa"/>
                    <w:right w:w="23" w:type="dxa"/>
                  </w:tcMar>
                  <w:vAlign w:val="center"/>
                </w:tcPr>
                <w:p>
                  <w:pPr>
                    <w:pStyle w:val="6"/>
                    <w:spacing w:line="240" w:lineRule="auto"/>
                    <w:rPr>
                      <w:rFonts w:hint="eastAsia" w:ascii="Times New Roman" w:hAnsi="Times New Roman" w:eastAsia="宋体" w:cs="Times New Roman"/>
                      <w:color w:val="000000"/>
                      <w:sz w:val="21"/>
                      <w:szCs w:val="21"/>
                      <w:lang w:eastAsia="zh-CN"/>
                    </w:rPr>
                  </w:pPr>
                  <w:r>
                    <w:rPr>
                      <w:rFonts w:hint="eastAsia" w:ascii="Times New Roman" w:hAnsi="Times New Roman" w:eastAsia="宋体" w:cs="Times New Roman"/>
                      <w:color w:val="000000"/>
                      <w:sz w:val="21"/>
                      <w:szCs w:val="21"/>
                      <w:lang w:val="en-US" w:eastAsia="zh-CN"/>
                    </w:rPr>
                    <w:t>4</w:t>
                  </w:r>
                </w:p>
              </w:tc>
              <w:tc>
                <w:tcPr>
                  <w:tcW w:w="750"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废紫外线灯管</w:t>
                  </w:r>
                </w:p>
              </w:tc>
              <w:tc>
                <w:tcPr>
                  <w:tcW w:w="32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29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危废间消毒</w:t>
                  </w:r>
                  <w:r>
                    <w:rPr>
                      <w:rFonts w:hint="eastAsia" w:ascii="Times New Roman" w:hAnsi="Times New Roman" w:eastAsia="宋体" w:cs="Times New Roman"/>
                      <w:color w:val="000000"/>
                      <w:sz w:val="21"/>
                      <w:szCs w:val="21"/>
                    </w:rPr>
                    <w:t>、办公场所</w:t>
                  </w:r>
                </w:p>
              </w:tc>
              <w:tc>
                <w:tcPr>
                  <w:tcW w:w="30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固态</w:t>
                  </w: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废紫外线灯管</w:t>
                  </w:r>
                </w:p>
              </w:tc>
              <w:tc>
                <w:tcPr>
                  <w:tcW w:w="408"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T</w:t>
                  </w:r>
                </w:p>
              </w:tc>
              <w:tc>
                <w:tcPr>
                  <w:tcW w:w="56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HW49</w:t>
                  </w:r>
                </w:p>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其他废物</w:t>
                  </w:r>
                </w:p>
              </w:tc>
              <w:tc>
                <w:tcPr>
                  <w:tcW w:w="59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900-044-49</w:t>
                  </w:r>
                </w:p>
              </w:tc>
              <w:tc>
                <w:tcPr>
                  <w:tcW w:w="54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0.0003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tcMar>
                    <w:top w:w="0" w:type="dxa"/>
                    <w:left w:w="23" w:type="dxa"/>
                    <w:bottom w:w="0" w:type="dxa"/>
                    <w:right w:w="23" w:type="dxa"/>
                  </w:tcMar>
                  <w:vAlign w:val="center"/>
                </w:tcPr>
                <w:p>
                  <w:pPr>
                    <w:pStyle w:val="6"/>
                    <w:spacing w:line="240" w:lineRule="auto"/>
                    <w:rPr>
                      <w:rFonts w:hint="eastAsia" w:ascii="Times New Roman" w:hAnsi="Times New Roman" w:eastAsia="宋体" w:cs="Times New Roman"/>
                      <w:color w:val="000000"/>
                      <w:sz w:val="21"/>
                      <w:szCs w:val="21"/>
                      <w:lang w:eastAsia="zh-CN"/>
                    </w:rPr>
                  </w:pPr>
                  <w:r>
                    <w:rPr>
                      <w:rFonts w:hint="eastAsia" w:ascii="Times New Roman" w:hAnsi="Times New Roman" w:eastAsia="宋体" w:cs="Times New Roman"/>
                      <w:color w:val="000000"/>
                      <w:sz w:val="21"/>
                      <w:szCs w:val="21"/>
                      <w:lang w:val="en-US" w:eastAsia="zh-CN"/>
                    </w:rPr>
                    <w:t>5</w:t>
                  </w:r>
                </w:p>
              </w:tc>
              <w:tc>
                <w:tcPr>
                  <w:tcW w:w="750"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污水站污泥</w:t>
                  </w:r>
                </w:p>
              </w:tc>
              <w:tc>
                <w:tcPr>
                  <w:tcW w:w="329" w:type="pct"/>
                  <w:vMerge w:val="continue"/>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p>
              </w:tc>
              <w:tc>
                <w:tcPr>
                  <w:tcW w:w="29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污水处理</w:t>
                  </w:r>
                </w:p>
              </w:tc>
              <w:tc>
                <w:tcPr>
                  <w:tcW w:w="30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固态</w:t>
                  </w: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泥、沙</w:t>
                  </w:r>
                </w:p>
              </w:tc>
              <w:tc>
                <w:tcPr>
                  <w:tcW w:w="408"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T/In</w:t>
                  </w:r>
                </w:p>
              </w:tc>
              <w:tc>
                <w:tcPr>
                  <w:tcW w:w="56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HW49</w:t>
                  </w:r>
                </w:p>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其他废物</w:t>
                  </w:r>
                </w:p>
              </w:tc>
              <w:tc>
                <w:tcPr>
                  <w:tcW w:w="59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772-006-49</w:t>
                  </w:r>
                </w:p>
              </w:tc>
              <w:tc>
                <w:tcPr>
                  <w:tcW w:w="54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2.42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tcMar>
                    <w:top w:w="0" w:type="dxa"/>
                    <w:left w:w="23" w:type="dxa"/>
                    <w:bottom w:w="0" w:type="dxa"/>
                    <w:right w:w="23" w:type="dxa"/>
                  </w:tcMar>
                  <w:vAlign w:val="center"/>
                </w:tcPr>
                <w:p>
                  <w:pPr>
                    <w:pStyle w:val="6"/>
                    <w:spacing w:line="240" w:lineRule="auto"/>
                    <w:rPr>
                      <w:rFonts w:hint="eastAsia" w:ascii="Times New Roman" w:hAnsi="Times New Roman" w:eastAsia="宋体" w:cs="Times New Roman"/>
                      <w:color w:val="000000"/>
                      <w:sz w:val="21"/>
                      <w:szCs w:val="21"/>
                      <w:lang w:eastAsia="zh-CN"/>
                    </w:rPr>
                  </w:pPr>
                  <w:r>
                    <w:rPr>
                      <w:rFonts w:hint="eastAsia" w:ascii="Times New Roman" w:hAnsi="Times New Roman" w:eastAsia="宋体" w:cs="Times New Roman"/>
                      <w:color w:val="000000"/>
                      <w:sz w:val="21"/>
                      <w:szCs w:val="21"/>
                      <w:lang w:val="en-US" w:eastAsia="zh-CN"/>
                    </w:rPr>
                    <w:t>6</w:t>
                  </w:r>
                </w:p>
              </w:tc>
              <w:tc>
                <w:tcPr>
                  <w:tcW w:w="750"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检验科固废</w:t>
                  </w:r>
                </w:p>
              </w:tc>
              <w:tc>
                <w:tcPr>
                  <w:tcW w:w="32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危险废物</w:t>
                  </w:r>
                </w:p>
              </w:tc>
              <w:tc>
                <w:tcPr>
                  <w:tcW w:w="29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医疗活动</w:t>
                  </w:r>
                </w:p>
              </w:tc>
              <w:tc>
                <w:tcPr>
                  <w:tcW w:w="30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固态</w:t>
                  </w: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感染性废物</w:t>
                  </w:r>
                </w:p>
              </w:tc>
              <w:tc>
                <w:tcPr>
                  <w:tcW w:w="40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In</w:t>
                  </w:r>
                </w:p>
              </w:tc>
              <w:tc>
                <w:tcPr>
                  <w:tcW w:w="56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HW01</w:t>
                  </w:r>
                </w:p>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医疗废物</w:t>
                  </w:r>
                </w:p>
              </w:tc>
              <w:tc>
                <w:tcPr>
                  <w:tcW w:w="59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841-001-01</w:t>
                  </w:r>
                </w:p>
              </w:tc>
              <w:tc>
                <w:tcPr>
                  <w:tcW w:w="54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0.05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78" w:type="pct"/>
                  <w:tcMar>
                    <w:top w:w="0" w:type="dxa"/>
                    <w:left w:w="23" w:type="dxa"/>
                    <w:bottom w:w="0" w:type="dxa"/>
                    <w:right w:w="23" w:type="dxa"/>
                  </w:tcMar>
                  <w:vAlign w:val="center"/>
                </w:tcPr>
                <w:p>
                  <w:pPr>
                    <w:pStyle w:val="6"/>
                    <w:spacing w:line="240" w:lineRule="auto"/>
                    <w:rPr>
                      <w:rFonts w:hint="default"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7</w:t>
                  </w:r>
                </w:p>
              </w:tc>
              <w:tc>
                <w:tcPr>
                  <w:tcW w:w="750" w:type="pct"/>
                  <w:tcMar>
                    <w:top w:w="0" w:type="dxa"/>
                    <w:left w:w="23" w:type="dxa"/>
                    <w:bottom w:w="0" w:type="dxa"/>
                    <w:right w:w="23" w:type="dxa"/>
                  </w:tcMar>
                  <w:vAlign w:val="center"/>
                </w:tcPr>
                <w:p>
                  <w:pPr>
                    <w:pStyle w:val="6"/>
                    <w:spacing w:line="240" w:lineRule="auto"/>
                    <w:rPr>
                      <w:rFonts w:hint="default"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检验科废液</w:t>
                  </w:r>
                </w:p>
              </w:tc>
              <w:tc>
                <w:tcPr>
                  <w:tcW w:w="329"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sz w:val="21"/>
                      <w:szCs w:val="21"/>
                    </w:rPr>
                    <w:t>危险废物</w:t>
                  </w:r>
                </w:p>
              </w:tc>
              <w:tc>
                <w:tcPr>
                  <w:tcW w:w="291"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sz w:val="21"/>
                      <w:szCs w:val="21"/>
                    </w:rPr>
                    <w:t>医疗活动</w:t>
                  </w:r>
                </w:p>
              </w:tc>
              <w:tc>
                <w:tcPr>
                  <w:tcW w:w="301" w:type="pct"/>
                  <w:tcMar>
                    <w:top w:w="0" w:type="dxa"/>
                    <w:left w:w="23" w:type="dxa"/>
                    <w:bottom w:w="0" w:type="dxa"/>
                    <w:right w:w="23" w:type="dxa"/>
                  </w:tcMar>
                  <w:vAlign w:val="center"/>
                </w:tcPr>
                <w:p>
                  <w:pPr>
                    <w:pStyle w:val="6"/>
                    <w:spacing w:line="240" w:lineRule="auto"/>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液态</w:t>
                  </w:r>
                </w:p>
              </w:tc>
              <w:tc>
                <w:tcPr>
                  <w:tcW w:w="1022"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感染性废物</w:t>
                  </w:r>
                </w:p>
              </w:tc>
              <w:tc>
                <w:tcPr>
                  <w:tcW w:w="408" w:type="pct"/>
                  <w:tcMar>
                    <w:top w:w="0" w:type="dxa"/>
                    <w:left w:w="23" w:type="dxa"/>
                    <w:bottom w:w="0" w:type="dxa"/>
                    <w:right w:w="23" w:type="dxa"/>
                  </w:tcMar>
                  <w:vAlign w:val="center"/>
                </w:tcPr>
                <w:p>
                  <w:pPr>
                    <w:pStyle w:val="6"/>
                    <w:spacing w:line="240" w:lineRule="auto"/>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sz w:val="21"/>
                      <w:szCs w:val="21"/>
                    </w:rPr>
                    <w:t>In</w:t>
                  </w:r>
                </w:p>
              </w:tc>
              <w:tc>
                <w:tcPr>
                  <w:tcW w:w="56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HW01</w:t>
                  </w:r>
                </w:p>
                <w:p>
                  <w:pPr>
                    <w:pStyle w:val="39"/>
                    <w:jc w:val="center"/>
                    <w:rPr>
                      <w:rFonts w:ascii="Times New Roman" w:hAnsi="Times New Roman" w:eastAsia="宋体" w:cs="Times New Roman"/>
                      <w:color w:val="000000"/>
                      <w:kern w:val="0"/>
                      <w:sz w:val="21"/>
                      <w:szCs w:val="21"/>
                      <w:lang w:val="en-US" w:eastAsia="zh-CN" w:bidi="ar-SA"/>
                    </w:rPr>
                  </w:pPr>
                  <w:r>
                    <w:rPr>
                      <w:rFonts w:ascii="Times New Roman" w:hAnsi="Times New Roman" w:eastAsia="宋体" w:cs="Times New Roman"/>
                      <w:color w:val="000000"/>
                      <w:szCs w:val="21"/>
                    </w:rPr>
                    <w:t>医疗废物</w:t>
                  </w:r>
                </w:p>
              </w:tc>
              <w:tc>
                <w:tcPr>
                  <w:tcW w:w="599" w:type="pct"/>
                  <w:tcMar>
                    <w:top w:w="0" w:type="dxa"/>
                    <w:left w:w="23" w:type="dxa"/>
                    <w:bottom w:w="0" w:type="dxa"/>
                    <w:right w:w="23" w:type="dxa"/>
                  </w:tcMar>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841-001-01</w:t>
                  </w:r>
                </w:p>
              </w:tc>
              <w:tc>
                <w:tcPr>
                  <w:tcW w:w="549" w:type="pct"/>
                  <w:tcMar>
                    <w:top w:w="0" w:type="dxa"/>
                    <w:left w:w="23" w:type="dxa"/>
                    <w:bottom w:w="0" w:type="dxa"/>
                    <w:right w:w="23" w:type="dxa"/>
                  </w:tcMar>
                  <w:vAlign w:val="center"/>
                </w:tcPr>
                <w:p>
                  <w:pPr>
                    <w:pStyle w:val="6"/>
                    <w:spacing w:line="240" w:lineRule="auto"/>
                    <w:rPr>
                      <w:rFonts w:hint="default"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0.04</w:t>
                  </w:r>
                </w:p>
              </w:tc>
            </w:tr>
          </w:tbl>
          <w:p>
            <w:pPr>
              <w:pStyle w:val="39"/>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2、环境管理要求</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固废主要为生活垃圾、使用后未污染的输液瓶（袋）、医疗废物、废紫外线灯管、污水处理站污泥</w:t>
            </w:r>
            <w:r>
              <w:rPr>
                <w:rFonts w:hint="eastAsia" w:ascii="Times New Roman" w:hAnsi="Times New Roman" w:eastAsia="宋体" w:cs="Times New Roman"/>
                <w:color w:val="000000"/>
                <w:sz w:val="24"/>
                <w:szCs w:val="24"/>
              </w:rPr>
              <w:t>、检验科固废</w:t>
            </w:r>
            <w:r>
              <w:rPr>
                <w:rFonts w:hint="eastAsia" w:ascii="Times New Roman" w:hAnsi="Times New Roman" w:eastAsia="宋体" w:cs="Times New Roman"/>
                <w:color w:val="000000"/>
                <w:sz w:val="24"/>
                <w:szCs w:val="24"/>
                <w:lang w:eastAsia="zh-CN"/>
              </w:rPr>
              <w:t>、</w:t>
            </w:r>
            <w:r>
              <w:rPr>
                <w:rFonts w:hint="eastAsia" w:ascii="Times New Roman" w:hAnsi="Times New Roman" w:eastAsia="宋体" w:cs="Times New Roman"/>
                <w:color w:val="000000"/>
                <w:sz w:val="24"/>
                <w:szCs w:val="24"/>
                <w:lang w:val="en-US" w:eastAsia="zh-CN"/>
              </w:rPr>
              <w:t>检验科废液</w:t>
            </w:r>
            <w:r>
              <w:rPr>
                <w:rFonts w:ascii="Times New Roman" w:hAnsi="Times New Roman" w:eastAsia="宋体" w:cs="Times New Roman"/>
                <w:color w:val="000000"/>
                <w:sz w:val="24"/>
                <w:szCs w:val="24"/>
              </w:rPr>
              <w:t>，其中生活垃圾和使用后未污染的输液瓶（袋）属于一般固体废物；医疗废物、废紫外线灯管、污水处理站污泥</w:t>
            </w:r>
            <w:r>
              <w:rPr>
                <w:rFonts w:hint="eastAsia" w:ascii="Times New Roman" w:hAnsi="Times New Roman" w:eastAsia="宋体" w:cs="Times New Roman"/>
                <w:color w:val="000000"/>
                <w:sz w:val="24"/>
                <w:szCs w:val="24"/>
              </w:rPr>
              <w:t>、检验科固废</w:t>
            </w:r>
            <w:r>
              <w:rPr>
                <w:rFonts w:hint="eastAsia" w:ascii="Times New Roman" w:hAnsi="Times New Roman" w:eastAsia="宋体" w:cs="Times New Roman"/>
                <w:color w:val="000000"/>
                <w:sz w:val="24"/>
                <w:szCs w:val="24"/>
                <w:lang w:eastAsia="zh-CN"/>
              </w:rPr>
              <w:t>、</w:t>
            </w:r>
            <w:r>
              <w:rPr>
                <w:rFonts w:hint="eastAsia" w:ascii="Times New Roman" w:hAnsi="Times New Roman" w:eastAsia="宋体" w:cs="Times New Roman"/>
                <w:color w:val="000000"/>
                <w:sz w:val="24"/>
                <w:szCs w:val="24"/>
                <w:lang w:val="en-US" w:eastAsia="zh-CN"/>
              </w:rPr>
              <w:t>检验科废液</w:t>
            </w:r>
            <w:r>
              <w:rPr>
                <w:rFonts w:ascii="Times New Roman" w:hAnsi="Times New Roman" w:eastAsia="宋体" w:cs="Times New Roman"/>
                <w:color w:val="000000"/>
                <w:sz w:val="24"/>
                <w:szCs w:val="24"/>
              </w:rPr>
              <w:t>属于危险废物。</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（1）一般固体废物</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在各层电梯或楼梯口附近及洗手间里设置垃圾分类收集桶，生活垃圾和厨余垃圾由清洁工人妥善收集后暂存于生活存放点，每日由环卫部门统一处理，并定期消毒垃圾存放点。使用后未污染的输液瓶（袋）是可回收一般固体废物，收集后交由有资质处置单位回收利用。</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（2）危险废物</w:t>
            </w:r>
          </w:p>
          <w:p>
            <w:pPr>
              <w:pStyle w:val="20"/>
              <w:spacing w:before="0" w:after="0" w:line="360" w:lineRule="auto"/>
              <w:ind w:right="0" w:firstLine="480" w:firstLineChars="200"/>
              <w:rPr>
                <w:rFonts w:ascii="Times New Roman" w:hAnsi="Times New Roman" w:eastAsia="宋体" w:cs="Times New Roman"/>
                <w:color w:val="000000"/>
                <w:sz w:val="24"/>
                <w:szCs w:val="24"/>
              </w:rPr>
            </w:pPr>
            <w:bookmarkStart w:id="38" w:name="_Toc140806722"/>
            <w:bookmarkStart w:id="39" w:name="_Toc185816382"/>
            <w:bookmarkStart w:id="40" w:name="_Toc144608336"/>
            <w:r>
              <w:rPr>
                <w:rFonts w:ascii="Times New Roman" w:hAnsi="Times New Roman" w:eastAsia="宋体" w:cs="Times New Roman"/>
                <w:color w:val="000000"/>
                <w:sz w:val="24"/>
                <w:szCs w:val="24"/>
              </w:rPr>
              <w:t>本项目设1间医</w:t>
            </w:r>
            <w:r>
              <w:rPr>
                <w:rFonts w:ascii="Times New Roman" w:hAnsi="Times New Roman" w:eastAsia="宋体" w:cs="Times New Roman"/>
                <w:color w:val="000000"/>
                <w:sz w:val="24"/>
                <w:szCs w:val="24"/>
                <w:lang w:val="zh-CN"/>
              </w:rPr>
              <w:t>疗废物暂存间</w:t>
            </w:r>
            <w:r>
              <w:rPr>
                <w:rFonts w:ascii="Times New Roman" w:hAnsi="Times New Roman" w:eastAsia="宋体" w:cs="Times New Roman"/>
                <w:color w:val="000000"/>
                <w:sz w:val="24"/>
                <w:szCs w:val="24"/>
              </w:rPr>
              <w:t>（面积约10m</w:t>
            </w:r>
            <w:r>
              <w:rPr>
                <w:rFonts w:ascii="Times New Roman" w:hAnsi="Times New Roman" w:eastAsia="宋体" w:cs="Times New Roman"/>
                <w:color w:val="000000"/>
                <w:sz w:val="24"/>
                <w:szCs w:val="24"/>
                <w:vertAlign w:val="superscript"/>
              </w:rPr>
              <w:t>2</w:t>
            </w:r>
            <w:r>
              <w:rPr>
                <w:rFonts w:ascii="Times New Roman" w:hAnsi="Times New Roman" w:eastAsia="宋体" w:cs="Times New Roman"/>
                <w:color w:val="000000"/>
                <w:sz w:val="24"/>
                <w:szCs w:val="24"/>
              </w:rPr>
              <w:t>），且独立远离办公室、医疗区。产生的医疗废物、废紫外线灯管、检验科固废</w:t>
            </w:r>
            <w:r>
              <w:rPr>
                <w:rFonts w:hint="eastAsia" w:ascii="Times New Roman" w:hAnsi="Times New Roman" w:eastAsia="宋体" w:cs="Times New Roman"/>
                <w:color w:val="000000"/>
                <w:sz w:val="24"/>
                <w:szCs w:val="24"/>
                <w:lang w:eastAsia="zh-CN"/>
              </w:rPr>
              <w:t>（</w:t>
            </w:r>
            <w:r>
              <w:rPr>
                <w:rFonts w:hint="eastAsia" w:ascii="Times New Roman" w:hAnsi="Times New Roman" w:eastAsia="宋体" w:cs="Times New Roman"/>
                <w:color w:val="000000"/>
                <w:sz w:val="24"/>
                <w:szCs w:val="24"/>
                <w:lang w:val="en-US" w:eastAsia="zh-CN"/>
              </w:rPr>
              <w:t>高温灭菌</w:t>
            </w:r>
            <w:r>
              <w:rPr>
                <w:rFonts w:hint="eastAsia" w:ascii="Times New Roman" w:hAnsi="Times New Roman" w:eastAsia="宋体" w:cs="Times New Roman"/>
                <w:color w:val="000000"/>
                <w:sz w:val="24"/>
                <w:szCs w:val="24"/>
                <w:lang w:eastAsia="zh-CN"/>
              </w:rPr>
              <w:t>）</w:t>
            </w:r>
            <w:r>
              <w:rPr>
                <w:rFonts w:ascii="Times New Roman" w:hAnsi="Times New Roman" w:eastAsia="宋体" w:cs="Times New Roman"/>
                <w:color w:val="000000"/>
                <w:sz w:val="24"/>
                <w:szCs w:val="24"/>
              </w:rPr>
              <w:t>经袋装收集后暂存于医</w:t>
            </w:r>
            <w:r>
              <w:rPr>
                <w:rFonts w:ascii="Times New Roman" w:hAnsi="Times New Roman" w:eastAsia="宋体" w:cs="Times New Roman"/>
                <w:color w:val="000000"/>
                <w:sz w:val="24"/>
                <w:szCs w:val="24"/>
                <w:lang w:val="zh-CN"/>
              </w:rPr>
              <w:t>疗废物暂存间</w:t>
            </w:r>
            <w:r>
              <w:rPr>
                <w:rFonts w:ascii="Times New Roman" w:hAnsi="Times New Roman" w:eastAsia="宋体" w:cs="Times New Roman"/>
                <w:color w:val="000000"/>
                <w:sz w:val="24"/>
                <w:szCs w:val="24"/>
              </w:rPr>
              <w:t>专用桶内；清掏出来的污水处理站污泥定期交由有资质单位处理。</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针对本项目正常运行阶段所产生的危险废物的日常管理提出以下要求：</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①履行申报登记制度，企业应按照国家排污许可有关管理规定要求，申请排污许可证，并在环保设施调试期3个月内按照《建设项目竣工环境保护验收暂行办法》自行组织验收，在公示期结束后登陆全国建设项目竣工环境保护验收信息平台，填报相关信息，并对信息的真实性、准确性和完整性负责；</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②建立台账管理制度，企业须做好危险废物情况的记录，记录上需注明危险废物的名称、来源、数量、特性和包装容器的类别；</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③委托处置应执行报批和转移联单等制度；</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④定期对暂存的危险废物包装容器及贮存设施进行检查，及早发现破损，及时采取措施清理更换；</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⑤危险废物收集并分类存放于医</w:t>
            </w:r>
            <w:r>
              <w:rPr>
                <w:rFonts w:ascii="Times New Roman" w:hAnsi="Times New Roman" w:eastAsia="宋体" w:cs="Times New Roman"/>
                <w:color w:val="000000"/>
                <w:sz w:val="24"/>
                <w:szCs w:val="24"/>
                <w:lang w:val="zh-CN"/>
              </w:rPr>
              <w:t>疗废物暂存间</w:t>
            </w:r>
            <w:r>
              <w:rPr>
                <w:rFonts w:ascii="Times New Roman" w:hAnsi="Times New Roman" w:eastAsia="宋体" w:cs="Times New Roman"/>
                <w:color w:val="000000"/>
                <w:sz w:val="24"/>
                <w:szCs w:val="24"/>
              </w:rPr>
              <w:t>；</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⑥直接从事收集、贮存、运输、利用、处置危险废物的人员，应当接受专业培训，经考核合格，方可从事该项工作；</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⑦危险废物贮存（处置）场所规范化设置，危险废物贮存（处置）场所应在醒目处设置标志牌；</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⑧危险废物（医疗废物、废紫外线灯管</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）等应选择合适的容器和存放地点，通过密闭容器存放，不可混合贮存，容器标签必须标明废物种类、贮存时间，定期处理。</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本项目医疗废物、废紫外线灯管</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暂存于医</w:t>
            </w:r>
            <w:r>
              <w:rPr>
                <w:rFonts w:ascii="Times New Roman" w:hAnsi="Times New Roman" w:eastAsia="宋体" w:cs="Times New Roman"/>
                <w:color w:val="000000"/>
                <w:sz w:val="24"/>
                <w:szCs w:val="24"/>
                <w:lang w:val="zh-CN"/>
              </w:rPr>
              <w:t>疗废物暂存间</w:t>
            </w:r>
            <w:r>
              <w:rPr>
                <w:rFonts w:ascii="Times New Roman" w:hAnsi="Times New Roman" w:eastAsia="宋体" w:cs="Times New Roman"/>
                <w:color w:val="000000"/>
                <w:sz w:val="24"/>
                <w:szCs w:val="24"/>
              </w:rPr>
              <w:t>内，专人管理，定期交由有资质单位处理。</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综上所述，本项目固废合理处置后对周边环境影响不大。</w:t>
            </w:r>
          </w:p>
          <w:p>
            <w:pPr>
              <w:pStyle w:val="39"/>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五、地下水影响分析</w:t>
            </w:r>
            <w:bookmarkEnd w:id="38"/>
            <w:bookmarkEnd w:id="39"/>
            <w:bookmarkEnd w:id="40"/>
            <w:r>
              <w:rPr>
                <w:rFonts w:ascii="Times New Roman" w:hAnsi="Times New Roman" w:eastAsia="宋体" w:cs="Times New Roman"/>
                <w:b/>
                <w:bCs/>
                <w:color w:val="000000"/>
                <w:sz w:val="24"/>
              </w:rPr>
              <w:t>：</w:t>
            </w:r>
          </w:p>
          <w:p>
            <w:pPr>
              <w:widowControl/>
              <w:spacing w:line="360" w:lineRule="auto"/>
              <w:ind w:firstLine="480" w:firstLineChars="200"/>
              <w:jc w:val="left"/>
              <w:rPr>
                <w:rFonts w:ascii="Times New Roman" w:hAnsi="Times New Roman" w:eastAsia="宋体" w:cs="Times New Roman"/>
                <w:b/>
                <w:bCs/>
                <w:color w:val="000000"/>
                <w:sz w:val="24"/>
              </w:rPr>
            </w:pPr>
            <w:r>
              <w:rPr>
                <w:rFonts w:ascii="Times New Roman" w:hAnsi="Times New Roman" w:eastAsia="宋体" w:cs="Times New Roman"/>
                <w:color w:val="000000"/>
                <w:kern w:val="0"/>
                <w:sz w:val="24"/>
              </w:rPr>
              <w:t>项目医疗废物暂存间按照《危险废物贮存污染控制标准》(GB18597-20</w:t>
            </w:r>
            <w:r>
              <w:rPr>
                <w:rFonts w:hint="eastAsia" w:ascii="Times New Roman" w:hAnsi="Times New Roman" w:eastAsia="宋体" w:cs="Times New Roman"/>
                <w:color w:val="000000"/>
                <w:kern w:val="0"/>
                <w:sz w:val="24"/>
                <w:lang w:val="en-US" w:eastAsia="zh-CN"/>
              </w:rPr>
              <w:t>23</w:t>
            </w:r>
            <w:r>
              <w:rPr>
                <w:rFonts w:ascii="Times New Roman" w:hAnsi="Times New Roman" w:eastAsia="宋体" w:cs="Times New Roman"/>
                <w:color w:val="000000"/>
                <w:kern w:val="0"/>
                <w:sz w:val="24"/>
              </w:rPr>
              <w:t>）的要求进行防渗处理。厂区地面均进行硬化，项目不涉及重金属的危险化学品排放，正常工况下项目涉及的物料撒漏、消防废水等渗入地下的几率极小，项目对地下水环境影响甚微。</w:t>
            </w:r>
          </w:p>
          <w:p>
            <w:pPr>
              <w:pStyle w:val="39"/>
              <w:spacing w:line="360" w:lineRule="auto"/>
              <w:ind w:firstLine="482" w:firstLineChars="200"/>
              <w:jc w:val="both"/>
              <w:rPr>
                <w:rFonts w:ascii="Times New Roman" w:hAnsi="Times New Roman" w:eastAsia="宋体" w:cs="Times New Roman"/>
                <w:b/>
                <w:bCs/>
                <w:color w:val="000000"/>
                <w:sz w:val="24"/>
              </w:rPr>
            </w:pPr>
            <w:r>
              <w:rPr>
                <w:rFonts w:ascii="Times New Roman" w:hAnsi="Times New Roman" w:eastAsia="宋体" w:cs="Times New Roman"/>
                <w:b/>
                <w:bCs/>
                <w:color w:val="000000"/>
                <w:sz w:val="24"/>
              </w:rPr>
              <w:t>六、土壤的影响分析：</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（1）污染途径</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土壤的污染途径主要有地面漫流、垂直入渗和大气沉降。</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①地面漫流</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项目在事故状态下可能会发生废水泄漏的情况，院区已做硬化处理，污水设施以及排水管道做好硬化并作定期检查，可以有效防止出现污水泄漏事故。因此项目不考虑地面漫流对土壤的影响。</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②垂直入渗</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项目所用的医用原料分类管理贮存，贮存区和医疗废物暂存间均采用重点防渗处理，在全面落实分区防渗措施的情况下，项目不存在垂直入渗对土壤、地下水的影响。</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③大气沉降</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项目运营期污水处理站废气污染物主要为：氨、硫化氢、臭气，这三种废气污染物不会发生大气沉降，故不会对土壤环境产生影响。</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（2）防治措施</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防治措施主要是控制项目废水、废气产生环节。项目废水经自行处理后排入市政管道。工艺、管道设备、污水储存及处理构筑物采取有效的污染控制措施，将污染物跑冒滴漏降到最低限。另外，对职工加强环境保护意识的教育，采取严格的污染防治措施，对每个排污环节加强控制、管理，定期对污水处理站进行检查。同时要加强院区巡检，对跑冒滴漏做到及时发现、及时控制；做好院区医疗废物暂存间、设备装置区地面防渗等的管理，防渗层破裂后及时补救、更换。</w:t>
            </w:r>
          </w:p>
          <w:p>
            <w:pPr>
              <w:widowControl/>
              <w:snapToGrid w:val="0"/>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七、生态环境影响分析</w:t>
            </w:r>
          </w:p>
          <w:p>
            <w:pPr>
              <w:pStyle w:val="20"/>
              <w:spacing w:before="0" w:after="0" w:line="360" w:lineRule="auto"/>
              <w:ind w:right="0" w:firstLine="480" w:firstLineChars="200"/>
              <w:rPr>
                <w:rFonts w:ascii="Times New Roman" w:hAnsi="Times New Roman" w:eastAsia="宋体" w:cs="Times New Roman"/>
                <w:color w:val="000000"/>
                <w:sz w:val="24"/>
                <w:szCs w:val="24"/>
                <w:lang w:val="zh-CN"/>
              </w:rPr>
            </w:pPr>
            <w:r>
              <w:rPr>
                <w:rFonts w:ascii="Times New Roman" w:hAnsi="Times New Roman" w:eastAsia="宋体" w:cs="Times New Roman"/>
                <w:color w:val="000000"/>
                <w:sz w:val="24"/>
                <w:szCs w:val="24"/>
              </w:rPr>
              <w:t>项目使用已建成的房屋作为项目运营用房，不新增用地，不会对周围生态环境产生明显影响。</w:t>
            </w:r>
          </w:p>
          <w:p>
            <w:pPr>
              <w:tabs>
                <w:tab w:val="center" w:pos="4153"/>
                <w:tab w:val="right" w:pos="8306"/>
              </w:tabs>
              <w:snapToGrid w:val="0"/>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八、环境风险分析</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项目存在的危险源有：医疗废水在自建污水处理站发生事故时，未经处理和消毒的排放；医疗废物、</w:t>
            </w:r>
            <w:r>
              <w:rPr>
                <w:rFonts w:hint="eastAsia" w:ascii="Times New Roman" w:hAnsi="Times New Roman" w:eastAsia="宋体" w:cs="Times New Roman"/>
                <w:color w:val="000000"/>
                <w:sz w:val="24"/>
                <w:szCs w:val="24"/>
              </w:rPr>
              <w:t>废紫外线灯管、</w:t>
            </w:r>
            <w:r>
              <w:rPr>
                <w:rFonts w:ascii="Times New Roman" w:hAnsi="Times New Roman" w:eastAsia="宋体" w:cs="Times New Roman"/>
                <w:color w:val="000000"/>
                <w:sz w:val="24"/>
                <w:szCs w:val="24"/>
              </w:rPr>
              <w:t>污水站污泥</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在收集、贮存、运送过程中存在的风险；自建污水处理站污水消毒中使用次氯酸钠消毒泄露风险；易燃危险物质（乙醇、柴油）储存过程中发生火灾及爆炸的风险。因此，本评价主要对医院</w:t>
            </w:r>
            <w:r>
              <w:rPr>
                <w:rFonts w:hint="eastAsia" w:ascii="Times New Roman" w:hAnsi="Times New Roman" w:eastAsia="宋体" w:cs="Times New Roman"/>
                <w:color w:val="000000"/>
                <w:sz w:val="24"/>
                <w:szCs w:val="24"/>
              </w:rPr>
              <w:t>运营期</w:t>
            </w:r>
            <w:r>
              <w:rPr>
                <w:rFonts w:ascii="Times New Roman" w:hAnsi="Times New Roman" w:eastAsia="宋体" w:cs="Times New Roman"/>
                <w:color w:val="000000"/>
                <w:sz w:val="24"/>
                <w:szCs w:val="24"/>
              </w:rPr>
              <w:t>间可能存在的危险，有害因素进行分析，并对可能发生的突发性事件及事故所造成的人身安全与环境影响和损害程度，提出合理的可行的防范、应急与减缓措施。</w:t>
            </w:r>
          </w:p>
          <w:p>
            <w:pPr>
              <w:pStyle w:val="39"/>
              <w:spacing w:line="360" w:lineRule="auto"/>
              <w:ind w:firstLine="482" w:firstLineChars="200"/>
              <w:jc w:val="both"/>
              <w:rPr>
                <w:rFonts w:ascii="Times New Roman" w:hAnsi="Times New Roman" w:eastAsia="宋体" w:cs="Times New Roman"/>
                <w:b/>
                <w:bCs/>
                <w:color w:val="000000"/>
                <w:sz w:val="24"/>
              </w:rPr>
            </w:pPr>
            <w:r>
              <w:rPr>
                <w:rFonts w:ascii="Times New Roman" w:hAnsi="Times New Roman" w:eastAsia="宋体" w:cs="Times New Roman"/>
                <w:b/>
                <w:bCs/>
                <w:color w:val="000000"/>
                <w:sz w:val="24"/>
              </w:rPr>
              <w:t>1、风险物质分析</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按照《建设项目环境风险评价技术导则》（HJ169-2018），定量分析危险物质数量与临界量的比值（Q）和所属行业及生产工艺特点（M），按附录C对危险物质及工艺系统危险性（P）等级进行判断。危险物质数量与临界量比值（Q）分为以下两种情况：</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①当只涉及一种危险物质时，计算该物质的总量与其临界量比值，即为Q；</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②当存在多种危险物质时，则按下式计算物质总量与其临界量比值（Q）：</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Q=q1/Q1+q2/Q2+...+qn/Qn</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式中：q1，q2，...，qn--每种危险物质的最大存在总量，t；</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Q1,Q2，...，Qn--每种危险物质的临界量，t</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当Q＜1时，该项目环境风险潜势为Ⅰ。</w:t>
            </w:r>
          </w:p>
          <w:p>
            <w:pPr>
              <w:pStyle w:val="39"/>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当Q≥1，将Q值划分为：（1）1≤Q＜10；（2）10≤Q＜100；（3）Q≥100。</w:t>
            </w:r>
          </w:p>
          <w:p>
            <w:pPr>
              <w:pStyle w:val="20"/>
              <w:spacing w:before="0" w:after="0" w:line="360" w:lineRule="auto"/>
              <w:ind w:right="0" w:firstLine="480" w:firstLineChars="200"/>
              <w:rPr>
                <w:rFonts w:ascii="Times New Roman" w:hAnsi="Times New Roman" w:eastAsia="宋体" w:cs="Times New Roman"/>
                <w:b/>
                <w:bCs/>
                <w:color w:val="000000"/>
                <w:kern w:val="2"/>
                <w:sz w:val="24"/>
              </w:rPr>
            </w:pPr>
            <w:r>
              <w:rPr>
                <w:rFonts w:ascii="Times New Roman" w:hAnsi="Times New Roman" w:eastAsia="宋体" w:cs="Times New Roman"/>
                <w:color w:val="000000"/>
                <w:sz w:val="24"/>
                <w:szCs w:val="24"/>
              </w:rPr>
              <w:t>根据《建设项目环境风险评价技术导则》（HJ169-2018）附录B、《企业突发环境事件风险分级方法》（HJ941-2018）附录A和《危险化学品重大危险源辨识》（GB18218-2018），对项目使用及储存危险化学品进行重大危险源识别。</w:t>
            </w:r>
          </w:p>
          <w:p>
            <w:pPr>
              <w:pStyle w:val="39"/>
              <w:spacing w:line="360" w:lineRule="auto"/>
              <w:ind w:left="107" w:firstLine="482" w:firstLineChars="200"/>
              <w:jc w:val="center"/>
              <w:rPr>
                <w:rFonts w:ascii="Times New Roman" w:hAnsi="Times New Roman" w:eastAsia="宋体" w:cs="Times New Roman"/>
                <w:b/>
                <w:bCs/>
                <w:color w:val="000000"/>
                <w:kern w:val="2"/>
                <w:sz w:val="24"/>
              </w:rPr>
            </w:pPr>
          </w:p>
          <w:p>
            <w:pPr>
              <w:pStyle w:val="39"/>
              <w:spacing w:line="360" w:lineRule="auto"/>
              <w:ind w:left="107" w:firstLine="482" w:firstLineChars="200"/>
              <w:jc w:val="center"/>
              <w:rPr>
                <w:rFonts w:ascii="Times New Roman" w:hAnsi="Times New Roman" w:eastAsia="宋体" w:cs="Times New Roman"/>
                <w:b/>
                <w:bCs/>
                <w:color w:val="000000"/>
                <w:kern w:val="2"/>
                <w:sz w:val="24"/>
              </w:rPr>
            </w:pPr>
          </w:p>
          <w:p>
            <w:pPr>
              <w:pStyle w:val="39"/>
              <w:spacing w:line="360" w:lineRule="auto"/>
              <w:ind w:left="107" w:firstLine="482" w:firstLineChars="200"/>
              <w:jc w:val="center"/>
              <w:rPr>
                <w:rFonts w:ascii="Times New Roman" w:hAnsi="Times New Roman" w:eastAsia="宋体" w:cs="Times New Roman"/>
                <w:b/>
                <w:bCs/>
                <w:color w:val="000000"/>
                <w:kern w:val="2"/>
                <w:sz w:val="24"/>
              </w:rPr>
            </w:pPr>
          </w:p>
          <w:p>
            <w:pPr>
              <w:pStyle w:val="39"/>
              <w:spacing w:line="360" w:lineRule="auto"/>
              <w:ind w:left="107" w:firstLine="482" w:firstLineChars="200"/>
              <w:jc w:val="center"/>
              <w:rPr>
                <w:rFonts w:ascii="Times New Roman" w:hAnsi="Times New Roman" w:eastAsia="宋体" w:cs="Times New Roman"/>
                <w:b/>
                <w:bCs/>
                <w:color w:val="000000"/>
                <w:kern w:val="2"/>
                <w:sz w:val="24"/>
              </w:rPr>
            </w:pPr>
            <w:r>
              <w:rPr>
                <w:rFonts w:ascii="Times New Roman" w:hAnsi="Times New Roman" w:eastAsia="宋体" w:cs="Times New Roman"/>
                <w:b/>
                <w:bCs/>
                <w:color w:val="000000"/>
                <w:kern w:val="2"/>
                <w:sz w:val="24"/>
              </w:rPr>
              <w:t>表4-</w:t>
            </w:r>
            <w:r>
              <w:rPr>
                <w:rFonts w:hint="eastAsia" w:ascii="Times New Roman" w:hAnsi="Times New Roman" w:eastAsia="宋体" w:cs="Times New Roman"/>
                <w:b/>
                <w:bCs/>
                <w:color w:val="000000"/>
                <w:kern w:val="2"/>
                <w:sz w:val="24"/>
              </w:rPr>
              <w:t>2</w:t>
            </w:r>
            <w:r>
              <w:rPr>
                <w:rFonts w:hint="eastAsia" w:ascii="Times New Roman" w:hAnsi="Times New Roman" w:eastAsia="宋体" w:cs="Times New Roman"/>
                <w:b/>
                <w:bCs/>
                <w:color w:val="000000"/>
                <w:kern w:val="2"/>
                <w:sz w:val="24"/>
                <w:lang w:val="en-US" w:eastAsia="zh-CN"/>
              </w:rPr>
              <w:t>3</w:t>
            </w:r>
            <w:r>
              <w:rPr>
                <w:rFonts w:ascii="Times New Roman" w:hAnsi="Times New Roman" w:eastAsia="宋体" w:cs="Times New Roman"/>
                <w:b/>
                <w:bCs/>
                <w:color w:val="000000"/>
                <w:kern w:val="2"/>
                <w:sz w:val="24"/>
              </w:rPr>
              <w:t>建设项目Q值确定表</w:t>
            </w:r>
          </w:p>
          <w:tbl>
            <w:tblPr>
              <w:tblStyle w:val="3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735"/>
              <w:gridCol w:w="1556"/>
              <w:gridCol w:w="1336"/>
              <w:gridCol w:w="948"/>
              <w:gridCol w:w="2974"/>
              <w:gridCol w:w="114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423"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序号</w:t>
                  </w:r>
                </w:p>
              </w:tc>
              <w:tc>
                <w:tcPr>
                  <w:tcW w:w="895"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危险物质名称</w:t>
                  </w:r>
                </w:p>
              </w:tc>
              <w:tc>
                <w:tcPr>
                  <w:tcW w:w="768"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最大存储总量qn/t</w:t>
                  </w:r>
                </w:p>
              </w:tc>
              <w:tc>
                <w:tcPr>
                  <w:tcW w:w="545"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临界量Qn/t</w:t>
                  </w:r>
                </w:p>
              </w:tc>
              <w:tc>
                <w:tcPr>
                  <w:tcW w:w="1708"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Q值依据</w:t>
                  </w:r>
                </w:p>
              </w:tc>
              <w:tc>
                <w:tcPr>
                  <w:tcW w:w="658"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该种危险物质Q值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423"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1</w:t>
                  </w:r>
                </w:p>
              </w:tc>
              <w:tc>
                <w:tcPr>
                  <w:tcW w:w="895"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次氯酸钠*</w:t>
                  </w:r>
                </w:p>
              </w:tc>
              <w:tc>
                <w:tcPr>
                  <w:tcW w:w="768"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0.548</w:t>
                  </w:r>
                </w:p>
              </w:tc>
              <w:tc>
                <w:tcPr>
                  <w:tcW w:w="545"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w:t>
                  </w:r>
                </w:p>
              </w:tc>
              <w:tc>
                <w:tcPr>
                  <w:tcW w:w="1708" w:type="pct"/>
                  <w:tcBorders>
                    <w:tl2br w:val="nil"/>
                    <w:tr2bl w:val="nil"/>
                  </w:tcBorders>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lang w:bidi="ar"/>
                    </w:rPr>
                    <w:t>《建设项目环境风险评价技术导则》（HJ169-2018）表B.1</w:t>
                  </w:r>
                </w:p>
              </w:tc>
              <w:tc>
                <w:tcPr>
                  <w:tcW w:w="658"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0.1096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423"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2</w:t>
                  </w:r>
                </w:p>
              </w:tc>
              <w:tc>
                <w:tcPr>
                  <w:tcW w:w="895" w:type="pct"/>
                  <w:tcBorders>
                    <w:tl2br w:val="nil"/>
                    <w:tr2bl w:val="nil"/>
                  </w:tcBorders>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乙醇</w:t>
                  </w:r>
                </w:p>
              </w:tc>
              <w:tc>
                <w:tcPr>
                  <w:tcW w:w="768"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0.1275</w:t>
                  </w:r>
                </w:p>
              </w:tc>
              <w:tc>
                <w:tcPr>
                  <w:tcW w:w="545"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500</w:t>
                  </w:r>
                </w:p>
              </w:tc>
              <w:tc>
                <w:tcPr>
                  <w:tcW w:w="1708" w:type="pct"/>
                  <w:tcBorders>
                    <w:tl2br w:val="nil"/>
                    <w:tr2bl w:val="nil"/>
                  </w:tcBorders>
                  <w:vAlign w:val="center"/>
                </w:tcPr>
                <w:p>
                  <w:pPr>
                    <w:widowControl/>
                    <w:jc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《企业突发环境事件风险分级方法》（HJ941-2018）附录A</w:t>
                  </w:r>
                </w:p>
              </w:tc>
              <w:tc>
                <w:tcPr>
                  <w:tcW w:w="658"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0.000255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423"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3</w:t>
                  </w:r>
                </w:p>
              </w:tc>
              <w:tc>
                <w:tcPr>
                  <w:tcW w:w="895"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污水站污泥**</w:t>
                  </w:r>
                </w:p>
              </w:tc>
              <w:tc>
                <w:tcPr>
                  <w:tcW w:w="768" w:type="pct"/>
                  <w:tcBorders>
                    <w:tl2br w:val="nil"/>
                    <w:tr2bl w:val="nil"/>
                  </w:tcBorders>
                  <w:vAlign w:val="center"/>
                </w:tcPr>
                <w:p>
                  <w:pPr>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2.42</w:t>
                  </w:r>
                </w:p>
              </w:tc>
              <w:tc>
                <w:tcPr>
                  <w:tcW w:w="545"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100</w:t>
                  </w:r>
                </w:p>
              </w:tc>
              <w:tc>
                <w:tcPr>
                  <w:tcW w:w="1708" w:type="pct"/>
                  <w:tcBorders>
                    <w:tl2br w:val="nil"/>
                    <w:tr2bl w:val="nil"/>
                  </w:tcBorders>
                  <w:vAlign w:val="center"/>
                </w:tcPr>
                <w:p>
                  <w:pPr>
                    <w:widowControl/>
                    <w:jc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《建设项目环境风险评价技术导则》（HJ169-2018）附录B，表B.2—危害水环境物质</w:t>
                  </w:r>
                </w:p>
              </w:tc>
              <w:tc>
                <w:tcPr>
                  <w:tcW w:w="658"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0.0</w:t>
                  </w:r>
                  <w:r>
                    <w:rPr>
                      <w:rFonts w:hint="eastAsia" w:ascii="Times New Roman" w:hAnsi="Times New Roman" w:eastAsia="宋体" w:cs="Times New Roman"/>
                      <w:color w:val="000000"/>
                      <w:sz w:val="21"/>
                      <w:szCs w:val="21"/>
                    </w:rPr>
                    <w:t>242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23"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4</w:t>
                  </w:r>
                </w:p>
              </w:tc>
              <w:tc>
                <w:tcPr>
                  <w:tcW w:w="895"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柴油</w:t>
                  </w:r>
                </w:p>
              </w:tc>
              <w:tc>
                <w:tcPr>
                  <w:tcW w:w="768"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0.478</w:t>
                  </w:r>
                </w:p>
              </w:tc>
              <w:tc>
                <w:tcPr>
                  <w:tcW w:w="545" w:type="pct"/>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2500</w:t>
                  </w:r>
                </w:p>
              </w:tc>
              <w:tc>
                <w:tcPr>
                  <w:tcW w:w="1708" w:type="pct"/>
                  <w:tcBorders>
                    <w:tl2br w:val="nil"/>
                    <w:tr2bl w:val="nil"/>
                  </w:tcBorders>
                  <w:vAlign w:val="center"/>
                </w:tcPr>
                <w:p>
                  <w:pPr>
                    <w:widowControl/>
                    <w:jc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《企业突发环境事件风险分级方法》（HJ941-2018）附录A</w:t>
                  </w:r>
                </w:p>
              </w:tc>
              <w:tc>
                <w:tcPr>
                  <w:tcW w:w="658"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0.0001912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423"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5</w:t>
                  </w:r>
                </w:p>
              </w:tc>
              <w:tc>
                <w:tcPr>
                  <w:tcW w:w="3918" w:type="pct"/>
                  <w:gridSpan w:val="4"/>
                  <w:tcBorders>
                    <w:tl2br w:val="nil"/>
                    <w:tr2bl w:val="nil"/>
                  </w:tcBorders>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合计</w:t>
                  </w:r>
                </w:p>
              </w:tc>
              <w:tc>
                <w:tcPr>
                  <w:tcW w:w="658" w:type="pct"/>
                  <w:tcBorders>
                    <w:tl2br w:val="nil"/>
                    <w:tr2bl w:val="nil"/>
                  </w:tcBorders>
                  <w:vAlign w:val="center"/>
                </w:tcPr>
                <w:p>
                  <w:pPr>
                    <w:pStyle w:val="45"/>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0.</w:t>
                  </w:r>
                  <w:r>
                    <w:rPr>
                      <w:rFonts w:hint="eastAsia" w:ascii="Times New Roman" w:hAnsi="Times New Roman" w:eastAsia="宋体" w:cs="Times New Roman"/>
                      <w:color w:val="000000"/>
                      <w:sz w:val="21"/>
                      <w:szCs w:val="21"/>
                    </w:rPr>
                    <w:t>1342462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5000" w:type="pct"/>
                  <w:gridSpan w:val="6"/>
                  <w:tcBorders>
                    <w:tl2br w:val="nil"/>
                    <w:tr2bl w:val="nil"/>
                  </w:tcBorders>
                  <w:vAlign w:val="center"/>
                </w:tcPr>
                <w:p>
                  <w:pPr>
                    <w:widowControl/>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备注：*含院内使用的巴氏消毒液。**污水站污泥量按每月清掏一次计算。</w:t>
                  </w:r>
                </w:p>
              </w:tc>
            </w:tr>
          </w:tbl>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根据《建设项目环境影响报告表编制技术指南（污染影响类）（试行）》（环办环评〔2020〕33号（2））规定，当Q＜1时，项目不需进行风险专项评价，项目仅进行环境风险简单分析。</w:t>
            </w:r>
          </w:p>
          <w:p>
            <w:pPr>
              <w:pStyle w:val="39"/>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2、潜在风险因素识别</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①医疗废水在自建污水处理站发生事故时，未经处理及消毒的医疗废水事故性排放，导致带病原性微生物的含菌医疗废水没有得到及时处理而排入市政污水管网。</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②医疗废物、废紫外线灯管、污水站污泥</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在收集、贮存、运送过程中存在的风险，医疗废物、废紫外线灯管、污水站污泥</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中可能存在传染性病菌、病毒、化学污染物等有害物质，具有空间污染、急性传染和潜伏性污染等特征，其病毒、病菌的危害性是普通生活垃圾的几十、几百甚至上千倍。如果不经分类收集等有效处理，或在收集、贮存、运送过程中因管理不善而发生泄漏的话，很容易引起各种疾病的传播和蔓延。</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③自建污水处理站污水消毒中使用化学品消毒泄漏风险，项目自建污水处理站污水消毒采用次氯酸钠溶液，次氯酸钠溶液均为外购，医院自建污水处理站采用一台次氯酸钠投放器，次氯酸钠溶液最大储存量为0.548t（含院内使用的巴氏消毒液）。只要采取合理可行的防范、应急措施可减少或降低风险。</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④易燃危险物质（乙醇、柴油）属易燃品，因此在储存过程中，操作不当等会有发生火灾及爆炸的风险。火灾、爆炸事故会直接危及生命财产安全。乙醇最大储存量为0.1275t，柴油最大储存量为0.478t，只要采取合理可行的防范、应急措施可减少或降低风险。</w:t>
            </w:r>
          </w:p>
          <w:p>
            <w:pPr>
              <w:pStyle w:val="39"/>
              <w:spacing w:line="360" w:lineRule="auto"/>
              <w:ind w:left="107"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3、风险防范措施</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①项目自建污水处理站事故排放风险防范措施</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rPr>
              <w:t>自建污水处理站是医院污水处理的最后环节，医院停电时，启用备用柴油发电机，优先保证污水处理系统的用电，使自建污水处理站正常运转。依据《医院污水处理工程技术规范》（HJ2029-2013），医院污水处理工程应设置应急事故池，以贮存处理系统事故或其他突发事件时医院污水。传染病医院污水处理工程应急事故池容积不小于日排放量的100%，非传染病医院污水处理工程应急事故池容积应不小于日排放量的30%。项目不设置传染病区，因此拟按照日排放量的30%进行设计废水应急事故池。项目自建污水处理站综合废水排放总量为</w:t>
            </w:r>
            <w:r>
              <w:rPr>
                <w:rFonts w:hint="eastAsia" w:ascii="Times New Roman" w:hAnsi="Times New Roman" w:eastAsia="宋体" w:cs="Times New Roman"/>
                <w:color w:val="000000"/>
                <w:sz w:val="24"/>
                <w:szCs w:val="24"/>
                <w:lang w:val="en-US" w:eastAsia="zh-CN"/>
              </w:rPr>
              <w:t>105.54</w:t>
            </w:r>
            <w:r>
              <w:rPr>
                <w:rFonts w:hint="eastAsia" w:ascii="Times New Roman" w:hAnsi="Times New Roman" w:eastAsia="宋体" w:cs="Times New Roman"/>
                <w:color w:val="000000"/>
                <w:sz w:val="24"/>
                <w:szCs w:val="24"/>
              </w:rPr>
              <w:t>m</w:t>
            </w:r>
            <w:r>
              <w:rPr>
                <w:rFonts w:hint="eastAsia" w:ascii="Times New Roman" w:hAnsi="Times New Roman" w:eastAsia="宋体" w:cs="Times New Roman"/>
                <w:color w:val="000000"/>
                <w:sz w:val="24"/>
                <w:szCs w:val="24"/>
                <w:vertAlign w:val="superscript"/>
              </w:rPr>
              <w:t>3</w:t>
            </w:r>
            <w:r>
              <w:rPr>
                <w:rFonts w:hint="eastAsia" w:ascii="Times New Roman" w:hAnsi="Times New Roman" w:eastAsia="宋体" w:cs="Times New Roman"/>
                <w:color w:val="000000"/>
                <w:sz w:val="24"/>
                <w:szCs w:val="24"/>
              </w:rPr>
              <w:t>/d，则在污水处理系统设置应急事故池，有效容量至少为</w:t>
            </w:r>
            <w:r>
              <w:rPr>
                <w:rFonts w:hint="eastAsia" w:ascii="Times New Roman" w:hAnsi="Times New Roman" w:eastAsia="宋体" w:cs="Times New Roman"/>
                <w:color w:val="000000"/>
                <w:sz w:val="24"/>
                <w:szCs w:val="24"/>
                <w:lang w:val="en-US" w:eastAsia="zh-CN"/>
              </w:rPr>
              <w:t>31.662</w:t>
            </w:r>
            <w:r>
              <w:rPr>
                <w:rFonts w:hint="eastAsia" w:ascii="Times New Roman" w:hAnsi="Times New Roman" w:eastAsia="宋体" w:cs="Times New Roman"/>
                <w:color w:val="000000"/>
                <w:sz w:val="24"/>
                <w:szCs w:val="24"/>
              </w:rPr>
              <w:t>m</w:t>
            </w:r>
            <w:r>
              <w:rPr>
                <w:rFonts w:hint="eastAsia" w:ascii="Times New Roman" w:hAnsi="Times New Roman" w:eastAsia="宋体" w:cs="Times New Roman"/>
                <w:color w:val="000000"/>
                <w:sz w:val="24"/>
                <w:szCs w:val="24"/>
                <w:vertAlign w:val="superscript"/>
              </w:rPr>
              <w:t>3</w:t>
            </w:r>
            <w:r>
              <w:rPr>
                <w:rFonts w:hint="eastAsia" w:ascii="Times New Roman" w:hAnsi="Times New Roman" w:eastAsia="宋体" w:cs="Times New Roman"/>
                <w:color w:val="000000"/>
                <w:sz w:val="24"/>
                <w:szCs w:val="24"/>
              </w:rPr>
              <w:t>，项目</w:t>
            </w:r>
            <w:r>
              <w:rPr>
                <w:rFonts w:hint="eastAsia" w:ascii="Times New Roman" w:hAnsi="Times New Roman" w:eastAsia="宋体" w:cs="Times New Roman"/>
                <w:color w:val="000000"/>
                <w:sz w:val="24"/>
                <w:szCs w:val="24"/>
                <w:lang w:val="en-US" w:eastAsia="zh-CN"/>
              </w:rPr>
              <w:t>设置</w:t>
            </w:r>
            <w:r>
              <w:rPr>
                <w:rFonts w:hint="eastAsia" w:ascii="Times New Roman" w:hAnsi="Times New Roman" w:eastAsia="宋体" w:cs="Times New Roman"/>
                <w:color w:val="000000"/>
                <w:sz w:val="24"/>
                <w:szCs w:val="24"/>
              </w:rPr>
              <w:t>应急事故池为</w:t>
            </w:r>
            <w:r>
              <w:rPr>
                <w:rFonts w:hint="eastAsia" w:ascii="Times New Roman" w:hAnsi="Times New Roman" w:eastAsia="宋体" w:cs="Times New Roman"/>
                <w:color w:val="000000"/>
                <w:sz w:val="24"/>
                <w:szCs w:val="24"/>
                <w:lang w:val="en-US" w:eastAsia="zh-CN"/>
              </w:rPr>
              <w:t>36</w:t>
            </w:r>
            <w:r>
              <w:rPr>
                <w:rFonts w:hint="eastAsia" w:ascii="Times New Roman" w:hAnsi="Times New Roman" w:eastAsia="宋体" w:cs="Times New Roman"/>
                <w:color w:val="000000"/>
                <w:sz w:val="24"/>
                <w:szCs w:val="24"/>
              </w:rPr>
              <w:t>m</w:t>
            </w:r>
            <w:r>
              <w:rPr>
                <w:rFonts w:hint="eastAsia" w:ascii="Times New Roman" w:hAnsi="Times New Roman" w:eastAsia="宋体" w:cs="Times New Roman"/>
                <w:color w:val="000000"/>
                <w:sz w:val="24"/>
                <w:szCs w:val="24"/>
                <w:vertAlign w:val="superscript"/>
              </w:rPr>
              <w:t>3</w:t>
            </w:r>
            <w:r>
              <w:rPr>
                <w:rFonts w:hint="eastAsia" w:ascii="Times New Roman" w:hAnsi="Times New Roman" w:eastAsia="宋体" w:cs="Times New Roman"/>
                <w:color w:val="000000"/>
                <w:sz w:val="24"/>
                <w:szCs w:val="24"/>
              </w:rPr>
              <w:t>，故应急事故池满足项目要求。用于储存因污水处理设施故障等因不可预见的应急意外发生时排放的废水，可以避免因此而造成的环境污染问题的发生，应急事故池平时应保持空置状态。</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②医疗废物、废紫外线灯管、污水站污泥</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收集、贮存、运输风险防范措施</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医疗废物、废紫外线灯管、污水站污泥</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具有极大危害性，在收集、贮存、运输过程中存在一定的风险。为保证项目产生的医疗废物得到安全处置，使其风险减少到最低程度，且不会对周围环境造成不良影响。项目使用专用容器集中收集医疗废物、废紫外线灯管、污水站污泥</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暂存于医</w:t>
            </w:r>
            <w:r>
              <w:rPr>
                <w:rFonts w:ascii="Times New Roman" w:hAnsi="Times New Roman" w:eastAsia="宋体" w:cs="Times New Roman"/>
                <w:color w:val="000000"/>
                <w:sz w:val="24"/>
                <w:szCs w:val="24"/>
                <w:lang w:val="zh-CN"/>
              </w:rPr>
              <w:t>疗废物暂存间</w:t>
            </w:r>
            <w:r>
              <w:rPr>
                <w:rFonts w:ascii="Times New Roman" w:hAnsi="Times New Roman" w:eastAsia="宋体" w:cs="Times New Roman"/>
                <w:color w:val="000000"/>
                <w:sz w:val="24"/>
                <w:szCs w:val="24"/>
              </w:rPr>
              <w:t>（10m</w:t>
            </w:r>
            <w:r>
              <w:rPr>
                <w:rFonts w:ascii="Times New Roman" w:hAnsi="Times New Roman" w:eastAsia="宋体" w:cs="Times New Roman"/>
                <w:color w:val="000000"/>
                <w:sz w:val="24"/>
                <w:szCs w:val="24"/>
                <w:vertAlign w:val="superscript"/>
              </w:rPr>
              <w:t>2</w:t>
            </w:r>
            <w:r>
              <w:rPr>
                <w:rFonts w:ascii="Times New Roman" w:hAnsi="Times New Roman" w:eastAsia="宋体" w:cs="Times New Roman"/>
                <w:color w:val="000000"/>
                <w:sz w:val="24"/>
                <w:szCs w:val="24"/>
              </w:rPr>
              <w:t>），污水站污泥委托有资质单位处置。不得露天存放医疗废物、废紫外线灯管、污水站污泥</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；医疗废物暂时贮存的时间不得超过2天，污泥应当及时、有效地处理。医疗废物、污水站污泥转交出去后，应当对医</w:t>
            </w:r>
            <w:r>
              <w:rPr>
                <w:rFonts w:ascii="Times New Roman" w:hAnsi="Times New Roman" w:eastAsia="宋体" w:cs="Times New Roman"/>
                <w:color w:val="000000"/>
                <w:sz w:val="24"/>
                <w:szCs w:val="24"/>
                <w:lang w:val="zh-CN"/>
              </w:rPr>
              <w:t>疗废物暂存间</w:t>
            </w:r>
            <w:r>
              <w:rPr>
                <w:rFonts w:ascii="Times New Roman" w:hAnsi="Times New Roman" w:eastAsia="宋体" w:cs="Times New Roman"/>
                <w:color w:val="000000"/>
                <w:sz w:val="24"/>
                <w:szCs w:val="24"/>
              </w:rPr>
              <w:t>（10m</w:t>
            </w:r>
            <w:r>
              <w:rPr>
                <w:rFonts w:ascii="Times New Roman" w:hAnsi="Times New Roman" w:eastAsia="宋体" w:cs="Times New Roman"/>
                <w:color w:val="000000"/>
                <w:sz w:val="24"/>
                <w:szCs w:val="24"/>
                <w:vertAlign w:val="superscript"/>
              </w:rPr>
              <w:t>2</w:t>
            </w:r>
            <w:r>
              <w:rPr>
                <w:rFonts w:ascii="Times New Roman" w:hAnsi="Times New Roman" w:eastAsia="宋体" w:cs="Times New Roman"/>
                <w:color w:val="000000"/>
                <w:sz w:val="24"/>
                <w:szCs w:val="24"/>
              </w:rPr>
              <w:t>）及时清洁和消毒处理。禁止将医疗废物、废紫外线灯管、污水站污泥</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在非收集、非暂时贮存地点倾倒、堆放；禁止将医疗废物、废紫外线灯管、污水站污泥</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混入其他废物和生活垃圾；禁止在内部运输过程中丢弃医疗废物、废紫外线灯管、污水站污泥</w:t>
            </w:r>
            <w:r>
              <w:rPr>
                <w:rFonts w:hint="eastAsia" w:ascii="Times New Roman" w:hAnsi="Times New Roman" w:eastAsia="宋体" w:cs="Times New Roman"/>
                <w:color w:val="000000"/>
                <w:sz w:val="24"/>
                <w:szCs w:val="24"/>
              </w:rPr>
              <w:t>、检验科固废</w:t>
            </w:r>
            <w:r>
              <w:rPr>
                <w:rFonts w:ascii="Times New Roman" w:hAnsi="Times New Roman" w:eastAsia="宋体" w:cs="Times New Roman"/>
                <w:color w:val="000000"/>
                <w:sz w:val="24"/>
                <w:szCs w:val="24"/>
              </w:rPr>
              <w:t>。</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③医院自建污水处理站污水消毒中使用化学品消毒泄漏风险防范措施</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使用次氯酸钠对废水进行消毒，次氯酸钠为强氧化剂，其毒性及对人体的危害性远低于常用消毒剂氯气，在吸入高浓度气体时可引起咳嗽并损害呼吸道黏膜，但不造成致命伤害。为了避免次氯酸钠的泄漏应做到严格执行设备的维护与保养，定期对设备、管道、仪表、阀门、安全装置等进行检查和检验；生产装置采用先进的自动化系统，有效控制生产过程，并定期按《排污许可证申请与核发技术规范医疗机构》（HJ1105—2020）自行监测要求检测污水处理系统中的次氯酸钠含量，一旦发生泄漏，马上关闭阀门停止生产，并采取有效的应对措施，加强全员教育和培训，增强安全意识，提高操作技能及应变能力。</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④易燃危险物质（乙醇、柴油）储存过程中发生火灾及爆炸的风险防范措施</w:t>
            </w:r>
          </w:p>
          <w:p>
            <w:pPr>
              <w:pStyle w:val="20"/>
              <w:spacing w:before="0" w:after="0" w:line="360" w:lineRule="auto"/>
              <w:ind w:right="0" w:firstLine="480" w:firstLineChars="200"/>
              <w:rPr>
                <w:rFonts w:ascii="Times New Roman" w:hAnsi="Times New Roman" w:eastAsia="宋体" w:cs="Times New Roman"/>
                <w:b/>
                <w:bCs/>
                <w:color w:val="000000"/>
                <w:sz w:val="24"/>
              </w:rPr>
            </w:pPr>
            <w:r>
              <w:rPr>
                <w:rFonts w:ascii="Times New Roman" w:hAnsi="Times New Roman" w:eastAsia="宋体" w:cs="Times New Roman"/>
                <w:color w:val="000000"/>
                <w:sz w:val="24"/>
                <w:szCs w:val="24"/>
              </w:rPr>
              <w:t>易燃危险物质（乙醇、柴油）储存过程中可能发生火灾及爆炸的风险，项目拟对医院火灾事故采取如下消防措施：医院设有消火栓和灭火器。任何人发现火灾后均应立即向单位领导报告。报告时讲明火灾地点、着火物品、火势大小及周围的情况。单位领导立即组织现场值班人员、岗位人员用灭火器、消火栓组织灭火，尽量将周围易燃易爆物品转移或隔离，并根据火势大小、严重程度决定是否拨打119电话报警。</w:t>
            </w:r>
          </w:p>
          <w:p>
            <w:pPr>
              <w:pStyle w:val="39"/>
              <w:spacing w:line="360" w:lineRule="auto"/>
              <w:ind w:firstLine="482" w:firstLineChars="200"/>
              <w:jc w:val="both"/>
              <w:rPr>
                <w:rFonts w:ascii="Times New Roman" w:hAnsi="Times New Roman" w:eastAsia="宋体" w:cs="Times New Roman"/>
                <w:b/>
                <w:bCs/>
                <w:color w:val="000000"/>
                <w:sz w:val="24"/>
              </w:rPr>
            </w:pPr>
            <w:r>
              <w:rPr>
                <w:rFonts w:ascii="Times New Roman" w:hAnsi="Times New Roman" w:eastAsia="宋体" w:cs="Times New Roman"/>
                <w:b/>
                <w:bCs/>
                <w:color w:val="000000"/>
                <w:sz w:val="24"/>
              </w:rPr>
              <w:t>4、环境风险结论</w:t>
            </w:r>
          </w:p>
          <w:p>
            <w:pPr>
              <w:pStyle w:val="39"/>
              <w:autoSpaceDE/>
              <w:autoSpaceDN/>
              <w:spacing w:line="360" w:lineRule="auto"/>
              <w:ind w:firstLine="480" w:firstLineChars="200"/>
              <w:jc w:val="both"/>
              <w:rPr>
                <w:rFonts w:ascii="Times New Roman" w:hAnsi="Times New Roman" w:eastAsia="宋体" w:cs="Times New Roman"/>
                <w:color w:val="000000"/>
                <w:sz w:val="24"/>
              </w:rPr>
            </w:pPr>
            <w:r>
              <w:rPr>
                <w:rFonts w:ascii="Times New Roman" w:hAnsi="Times New Roman" w:eastAsia="宋体" w:cs="Times New Roman"/>
                <w:color w:val="000000"/>
                <w:sz w:val="24"/>
              </w:rPr>
              <w:t>项目环境风险属于潜势为I，仅需要做简单分析。正常生产情况下，建设单位按照本环评要求加强管理和设备的维护，并设立完善的预防措施，制定严格的安全操作规程和维修维护措施，项目的环境风险在可接受范围内。一旦发生事故，因为防护措施得力并反应迅速，可把事故造成的影响降到最小。所以项目在环境风险方面来说是可接受的。</w:t>
            </w:r>
          </w:p>
          <w:p>
            <w:pPr>
              <w:pStyle w:val="39"/>
              <w:spacing w:line="360" w:lineRule="auto"/>
              <w:ind w:left="107" w:firstLine="482" w:firstLineChars="200"/>
              <w:jc w:val="center"/>
              <w:rPr>
                <w:rFonts w:ascii="Times New Roman" w:hAnsi="Times New Roman" w:eastAsia="宋体" w:cs="Times New Roman"/>
                <w:b/>
                <w:bCs/>
                <w:color w:val="000000"/>
                <w:kern w:val="2"/>
                <w:sz w:val="24"/>
              </w:rPr>
            </w:pPr>
            <w:r>
              <w:rPr>
                <w:rFonts w:ascii="Times New Roman" w:hAnsi="Times New Roman" w:eastAsia="宋体" w:cs="Times New Roman"/>
                <w:b/>
                <w:bCs/>
                <w:color w:val="000000"/>
                <w:kern w:val="2"/>
                <w:sz w:val="24"/>
              </w:rPr>
              <w:t>表4-</w:t>
            </w:r>
            <w:r>
              <w:rPr>
                <w:rFonts w:hint="eastAsia" w:ascii="Times New Roman" w:hAnsi="Times New Roman" w:eastAsia="宋体" w:cs="Times New Roman"/>
                <w:b/>
                <w:bCs/>
                <w:color w:val="000000"/>
                <w:kern w:val="2"/>
                <w:sz w:val="24"/>
              </w:rPr>
              <w:t>2</w:t>
            </w:r>
            <w:r>
              <w:rPr>
                <w:rFonts w:hint="eastAsia" w:ascii="Times New Roman" w:hAnsi="Times New Roman" w:eastAsia="宋体" w:cs="Times New Roman"/>
                <w:b/>
                <w:bCs/>
                <w:color w:val="000000"/>
                <w:kern w:val="2"/>
                <w:sz w:val="24"/>
                <w:lang w:val="en-US" w:eastAsia="zh-CN"/>
              </w:rPr>
              <w:t>4</w:t>
            </w:r>
            <w:r>
              <w:rPr>
                <w:rFonts w:hint="eastAsia" w:ascii="Times New Roman" w:hAnsi="Times New Roman" w:eastAsia="宋体" w:cs="Times New Roman"/>
                <w:b/>
                <w:bCs/>
                <w:color w:val="000000"/>
                <w:kern w:val="2"/>
                <w:sz w:val="24"/>
              </w:rPr>
              <w:t>建设项目环境风险简单分析内容表</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60"/>
              <w:gridCol w:w="1309"/>
              <w:gridCol w:w="1736"/>
              <w:gridCol w:w="1740"/>
              <w:gridCol w:w="17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建设项目名称</w:t>
                  </w:r>
                </w:p>
              </w:tc>
              <w:tc>
                <w:tcPr>
                  <w:tcW w:w="3756" w:type="pct"/>
                  <w:gridSpan w:val="4"/>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湛江市颐福医院建设项目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建设地点</w:t>
                  </w:r>
                </w:p>
              </w:tc>
              <w:tc>
                <w:tcPr>
                  <w:tcW w:w="3756" w:type="pct"/>
                  <w:gridSpan w:val="4"/>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湛江市赤坎区农林一路14号1-2楼CD区、4楼D区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地理坐标</w:t>
                  </w:r>
                </w:p>
              </w:tc>
              <w:tc>
                <w:tcPr>
                  <w:tcW w:w="753"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经度</w:t>
                  </w:r>
                </w:p>
              </w:tc>
              <w:tc>
                <w:tcPr>
                  <w:tcW w:w="999" w:type="pct"/>
                  <w:vAlign w:val="center"/>
                </w:tcPr>
                <w:p>
                  <w:pPr>
                    <w:widowControl/>
                    <w:jc w:val="center"/>
                    <w:textAlignment w:val="center"/>
                    <w:rPr>
                      <w:rFonts w:hint="default" w:ascii="Times New Roman" w:hAnsi="Times New Roman" w:eastAsia="宋体" w:cs="Times New Roman"/>
                      <w:color w:val="000000"/>
                      <w:szCs w:val="21"/>
                      <w:lang w:val="en-US" w:eastAsia="zh-CN"/>
                    </w:rPr>
                  </w:pPr>
                  <w:r>
                    <w:rPr>
                      <w:rFonts w:hint="default" w:ascii="Times New Roman" w:hAnsi="Times New Roman" w:eastAsia="宋体" w:cs="Times New Roman"/>
                      <w:color w:val="000000"/>
                      <w:szCs w:val="21"/>
                      <w:lang w:val="en-US" w:eastAsia="zh-CN"/>
                    </w:rPr>
                    <w:t>110°21′7.65″</w:t>
                  </w:r>
                </w:p>
              </w:tc>
              <w:tc>
                <w:tcPr>
                  <w:tcW w:w="1001"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纬度</w:t>
                  </w:r>
                </w:p>
              </w:tc>
              <w:tc>
                <w:tcPr>
                  <w:tcW w:w="1002"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21°16′47.59″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主要危险物质及分布</w:t>
                  </w:r>
                </w:p>
              </w:tc>
              <w:tc>
                <w:tcPr>
                  <w:tcW w:w="3756" w:type="pct"/>
                  <w:gridSpan w:val="4"/>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次氯酸钠、乙醇、污水站污泥、柴油，诊室、自建污水处理站、检验室、诊室发电房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环境影响途径及危害后果（大气、地表水、地下水等）</w:t>
                  </w:r>
                </w:p>
              </w:tc>
              <w:tc>
                <w:tcPr>
                  <w:tcW w:w="3756" w:type="pct"/>
                  <w:gridSpan w:val="4"/>
                  <w:vAlign w:val="center"/>
                </w:tcPr>
                <w:p>
                  <w:pPr>
                    <w:widowControl/>
                    <w:jc w:val="both"/>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①次氯酸钠为强氧化剂，其毒性及对人体的危害性远低于常用消毒剂氯气，在吸入高浓度气体时可引起咳嗽并损害呼吸道黏膜。</w:t>
                  </w:r>
                </w:p>
                <w:p>
                  <w:pPr>
                    <w:widowControl/>
                    <w:jc w:val="both"/>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②乙醇、柴油等有机原料属于易燃物质，若在储存、运输、使用过程中操作不当，可能会引发火灾事故，火灾事故产生的二次污染物中有毒有害物质会对周边大气环境造成危害。</w:t>
                  </w:r>
                </w:p>
                <w:p>
                  <w:pPr>
                    <w:widowControl/>
                    <w:jc w:val="both"/>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③污水管网若维护不当或材质不佳，可能会导致废水泄漏，对周边地表水、地下水及土壤环境造成危害；</w:t>
                  </w:r>
                </w:p>
                <w:p>
                  <w:pPr>
                    <w:widowControl/>
                    <w:jc w:val="both"/>
                    <w:textAlignment w:val="center"/>
                    <w:rPr>
                      <w:rFonts w:hint="eastAsia" w:ascii="Times New Roman" w:hAnsi="Times New Roman" w:eastAsia="宋体" w:cs="Times New Roman"/>
                      <w:color w:val="000000"/>
                      <w:szCs w:val="21"/>
                      <w:lang w:val="en-US" w:eastAsia="zh-CN"/>
                    </w:rPr>
                  </w:pPr>
                  <w:r>
                    <w:rPr>
                      <w:rFonts w:hint="eastAsia" w:ascii="宋体" w:hAnsi="宋体" w:eastAsia="宋体" w:cs="宋体"/>
                      <w:color w:val="000000"/>
                      <w:szCs w:val="21"/>
                      <w:lang w:val="en-US" w:eastAsia="zh-CN"/>
                    </w:rPr>
                    <w:t>④</w:t>
                  </w:r>
                  <w:r>
                    <w:rPr>
                      <w:rFonts w:hint="eastAsia" w:ascii="Times New Roman" w:hAnsi="Times New Roman" w:eastAsia="宋体" w:cs="Times New Roman"/>
                      <w:color w:val="000000"/>
                      <w:szCs w:val="21"/>
                      <w:lang w:val="en-US" w:eastAsia="zh-CN"/>
                    </w:rPr>
                    <w:t>危险废物在厂内运输、暂存过程中可能会发生泄漏，可能会污染土壤或地下水。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pct"/>
                  <w:vAlign w:val="center"/>
                </w:tcPr>
                <w:p>
                  <w:pPr>
                    <w:widowControl/>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风险防范措施要求</w:t>
                  </w:r>
                </w:p>
              </w:tc>
              <w:tc>
                <w:tcPr>
                  <w:tcW w:w="3756" w:type="pct"/>
                  <w:gridSpan w:val="4"/>
                  <w:vAlign w:val="center"/>
                </w:tcPr>
                <w:p>
                  <w:pPr>
                    <w:widowControl/>
                    <w:jc w:val="both"/>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①加强员工相关知识培训、提高安全意识；</w:t>
                  </w:r>
                </w:p>
                <w:p>
                  <w:pPr>
                    <w:widowControl/>
                    <w:jc w:val="both"/>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②乙醇、柴油等按照物质的理化性质存储；</w:t>
                  </w:r>
                </w:p>
                <w:p>
                  <w:pPr>
                    <w:widowControl/>
                    <w:jc w:val="both"/>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③污水输送管道应采用防腐、耐酸碱材料，并充分考虑管道的抗击、抗震动以及地面沉降等要求；</w:t>
                  </w:r>
                </w:p>
                <w:p>
                  <w:pPr>
                    <w:widowControl/>
                    <w:jc w:val="both"/>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④加强对污水管线、阀门的巡查；</w:t>
                  </w:r>
                </w:p>
                <w:p>
                  <w:pPr>
                    <w:widowControl/>
                    <w:jc w:val="both"/>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⑤危废暂存场所的建设和管理应做好防渗、防漏等；</w:t>
                  </w:r>
                </w:p>
                <w:p>
                  <w:pPr>
                    <w:widowControl/>
                    <w:jc w:val="both"/>
                    <w:textAlignment w:val="center"/>
                    <w:rPr>
                      <w:rFonts w:hint="eastAsia" w:ascii="Times New Roman" w:hAnsi="Times New Roman" w:eastAsia="宋体" w:cs="Times New Roman"/>
                      <w:color w:val="000000"/>
                      <w:szCs w:val="21"/>
                      <w:lang w:val="en-US" w:eastAsia="zh-CN"/>
                    </w:rPr>
                  </w:pPr>
                  <w:r>
                    <w:rPr>
                      <w:rFonts w:hint="eastAsia" w:ascii="微软雅黑" w:hAnsi="微软雅黑" w:eastAsia="微软雅黑" w:cs="微软雅黑"/>
                      <w:color w:val="000000"/>
                      <w:szCs w:val="21"/>
                      <w:lang w:val="en-US" w:eastAsia="zh-CN"/>
                    </w:rPr>
                    <w:t>⑥</w:t>
                  </w:r>
                  <w:r>
                    <w:rPr>
                      <w:rFonts w:hint="eastAsia" w:ascii="Times New Roman" w:hAnsi="Times New Roman" w:eastAsia="宋体" w:cs="Times New Roman"/>
                      <w:color w:val="000000"/>
                      <w:szCs w:val="21"/>
                      <w:lang w:val="en-US" w:eastAsia="zh-CN"/>
                    </w:rPr>
                    <w:t>加强自建污水处理站设备的维护。</w:t>
                  </w:r>
                </w:p>
              </w:tc>
            </w:tr>
          </w:tbl>
          <w:p>
            <w:pPr>
              <w:pStyle w:val="39"/>
              <w:autoSpaceDE/>
              <w:autoSpaceDN/>
              <w:spacing w:line="360" w:lineRule="auto"/>
              <w:ind w:firstLine="480" w:firstLineChars="200"/>
              <w:jc w:val="both"/>
              <w:rPr>
                <w:rFonts w:hint="eastAsia" w:ascii="Times New Roman" w:hAnsi="Times New Roman" w:eastAsia="宋体" w:cs="Times New Roman"/>
                <w:color w:val="000000"/>
                <w:sz w:val="24"/>
                <w:lang w:val="en-US" w:eastAsia="zh-CN"/>
              </w:rPr>
            </w:pPr>
          </w:p>
          <w:p>
            <w:pPr>
              <w:tabs>
                <w:tab w:val="center" w:pos="4153"/>
                <w:tab w:val="right" w:pos="8306"/>
              </w:tabs>
              <w:snapToGrid w:val="0"/>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九、电磁辐射影响分析</w:t>
            </w:r>
          </w:p>
          <w:p>
            <w:pPr>
              <w:pStyle w:val="20"/>
              <w:spacing w:before="0" w:after="0" w:line="360" w:lineRule="auto"/>
              <w:ind w:right="0"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项目</w:t>
            </w:r>
            <w:r>
              <w:rPr>
                <w:rFonts w:hint="eastAsia" w:ascii="Times New Roman" w:hAnsi="Times New Roman" w:eastAsia="宋体" w:cs="Times New Roman"/>
                <w:color w:val="000000"/>
                <w:sz w:val="24"/>
                <w:szCs w:val="24"/>
              </w:rPr>
              <w:t>如果有涉及辐射的建设内容需要另做环评，辐射相关建设内容不在本评价范围内。</w:t>
            </w:r>
          </w:p>
          <w:p>
            <w:pPr>
              <w:tabs>
                <w:tab w:val="center" w:pos="4153"/>
                <w:tab w:val="right" w:pos="8306"/>
              </w:tabs>
              <w:snapToGrid w:val="0"/>
              <w:spacing w:line="360" w:lineRule="auto"/>
              <w:ind w:firstLine="482" w:firstLineChars="200"/>
              <w:rPr>
                <w:rFonts w:ascii="Times New Roman" w:hAnsi="Times New Roman" w:eastAsia="宋体" w:cs="Times New Roman"/>
                <w:b/>
                <w:bCs/>
                <w:color w:val="000000"/>
                <w:sz w:val="24"/>
              </w:rPr>
            </w:pPr>
            <w:r>
              <w:rPr>
                <w:rFonts w:ascii="Times New Roman" w:hAnsi="Times New Roman" w:eastAsia="宋体" w:cs="Times New Roman"/>
                <w:b/>
                <w:bCs/>
                <w:color w:val="000000"/>
                <w:sz w:val="24"/>
              </w:rPr>
              <w:t>十、本项目内外环境影响分析</w:t>
            </w:r>
          </w:p>
          <w:p>
            <w:pPr>
              <w:adjustRightInd w:val="0"/>
              <w:snapToGrid w:val="0"/>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kern w:val="0"/>
                <w:sz w:val="24"/>
              </w:rPr>
              <w:t>本项目为周围敏感点的影响分析：本项目周边主要以居住、商业为主，项目周边无名胜古迹和重点文物保护单位，也无自然保护区、风景名胜区等。采取废气、废水、固废、噪声等污染治理措施后，本项目对周围敏感点的影响较小。外环境对本项目的影响分析：由声环境现状监测结果可知，项目所在地厂界满足《工业企业厂界环境噪声》（GB12348-2008）中的2类标准。院区装修采用较好的吸声、隔声材料，同时对室内特别需要安静的房间加装隔音窗，降低外环境噪声。故本项目</w:t>
            </w:r>
            <w:r>
              <w:rPr>
                <w:rFonts w:hint="eastAsia" w:ascii="Times New Roman" w:hAnsi="Times New Roman" w:eastAsia="宋体" w:cs="Times New Roman"/>
                <w:color w:val="000000"/>
                <w:kern w:val="0"/>
                <w:sz w:val="24"/>
              </w:rPr>
              <w:t>运营期</w:t>
            </w:r>
            <w:r>
              <w:rPr>
                <w:rFonts w:ascii="Times New Roman" w:hAnsi="Times New Roman" w:eastAsia="宋体" w:cs="Times New Roman"/>
                <w:color w:val="000000"/>
                <w:kern w:val="0"/>
                <w:sz w:val="24"/>
              </w:rPr>
              <w:t>间，道路交通噪声将对本项目不会产生明显影响。</w:t>
            </w:r>
          </w:p>
        </w:tc>
      </w:tr>
    </w:tbl>
    <w:p>
      <w:pPr>
        <w:adjustRightInd w:val="0"/>
        <w:snapToGrid w:val="0"/>
        <w:spacing w:line="360" w:lineRule="auto"/>
        <w:rPr>
          <w:rFonts w:ascii="Times New Roman" w:hAnsi="Times New Roman" w:eastAsia="宋体" w:cs="Times New Roman"/>
          <w:b/>
          <w:color w:val="000000"/>
          <w:kern w:val="0"/>
          <w:sz w:val="28"/>
          <w:szCs w:val="28"/>
        </w:rPr>
        <w:sectPr>
          <w:pgSz w:w="11907" w:h="16840"/>
          <w:pgMar w:top="1701" w:right="1417" w:bottom="1616" w:left="1417" w:header="851" w:footer="851" w:gutter="0"/>
          <w:cols w:space="720" w:num="1"/>
          <w:docGrid w:linePitch="312" w:charSpace="0"/>
        </w:sectPr>
      </w:pPr>
    </w:p>
    <w:p>
      <w:pPr>
        <w:pStyle w:val="26"/>
        <w:jc w:val="center"/>
        <w:outlineLvl w:val="0"/>
        <w:rPr>
          <w:rFonts w:ascii="Times New Roman" w:hAnsi="Times New Roman" w:eastAsia="宋体" w:cs="Times New Roman"/>
          <w:snapToGrid w:val="0"/>
          <w:color w:val="000000"/>
          <w:sz w:val="30"/>
          <w:szCs w:val="30"/>
        </w:rPr>
      </w:pPr>
      <w:bookmarkStart w:id="41" w:name="_Toc23609"/>
      <w:bookmarkStart w:id="42" w:name="_Toc30942"/>
      <w:bookmarkStart w:id="43" w:name="_Hlk54167917"/>
      <w:bookmarkStart w:id="44" w:name="_Toc261"/>
      <w:bookmarkStart w:id="45" w:name="_Toc28789"/>
      <w:bookmarkStart w:id="46" w:name="_Toc5181"/>
      <w:r>
        <w:rPr>
          <w:rFonts w:ascii="Times New Roman" w:hAnsi="Times New Roman" w:eastAsia="宋体" w:cs="Times New Roman"/>
          <w:snapToGrid w:val="0"/>
          <w:color w:val="000000"/>
          <w:sz w:val="30"/>
          <w:szCs w:val="30"/>
        </w:rPr>
        <w:t>五、环境保护措施监督检查清单</w:t>
      </w:r>
      <w:bookmarkEnd w:id="41"/>
      <w:bookmarkEnd w:id="42"/>
      <w:bookmarkEnd w:id="43"/>
      <w:bookmarkEnd w:id="44"/>
      <w:bookmarkEnd w:id="45"/>
      <w:bookmarkEnd w:id="46"/>
    </w:p>
    <w:tbl>
      <w:tblPr>
        <w:tblStyle w:val="29"/>
        <w:tblW w:w="4997"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765"/>
        <w:gridCol w:w="1674"/>
        <w:gridCol w:w="1482"/>
        <w:gridCol w:w="1551"/>
        <w:gridCol w:w="258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75" w:type="pct"/>
            <w:tcBorders>
              <w:tl2br w:val="single" w:color="auto" w:sz="4" w:space="0"/>
            </w:tcBorders>
            <w:vAlign w:val="center"/>
          </w:tcPr>
          <w:p>
            <w:pPr>
              <w:adjustRightInd w:val="0"/>
              <w:snapToGrid w:val="0"/>
              <w:ind w:firstLine="84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内容</w:t>
            </w:r>
          </w:p>
          <w:p>
            <w:pPr>
              <w:adjustRightInd w:val="0"/>
              <w:snapToGrid w:val="0"/>
              <w:rPr>
                <w:rFonts w:ascii="Times New Roman" w:hAnsi="Times New Roman" w:eastAsia="宋体" w:cs="Times New Roman"/>
                <w:color w:val="000000"/>
                <w:szCs w:val="21"/>
              </w:rPr>
            </w:pPr>
            <w:r>
              <w:rPr>
                <w:rFonts w:ascii="Times New Roman" w:hAnsi="Times New Roman" w:eastAsia="宋体" w:cs="Times New Roman"/>
                <w:color w:val="000000"/>
                <w:szCs w:val="21"/>
              </w:rPr>
              <w:t>要素</w:t>
            </w:r>
          </w:p>
        </w:tc>
        <w:tc>
          <w:tcPr>
            <w:tcW w:w="924"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排放口（编号、名称）/污染源</w:t>
            </w:r>
          </w:p>
        </w:tc>
        <w:tc>
          <w:tcPr>
            <w:tcW w:w="818"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污染物项目</w:t>
            </w:r>
          </w:p>
        </w:tc>
        <w:tc>
          <w:tcPr>
            <w:tcW w:w="856"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环境保护措施</w:t>
            </w:r>
          </w:p>
        </w:tc>
        <w:tc>
          <w:tcPr>
            <w:tcW w:w="142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执行标准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2521" w:hRule="atLeast"/>
          <w:jc w:val="center"/>
        </w:trPr>
        <w:tc>
          <w:tcPr>
            <w:tcW w:w="975" w:type="pct"/>
            <w:vMerge w:val="restar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大气环境</w:t>
            </w:r>
          </w:p>
        </w:tc>
        <w:tc>
          <w:tcPr>
            <w:tcW w:w="924"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DA001</w:t>
            </w:r>
          </w:p>
          <w:p>
            <w:pPr>
              <w:adjustRightInd w:val="0"/>
              <w:snapToGrid w:val="0"/>
              <w:jc w:val="center"/>
              <w:rPr>
                <w:rStyle w:val="34"/>
                <w:rFonts w:ascii="Times New Roman" w:hAnsi="Times New Roman" w:eastAsia="宋体" w:cs="Times New Roman"/>
                <w:szCs w:val="21"/>
              </w:rPr>
            </w:pPr>
            <w:r>
              <w:rPr>
                <w:rFonts w:ascii="Times New Roman" w:hAnsi="Times New Roman" w:eastAsia="宋体" w:cs="Times New Roman"/>
                <w:color w:val="000000"/>
                <w:szCs w:val="21"/>
              </w:rPr>
              <w:t>员工食堂</w:t>
            </w:r>
          </w:p>
          <w:p>
            <w:pPr>
              <w:adjustRightInd w:val="0"/>
              <w:snapToGrid w:val="0"/>
              <w:jc w:val="center"/>
              <w:rPr>
                <w:rFonts w:ascii="Times New Roman" w:hAnsi="Times New Roman" w:eastAsia="宋体" w:cs="Times New Roman"/>
                <w:color w:val="000000"/>
                <w:szCs w:val="21"/>
              </w:rPr>
            </w:pPr>
            <w:r>
              <w:rPr>
                <w:rStyle w:val="34"/>
                <w:rFonts w:hint="eastAsia" w:ascii="Times New Roman" w:hAnsi="Times New Roman" w:eastAsia="宋体" w:cs="Times New Roman"/>
                <w:szCs w:val="21"/>
              </w:rPr>
              <w:t>（</w:t>
            </w:r>
            <w:r>
              <w:rPr>
                <w:rFonts w:hint="eastAsia" w:ascii="Times New Roman" w:hAnsi="Times New Roman" w:eastAsia="宋体" w:cs="Times New Roman"/>
                <w:color w:val="000000"/>
                <w:szCs w:val="21"/>
              </w:rPr>
              <w:t>依托湛江市养老服务中心</w:t>
            </w:r>
            <w:r>
              <w:rPr>
                <w:rStyle w:val="34"/>
                <w:rFonts w:hint="eastAsia" w:ascii="Times New Roman" w:hAnsi="Times New Roman" w:eastAsia="宋体" w:cs="Times New Roman"/>
                <w:szCs w:val="21"/>
              </w:rPr>
              <w:t>）</w:t>
            </w:r>
          </w:p>
        </w:tc>
        <w:tc>
          <w:tcPr>
            <w:tcW w:w="818"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油烟</w:t>
            </w:r>
          </w:p>
        </w:tc>
        <w:tc>
          <w:tcPr>
            <w:tcW w:w="856" w:type="pct"/>
            <w:vAlign w:val="center"/>
          </w:tcPr>
          <w:p>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依托湛江市养老服务中心</w:t>
            </w:r>
            <w:r>
              <w:rPr>
                <w:rFonts w:hint="eastAsia" w:ascii="Times New Roman" w:hAnsi="Times New Roman" w:eastAsia="宋体" w:cs="Times New Roman"/>
                <w:color w:val="000000"/>
                <w:szCs w:val="21"/>
                <w:lang w:val="en-US" w:eastAsia="zh-CN"/>
              </w:rPr>
              <w:t>油烟净化器</w:t>
            </w:r>
            <w:r>
              <w:rPr>
                <w:rFonts w:hint="eastAsia" w:ascii="Times New Roman" w:hAnsi="Times New Roman" w:eastAsia="宋体" w:cs="Times New Roman"/>
                <w:color w:val="000000"/>
                <w:szCs w:val="21"/>
              </w:rPr>
              <w:t>处理</w:t>
            </w:r>
            <w:r>
              <w:rPr>
                <w:rFonts w:ascii="Times New Roman" w:hAnsi="Times New Roman" w:eastAsia="宋体" w:cs="Times New Roman"/>
                <w:color w:val="000000"/>
                <w:szCs w:val="21"/>
              </w:rPr>
              <w:t>，引至高空排放</w:t>
            </w:r>
          </w:p>
        </w:tc>
        <w:tc>
          <w:tcPr>
            <w:tcW w:w="1425" w:type="pct"/>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kern w:val="2"/>
                <w:szCs w:val="21"/>
              </w:rPr>
              <w:t>《饮食业油烟排放标准（试行）》（GB18483-2001）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521" w:hRule="atLeast"/>
          <w:jc w:val="center"/>
        </w:trPr>
        <w:tc>
          <w:tcPr>
            <w:tcW w:w="975" w:type="pct"/>
            <w:vMerge w:val="continue"/>
            <w:vAlign w:val="center"/>
          </w:tcPr>
          <w:p>
            <w:pPr>
              <w:adjustRightInd w:val="0"/>
              <w:snapToGrid w:val="0"/>
              <w:jc w:val="center"/>
              <w:rPr>
                <w:rFonts w:ascii="Times New Roman" w:hAnsi="Times New Roman" w:eastAsia="宋体" w:cs="Times New Roman"/>
                <w:color w:val="000000"/>
                <w:szCs w:val="21"/>
              </w:rPr>
            </w:pPr>
          </w:p>
        </w:tc>
        <w:tc>
          <w:tcPr>
            <w:tcW w:w="924" w:type="pct"/>
            <w:vAlign w:val="center"/>
          </w:tcPr>
          <w:p>
            <w:pPr>
              <w:pStyle w:val="39"/>
              <w:widowControl/>
              <w:autoSpaceDE/>
              <w:autoSpaceDN/>
              <w:adjustRightInd/>
              <w:jc w:val="center"/>
              <w:rPr>
                <w:rFonts w:ascii="Times New Roman" w:hAnsi="Times New Roman" w:eastAsia="宋体" w:cs="Times New Roman"/>
                <w:szCs w:val="21"/>
              </w:rPr>
            </w:pPr>
            <w:r>
              <w:rPr>
                <w:rFonts w:ascii="Times New Roman" w:hAnsi="Times New Roman" w:eastAsia="宋体" w:cs="Times New Roman"/>
                <w:szCs w:val="21"/>
              </w:rPr>
              <w:t>DA002</w:t>
            </w:r>
          </w:p>
          <w:p>
            <w:pPr>
              <w:pStyle w:val="39"/>
              <w:widowControl/>
              <w:autoSpaceDE/>
              <w:autoSpaceDN/>
              <w:adjustRightInd/>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备用发电机尾气</w:t>
            </w:r>
          </w:p>
        </w:tc>
        <w:tc>
          <w:tcPr>
            <w:tcW w:w="818" w:type="pct"/>
            <w:vAlign w:val="center"/>
          </w:tcPr>
          <w:p>
            <w:pPr>
              <w:pStyle w:val="39"/>
              <w:widowControl/>
              <w:autoSpaceDE/>
              <w:autoSpaceDN/>
              <w:adjustRightInd/>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SO</w:t>
            </w:r>
            <w:r>
              <w:rPr>
                <w:rFonts w:ascii="Times New Roman" w:hAnsi="Times New Roman" w:eastAsia="宋体" w:cs="Times New Roman"/>
                <w:color w:val="000000"/>
                <w:szCs w:val="21"/>
                <w:vertAlign w:val="subscript"/>
              </w:rPr>
              <w:t>2</w:t>
            </w:r>
            <w:r>
              <w:rPr>
                <w:rFonts w:ascii="Times New Roman" w:hAnsi="Times New Roman" w:eastAsia="宋体" w:cs="Times New Roman"/>
                <w:color w:val="000000"/>
                <w:szCs w:val="21"/>
              </w:rPr>
              <w:t>、NO</w:t>
            </w:r>
            <w:r>
              <w:rPr>
                <w:rFonts w:ascii="Times New Roman" w:hAnsi="Times New Roman" w:eastAsia="宋体" w:cs="Times New Roman"/>
                <w:color w:val="000000"/>
                <w:szCs w:val="21"/>
                <w:vertAlign w:val="subscript"/>
              </w:rPr>
              <w:t>X</w:t>
            </w:r>
            <w:r>
              <w:rPr>
                <w:rFonts w:ascii="Times New Roman" w:hAnsi="Times New Roman" w:eastAsia="宋体" w:cs="Times New Roman"/>
                <w:color w:val="000000"/>
                <w:szCs w:val="21"/>
              </w:rPr>
              <w:t>、颗粒物</w:t>
            </w:r>
          </w:p>
        </w:tc>
        <w:tc>
          <w:tcPr>
            <w:tcW w:w="856" w:type="pct"/>
            <w:vAlign w:val="center"/>
          </w:tcPr>
          <w:p>
            <w:pPr>
              <w:pStyle w:val="39"/>
              <w:widowControl/>
              <w:autoSpaceDE/>
              <w:autoSpaceDN/>
              <w:adjustRightInd/>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引至高空排放</w:t>
            </w:r>
          </w:p>
        </w:tc>
        <w:tc>
          <w:tcPr>
            <w:tcW w:w="1425" w:type="pct"/>
            <w:vAlign w:val="center"/>
          </w:tcPr>
          <w:p>
            <w:pPr>
              <w:pStyle w:val="39"/>
              <w:widowControl/>
              <w:autoSpaceDE/>
              <w:autoSpaceDN/>
              <w:adjustRightInd/>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广东省《大气污染物排放限值》（DB44/27-2001）表2工艺废气大气污染物排放限值第二时段最高允许排放浓度的要求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585" w:hRule="atLeast"/>
          <w:jc w:val="center"/>
        </w:trPr>
        <w:tc>
          <w:tcPr>
            <w:tcW w:w="975" w:type="pct"/>
            <w:vMerge w:val="continue"/>
            <w:vAlign w:val="center"/>
          </w:tcPr>
          <w:p>
            <w:pPr>
              <w:adjustRightInd w:val="0"/>
              <w:snapToGrid w:val="0"/>
              <w:jc w:val="center"/>
              <w:rPr>
                <w:rFonts w:ascii="Times New Roman" w:hAnsi="Times New Roman" w:eastAsia="宋体" w:cs="Times New Roman"/>
                <w:color w:val="000000"/>
                <w:szCs w:val="21"/>
              </w:rPr>
            </w:pPr>
          </w:p>
        </w:tc>
        <w:tc>
          <w:tcPr>
            <w:tcW w:w="924"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自建污水站周边</w:t>
            </w:r>
          </w:p>
        </w:tc>
        <w:tc>
          <w:tcPr>
            <w:tcW w:w="818"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NH</w:t>
            </w:r>
            <w:r>
              <w:rPr>
                <w:rFonts w:ascii="Times New Roman" w:hAnsi="Times New Roman" w:eastAsia="宋体" w:cs="Times New Roman"/>
                <w:color w:val="000000"/>
                <w:position w:val="-2"/>
                <w:szCs w:val="21"/>
                <w:vertAlign w:val="subscript"/>
              </w:rPr>
              <w:t>3</w:t>
            </w:r>
            <w:r>
              <w:rPr>
                <w:rFonts w:ascii="Times New Roman" w:hAnsi="Times New Roman" w:eastAsia="宋体" w:cs="Times New Roman"/>
                <w:color w:val="000000"/>
                <w:szCs w:val="21"/>
              </w:rPr>
              <w:t>、H</w:t>
            </w:r>
            <w:r>
              <w:rPr>
                <w:rFonts w:ascii="Times New Roman" w:hAnsi="Times New Roman" w:eastAsia="宋体" w:cs="Times New Roman"/>
                <w:color w:val="000000"/>
                <w:position w:val="-2"/>
                <w:szCs w:val="21"/>
                <w:vertAlign w:val="subscript"/>
              </w:rPr>
              <w:t>2</w:t>
            </w:r>
            <w:r>
              <w:rPr>
                <w:rFonts w:ascii="Times New Roman" w:hAnsi="Times New Roman" w:eastAsia="宋体" w:cs="Times New Roman"/>
                <w:color w:val="000000"/>
                <w:szCs w:val="21"/>
              </w:rPr>
              <w:t>S、臭气浓度、氯气、甲烷（指处理站内最高体积百分数%）</w:t>
            </w:r>
          </w:p>
        </w:tc>
        <w:tc>
          <w:tcPr>
            <w:tcW w:w="856"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kern w:val="0"/>
                <w:szCs w:val="21"/>
              </w:rPr>
              <w:t>各池子</w:t>
            </w:r>
            <w:r>
              <w:rPr>
                <w:rFonts w:ascii="Times New Roman" w:hAnsi="Times New Roman" w:eastAsia="宋体" w:cs="Times New Roman"/>
                <w:color w:val="000000"/>
                <w:szCs w:val="21"/>
              </w:rPr>
              <w:t>加盖密闭，投加除臭剂，自然通风扩散</w:t>
            </w:r>
          </w:p>
        </w:tc>
        <w:tc>
          <w:tcPr>
            <w:tcW w:w="1425" w:type="pct"/>
            <w:vAlign w:val="center"/>
          </w:tcPr>
          <w:p>
            <w:pPr>
              <w:pStyle w:val="39"/>
              <w:widowControl/>
              <w:autoSpaceDE/>
              <w:autoSpaceDN/>
              <w:adjustRightInd/>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《医疗机构水污染物排放标准》（GB18466-2005）表3限值要求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69" w:hRule="atLeast"/>
          <w:jc w:val="center"/>
        </w:trPr>
        <w:tc>
          <w:tcPr>
            <w:tcW w:w="97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地表水环境</w:t>
            </w:r>
          </w:p>
        </w:tc>
        <w:tc>
          <w:tcPr>
            <w:tcW w:w="924" w:type="pct"/>
            <w:vAlign w:val="center"/>
          </w:tcPr>
          <w:p>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DW001</w:t>
            </w:r>
          </w:p>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生活污水、医疗废水</w:t>
            </w:r>
          </w:p>
        </w:tc>
        <w:tc>
          <w:tcPr>
            <w:tcW w:w="818" w:type="pct"/>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pH、BOD</w:t>
            </w:r>
            <w:r>
              <w:rPr>
                <w:rFonts w:ascii="Times New Roman" w:hAnsi="Times New Roman" w:eastAsia="宋体" w:cs="Times New Roman"/>
                <w:color w:val="000000"/>
                <w:position w:val="-2"/>
                <w:szCs w:val="21"/>
                <w:vertAlign w:val="subscript"/>
              </w:rPr>
              <w:t>5</w:t>
            </w:r>
            <w:r>
              <w:rPr>
                <w:rFonts w:ascii="Times New Roman" w:hAnsi="Times New Roman" w:eastAsia="宋体" w:cs="Times New Roman"/>
                <w:color w:val="000000"/>
                <w:spacing w:val="-41"/>
                <w:szCs w:val="21"/>
              </w:rPr>
              <w:t>、</w:t>
            </w:r>
            <w:r>
              <w:rPr>
                <w:rFonts w:ascii="Times New Roman" w:hAnsi="Times New Roman" w:eastAsia="宋体" w:cs="Times New Roman"/>
                <w:color w:val="000000"/>
                <w:szCs w:val="21"/>
              </w:rPr>
              <w:t>COD</w:t>
            </w:r>
            <w:r>
              <w:rPr>
                <w:rFonts w:ascii="Times New Roman" w:hAnsi="Times New Roman" w:eastAsia="宋体" w:cs="Times New Roman"/>
                <w:color w:val="000000"/>
                <w:szCs w:val="21"/>
                <w:vertAlign w:val="subscript"/>
              </w:rPr>
              <w:t>cr</w:t>
            </w:r>
            <w:r>
              <w:rPr>
                <w:rFonts w:ascii="Times New Roman" w:hAnsi="Times New Roman" w:eastAsia="宋体" w:cs="Times New Roman"/>
                <w:color w:val="000000"/>
                <w:spacing w:val="-41"/>
                <w:szCs w:val="21"/>
              </w:rPr>
              <w:t>、</w:t>
            </w:r>
            <w:r>
              <w:rPr>
                <w:rFonts w:ascii="Times New Roman" w:hAnsi="Times New Roman" w:eastAsia="宋体" w:cs="Times New Roman"/>
                <w:color w:val="000000"/>
                <w:szCs w:val="21"/>
              </w:rPr>
              <w:t>SS</w:t>
            </w:r>
            <w:r>
              <w:rPr>
                <w:rFonts w:ascii="Times New Roman" w:hAnsi="Times New Roman" w:eastAsia="宋体" w:cs="Times New Roman"/>
                <w:color w:val="000000"/>
                <w:spacing w:val="-16"/>
                <w:szCs w:val="21"/>
              </w:rPr>
              <w:t>、</w:t>
            </w:r>
            <w:r>
              <w:rPr>
                <w:rFonts w:ascii="Times New Roman" w:hAnsi="Times New Roman" w:eastAsia="宋体" w:cs="Times New Roman"/>
                <w:color w:val="000000"/>
                <w:szCs w:val="21"/>
              </w:rPr>
              <w:t>NH</w:t>
            </w:r>
            <w:r>
              <w:rPr>
                <w:rFonts w:ascii="Times New Roman" w:hAnsi="Times New Roman" w:eastAsia="宋体" w:cs="Times New Roman"/>
                <w:color w:val="000000"/>
                <w:szCs w:val="21"/>
                <w:vertAlign w:val="subscript"/>
              </w:rPr>
              <w:t>3</w:t>
            </w:r>
            <w:r>
              <w:rPr>
                <w:rFonts w:ascii="Times New Roman" w:hAnsi="Times New Roman" w:eastAsia="宋体" w:cs="Times New Roman"/>
                <w:color w:val="000000"/>
                <w:szCs w:val="21"/>
              </w:rPr>
              <w:t>-N、动植物油、粪大肠菌群</w:t>
            </w:r>
          </w:p>
        </w:tc>
        <w:tc>
          <w:tcPr>
            <w:tcW w:w="856"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三级化粪池</w:t>
            </w:r>
            <w:r>
              <w:rPr>
                <w:rFonts w:hint="eastAsia" w:ascii="Times New Roman" w:hAnsi="Times New Roman" w:eastAsia="宋体" w:cs="Times New Roman"/>
                <w:color w:val="000000"/>
                <w:szCs w:val="21"/>
              </w:rPr>
              <w:t>（54</w:t>
            </w: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+自建污水处理站</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160m³/d</w:t>
            </w:r>
            <w:r>
              <w:rPr>
                <w:rFonts w:hint="eastAsia" w:ascii="Times New Roman" w:hAnsi="Times New Roman" w:eastAsia="宋体" w:cs="Times New Roman"/>
                <w:color w:val="000000"/>
                <w:szCs w:val="21"/>
              </w:rPr>
              <w:t>）</w:t>
            </w:r>
            <w:r>
              <w:rPr>
                <w:rFonts w:ascii="Times New Roman" w:hAnsi="Times New Roman" w:eastAsia="宋体" w:cs="Times New Roman"/>
                <w:color w:val="000000"/>
                <w:kern w:val="0"/>
                <w:szCs w:val="21"/>
              </w:rPr>
              <w:t>“</w:t>
            </w:r>
            <w:r>
              <w:rPr>
                <w:rFonts w:hint="eastAsia" w:ascii="Times New Roman" w:hAnsi="Times New Roman" w:eastAsia="宋体" w:cs="Times New Roman"/>
                <w:color w:val="000000"/>
                <w:kern w:val="0"/>
                <w:szCs w:val="21"/>
              </w:rPr>
              <w:t>调节池+水解酸化池+接触氧化池+沉淀池+清水消毒池+污泥池</w:t>
            </w:r>
            <w:r>
              <w:rPr>
                <w:rFonts w:ascii="Times New Roman" w:hAnsi="Times New Roman" w:eastAsia="宋体" w:cs="Times New Roman"/>
                <w:color w:val="000000"/>
                <w:kern w:val="0"/>
                <w:szCs w:val="21"/>
              </w:rPr>
              <w:t>”</w:t>
            </w:r>
          </w:p>
        </w:tc>
        <w:tc>
          <w:tcPr>
            <w:tcW w:w="1425" w:type="pct"/>
            <w:vAlign w:val="center"/>
          </w:tcPr>
          <w:p>
            <w:pPr>
              <w:pStyle w:val="39"/>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医疗机构水污染物排放标准》（GB18466-2005）表2综合医疗机构和其他医疗机构水污染物排放限值（日均值）中的预处理标准、广东省《水污染物排放限值》（DB44/26-2001）第二时段三级标准及湛江市赤坎水质净化厂进水水质标准的较严值</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425" w:hRule="atLeast"/>
          <w:jc w:val="center"/>
        </w:trPr>
        <w:tc>
          <w:tcPr>
            <w:tcW w:w="97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声环境</w:t>
            </w:r>
          </w:p>
        </w:tc>
        <w:tc>
          <w:tcPr>
            <w:tcW w:w="924" w:type="pct"/>
            <w:vAlign w:val="center"/>
          </w:tcPr>
          <w:p>
            <w:pPr>
              <w:pStyle w:val="39"/>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普通医疗设备、医院生活噪声、废水处理设备、空调主机</w:t>
            </w:r>
          </w:p>
        </w:tc>
        <w:tc>
          <w:tcPr>
            <w:tcW w:w="818"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等效A声级</w:t>
            </w:r>
          </w:p>
        </w:tc>
        <w:tc>
          <w:tcPr>
            <w:tcW w:w="856" w:type="pct"/>
            <w:vAlign w:val="center"/>
          </w:tcPr>
          <w:p>
            <w:pPr>
              <w:pStyle w:val="39"/>
              <w:jc w:val="center"/>
              <w:rPr>
                <w:rFonts w:ascii="Times New Roman" w:hAnsi="Times New Roman" w:eastAsia="宋体" w:cs="Times New Roman"/>
                <w:color w:val="000000"/>
                <w:kern w:val="2"/>
                <w:szCs w:val="21"/>
              </w:rPr>
            </w:pPr>
            <w:r>
              <w:rPr>
                <w:rFonts w:ascii="Times New Roman" w:hAnsi="Times New Roman" w:eastAsia="宋体" w:cs="Times New Roman"/>
                <w:color w:val="000000"/>
                <w:spacing w:val="-4"/>
                <w:szCs w:val="21"/>
              </w:rPr>
              <w:t>基础减振、墙体隔声、距离</w:t>
            </w:r>
            <w:r>
              <w:rPr>
                <w:rFonts w:ascii="Times New Roman" w:hAnsi="Times New Roman" w:eastAsia="宋体" w:cs="Times New Roman"/>
                <w:color w:val="000000"/>
                <w:szCs w:val="21"/>
              </w:rPr>
              <w:t>降噪等</w:t>
            </w:r>
          </w:p>
        </w:tc>
        <w:tc>
          <w:tcPr>
            <w:tcW w:w="142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厂界执行《工业企业厂界环境噪声排放标准》（GB12348-2008）2类标准限值</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7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电磁辐射</w:t>
            </w:r>
          </w:p>
        </w:tc>
        <w:tc>
          <w:tcPr>
            <w:tcW w:w="924"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18"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856"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c>
          <w:tcPr>
            <w:tcW w:w="142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97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固体废物</w:t>
            </w:r>
          </w:p>
        </w:tc>
        <w:tc>
          <w:tcPr>
            <w:tcW w:w="4024" w:type="pct"/>
            <w:gridSpan w:val="4"/>
            <w:vAlign w:val="center"/>
          </w:tcPr>
          <w:p>
            <w:pPr>
              <w:pStyle w:val="39"/>
              <w:ind w:firstLine="420" w:firstLineChars="200"/>
              <w:rPr>
                <w:rFonts w:ascii="Times New Roman" w:hAnsi="Times New Roman" w:eastAsia="宋体" w:cs="Times New Roman"/>
                <w:color w:val="000000"/>
                <w:szCs w:val="21"/>
              </w:rPr>
            </w:pPr>
            <w:r>
              <w:rPr>
                <w:rFonts w:ascii="Times New Roman" w:hAnsi="Times New Roman" w:eastAsia="宋体" w:cs="Times New Roman"/>
                <w:color w:val="000000"/>
                <w:szCs w:val="21"/>
              </w:rPr>
              <w:t>医疗废物、废紫外线灯管</w:t>
            </w:r>
            <w:r>
              <w:rPr>
                <w:rFonts w:hint="eastAsia" w:ascii="Times New Roman" w:hAnsi="Times New Roman" w:eastAsia="宋体" w:cs="Times New Roman"/>
                <w:color w:val="000000"/>
                <w:szCs w:val="21"/>
              </w:rPr>
              <w:t>、检验科固废</w:t>
            </w:r>
            <w:r>
              <w:rPr>
                <w:rFonts w:ascii="Times New Roman" w:hAnsi="Times New Roman" w:eastAsia="宋体" w:cs="Times New Roman"/>
                <w:color w:val="000000"/>
                <w:szCs w:val="21"/>
              </w:rPr>
              <w:t>使用专用容器集中收集，暂存于危</w:t>
            </w:r>
            <w:r>
              <w:rPr>
                <w:rFonts w:ascii="Times New Roman" w:hAnsi="Times New Roman" w:eastAsia="宋体" w:cs="Times New Roman"/>
                <w:color w:val="000000"/>
                <w:spacing w:val="-4"/>
                <w:szCs w:val="21"/>
              </w:rPr>
              <w:t>险废物暂存间</w:t>
            </w:r>
            <w:r>
              <w:rPr>
                <w:rFonts w:ascii="Times New Roman" w:hAnsi="Times New Roman" w:eastAsia="宋体" w:cs="Times New Roman"/>
                <w:color w:val="000000"/>
                <w:spacing w:val="-7"/>
                <w:szCs w:val="21"/>
              </w:rPr>
              <w:t>（10m</w:t>
            </w:r>
            <w:r>
              <w:rPr>
                <w:rFonts w:ascii="Times New Roman" w:hAnsi="Times New Roman" w:eastAsia="宋体" w:cs="Times New Roman"/>
                <w:color w:val="000000"/>
                <w:spacing w:val="-7"/>
                <w:szCs w:val="21"/>
                <w:vertAlign w:val="superscript"/>
              </w:rPr>
              <w:t>2</w:t>
            </w:r>
            <w:r>
              <w:rPr>
                <w:rFonts w:ascii="Times New Roman" w:hAnsi="Times New Roman" w:eastAsia="宋体" w:cs="Times New Roman"/>
                <w:color w:val="000000"/>
                <w:spacing w:val="-7"/>
                <w:szCs w:val="21"/>
              </w:rPr>
              <w:t>）</w:t>
            </w:r>
            <w:r>
              <w:rPr>
                <w:rFonts w:ascii="Times New Roman" w:hAnsi="Times New Roman" w:eastAsia="宋体" w:cs="Times New Roman"/>
                <w:color w:val="000000"/>
                <w:spacing w:val="-6"/>
                <w:szCs w:val="21"/>
              </w:rPr>
              <w:t>，定期委托有资质单位收集处理；</w:t>
            </w:r>
            <w:r>
              <w:rPr>
                <w:rFonts w:hint="eastAsia" w:ascii="Times New Roman" w:hAnsi="Times New Roman" w:eastAsia="宋体" w:cs="Times New Roman"/>
                <w:color w:val="000000"/>
                <w:spacing w:val="-6"/>
                <w:szCs w:val="21"/>
                <w:lang w:val="en-US" w:eastAsia="zh-CN"/>
              </w:rPr>
              <w:t>检验科废液经预处理，排入自建污水处理站处理；</w:t>
            </w:r>
            <w:r>
              <w:rPr>
                <w:rFonts w:ascii="Times New Roman" w:hAnsi="Times New Roman" w:eastAsia="宋体" w:cs="Times New Roman"/>
                <w:color w:val="000000"/>
                <w:spacing w:val="-6"/>
                <w:szCs w:val="21"/>
              </w:rPr>
              <w:t>污泥</w:t>
            </w:r>
            <w:r>
              <w:rPr>
                <w:rFonts w:ascii="Times New Roman" w:hAnsi="Times New Roman" w:eastAsia="宋体" w:cs="Times New Roman"/>
                <w:color w:val="000000"/>
                <w:szCs w:val="21"/>
              </w:rPr>
              <w:t>委托有资质单位进行定期收集处置；生活垃圾由环卫部门统一收集处理；使用后未污染的输液瓶（袋），收集后交由有资质处置单位回收利用。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97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土壤及地下水污染防治措施</w:t>
            </w:r>
          </w:p>
        </w:tc>
        <w:tc>
          <w:tcPr>
            <w:tcW w:w="4024" w:type="pct"/>
            <w:gridSpan w:val="4"/>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厂区地面硬化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975" w:type="pct"/>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生态保护措施</w:t>
            </w:r>
          </w:p>
        </w:tc>
        <w:tc>
          <w:tcPr>
            <w:tcW w:w="4024" w:type="pct"/>
            <w:gridSpan w:val="4"/>
            <w:vAlign w:val="center"/>
          </w:tcPr>
          <w:p>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276" w:hRule="atLeast"/>
          <w:jc w:val="center"/>
        </w:trPr>
        <w:tc>
          <w:tcPr>
            <w:tcW w:w="975" w:type="pct"/>
            <w:vAlign w:val="center"/>
          </w:tcPr>
          <w:p>
            <w:pPr>
              <w:adjustRightInd w:val="0"/>
              <w:snapToGrid w:val="0"/>
              <w:jc w:val="center"/>
              <w:rPr>
                <w:rFonts w:ascii="Times New Roman" w:hAnsi="Times New Roman" w:eastAsia="宋体" w:cs="Times New Roman"/>
                <w:color w:val="000000"/>
                <w:spacing w:val="-8"/>
                <w:szCs w:val="21"/>
              </w:rPr>
            </w:pPr>
            <w:r>
              <w:rPr>
                <w:rFonts w:ascii="Times New Roman" w:hAnsi="Times New Roman" w:eastAsia="宋体" w:cs="Times New Roman"/>
                <w:color w:val="000000"/>
                <w:spacing w:val="-8"/>
                <w:szCs w:val="21"/>
              </w:rPr>
              <w:t>环境风险防范措施</w:t>
            </w:r>
          </w:p>
        </w:tc>
        <w:tc>
          <w:tcPr>
            <w:tcW w:w="4024" w:type="pct"/>
            <w:gridSpan w:val="4"/>
            <w:vAlign w:val="center"/>
          </w:tcPr>
          <w:p>
            <w:pPr>
              <w:pStyle w:val="39"/>
              <w:ind w:firstLine="420" w:firstLineChars="200"/>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1、医院停电时，启用备用柴油发电机，优先保证污水处理系统的用电。</w:t>
            </w:r>
          </w:p>
          <w:p>
            <w:pPr>
              <w:pStyle w:val="39"/>
              <w:ind w:firstLine="420" w:firstLineChars="200"/>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2、设置有效容量约为</w:t>
            </w:r>
            <w:r>
              <w:rPr>
                <w:rFonts w:hint="eastAsia" w:ascii="Times New Roman" w:hAnsi="Times New Roman" w:eastAsia="宋体" w:cs="Times New Roman"/>
                <w:color w:val="000000"/>
                <w:szCs w:val="21"/>
                <w:lang w:val="en-US" w:eastAsia="zh-CN"/>
              </w:rPr>
              <w:t>36</w:t>
            </w: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r>
              <w:rPr>
                <w:rFonts w:ascii="Times New Roman" w:hAnsi="Times New Roman" w:eastAsia="宋体" w:cs="Times New Roman"/>
                <w:color w:val="000000"/>
                <w:szCs w:val="21"/>
              </w:rPr>
              <w:t>的应急事故池，应急事故池平时应保持空置状态。</w:t>
            </w:r>
          </w:p>
          <w:p>
            <w:pPr>
              <w:pStyle w:val="39"/>
              <w:ind w:firstLine="420" w:firstLineChars="200"/>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3、项目使用专用容器集中收集医疗废物、废紫外线灯管</w:t>
            </w:r>
            <w:r>
              <w:rPr>
                <w:rFonts w:hint="eastAsia" w:ascii="Times New Roman" w:hAnsi="Times New Roman" w:eastAsia="宋体" w:cs="Times New Roman"/>
                <w:color w:val="000000"/>
                <w:szCs w:val="21"/>
              </w:rPr>
              <w:t>、检验科固废</w:t>
            </w:r>
            <w:r>
              <w:rPr>
                <w:rFonts w:ascii="Times New Roman" w:hAnsi="Times New Roman" w:eastAsia="宋体" w:cs="Times New Roman"/>
                <w:color w:val="000000"/>
                <w:szCs w:val="21"/>
              </w:rPr>
              <w:t>，暂存于危</w:t>
            </w:r>
            <w:r>
              <w:rPr>
                <w:rFonts w:ascii="Times New Roman" w:hAnsi="Times New Roman" w:eastAsia="宋体" w:cs="Times New Roman"/>
                <w:color w:val="000000"/>
                <w:spacing w:val="-4"/>
                <w:szCs w:val="21"/>
              </w:rPr>
              <w:t>险废物暂存间</w:t>
            </w:r>
            <w:r>
              <w:rPr>
                <w:rFonts w:ascii="Times New Roman" w:hAnsi="Times New Roman" w:eastAsia="宋体" w:cs="Times New Roman"/>
                <w:color w:val="000000"/>
                <w:spacing w:val="-7"/>
                <w:szCs w:val="21"/>
              </w:rPr>
              <w:t>（10m</w:t>
            </w:r>
            <w:r>
              <w:rPr>
                <w:rFonts w:ascii="Times New Roman" w:hAnsi="Times New Roman" w:eastAsia="宋体" w:cs="Times New Roman"/>
                <w:color w:val="000000"/>
                <w:spacing w:val="-7"/>
                <w:szCs w:val="21"/>
                <w:vertAlign w:val="superscript"/>
              </w:rPr>
              <w:t>2</w:t>
            </w:r>
            <w:r>
              <w:rPr>
                <w:rFonts w:ascii="Times New Roman" w:hAnsi="Times New Roman" w:eastAsia="宋体" w:cs="Times New Roman"/>
                <w:color w:val="000000"/>
                <w:spacing w:val="-7"/>
                <w:szCs w:val="21"/>
              </w:rPr>
              <w:t>）</w:t>
            </w:r>
            <w:r>
              <w:rPr>
                <w:rFonts w:ascii="Times New Roman" w:hAnsi="Times New Roman" w:eastAsia="宋体" w:cs="Times New Roman"/>
                <w:color w:val="000000"/>
                <w:szCs w:val="21"/>
              </w:rPr>
              <w:t>，不得露天存放；医疗废物暂时贮存的时间不得超过2天，污泥应当及时、有效地处理。</w:t>
            </w:r>
            <w:r>
              <w:rPr>
                <w:rFonts w:hint="eastAsia" w:ascii="Times New Roman" w:hAnsi="Times New Roman" w:eastAsia="宋体" w:cs="Times New Roman"/>
                <w:color w:val="000000"/>
                <w:szCs w:val="21"/>
                <w:lang w:val="en-US" w:eastAsia="zh-CN"/>
              </w:rPr>
              <w:t>项目危废</w:t>
            </w:r>
            <w:r>
              <w:rPr>
                <w:rFonts w:ascii="Times New Roman" w:hAnsi="Times New Roman" w:eastAsia="宋体" w:cs="Times New Roman"/>
                <w:color w:val="000000"/>
                <w:szCs w:val="21"/>
              </w:rPr>
              <w:t>转交出去后，应当对危</w:t>
            </w:r>
            <w:r>
              <w:rPr>
                <w:rFonts w:ascii="Times New Roman" w:hAnsi="Times New Roman" w:eastAsia="宋体" w:cs="Times New Roman"/>
                <w:color w:val="000000"/>
                <w:spacing w:val="-4"/>
                <w:szCs w:val="21"/>
              </w:rPr>
              <w:t>险废物暂存间</w:t>
            </w:r>
            <w:r>
              <w:rPr>
                <w:rFonts w:ascii="Times New Roman" w:hAnsi="Times New Roman" w:eastAsia="宋体" w:cs="Times New Roman"/>
                <w:color w:val="000000"/>
                <w:spacing w:val="-7"/>
                <w:szCs w:val="21"/>
              </w:rPr>
              <w:t>（10m</w:t>
            </w:r>
            <w:r>
              <w:rPr>
                <w:rFonts w:ascii="Times New Roman" w:hAnsi="Times New Roman" w:eastAsia="宋体" w:cs="Times New Roman"/>
                <w:color w:val="000000"/>
                <w:spacing w:val="-7"/>
                <w:szCs w:val="21"/>
                <w:vertAlign w:val="superscript"/>
              </w:rPr>
              <w:t>2</w:t>
            </w:r>
            <w:r>
              <w:rPr>
                <w:rFonts w:ascii="Times New Roman" w:hAnsi="Times New Roman" w:eastAsia="宋体" w:cs="Times New Roman"/>
                <w:color w:val="000000"/>
                <w:spacing w:val="-7"/>
                <w:szCs w:val="21"/>
              </w:rPr>
              <w:t>）</w:t>
            </w:r>
            <w:r>
              <w:rPr>
                <w:rFonts w:ascii="Times New Roman" w:hAnsi="Times New Roman" w:eastAsia="宋体" w:cs="Times New Roman"/>
                <w:color w:val="000000"/>
                <w:szCs w:val="21"/>
              </w:rPr>
              <w:t>及时清洁和消毒处理。禁止将</w:t>
            </w:r>
            <w:r>
              <w:rPr>
                <w:rFonts w:hint="eastAsia" w:ascii="Times New Roman" w:hAnsi="Times New Roman" w:eastAsia="宋体" w:cs="Times New Roman"/>
                <w:color w:val="000000"/>
                <w:szCs w:val="21"/>
                <w:lang w:val="en-US" w:eastAsia="zh-CN"/>
              </w:rPr>
              <w:t>项目危废</w:t>
            </w:r>
            <w:r>
              <w:rPr>
                <w:rFonts w:ascii="Times New Roman" w:hAnsi="Times New Roman" w:eastAsia="宋体" w:cs="Times New Roman"/>
                <w:color w:val="000000"/>
                <w:szCs w:val="21"/>
              </w:rPr>
              <w:t>在非收集、非暂时贮存地点倾倒、堆放；禁止混入其他废物和生活垃圾；禁止在内部运输过程中丢弃。</w:t>
            </w:r>
          </w:p>
          <w:p>
            <w:pPr>
              <w:pStyle w:val="39"/>
              <w:ind w:firstLine="420" w:firstLineChars="200"/>
              <w:jc w:val="both"/>
              <w:rPr>
                <w:rFonts w:ascii="Times New Roman" w:hAnsi="Times New Roman" w:eastAsia="宋体" w:cs="Times New Roman"/>
                <w:color w:val="000000"/>
                <w:szCs w:val="21"/>
              </w:rPr>
            </w:pPr>
            <w:r>
              <w:rPr>
                <w:rFonts w:ascii="Times New Roman" w:hAnsi="Times New Roman" w:eastAsia="宋体" w:cs="Times New Roman"/>
                <w:color w:val="000000"/>
                <w:szCs w:val="21"/>
              </w:rPr>
              <w:t>4、为了避免次氯酸钠的泄漏应做到严格执行设备的维护与保养，定期对设备、管道、仪表、阀门、安全装置等进行检查和检验；生产装置采用先进的自动化系统，有效控制生产过程，并定期按《排污许可证申请与核发技术规范医疗机构》（HJ1105—2020）自行监测要求检测污水处理系统中的次氯酸钠含量，一旦发生泄漏，马上关闭阀门停止生产，并采取有效的应对措施，加强全员教育和培训，增强安全意识，提高操作技能及应变能力。</w:t>
            </w:r>
          </w:p>
          <w:p>
            <w:pPr>
              <w:pStyle w:val="39"/>
              <w:ind w:firstLine="420" w:firstLineChars="200"/>
              <w:rPr>
                <w:rFonts w:ascii="Times New Roman" w:hAnsi="Times New Roman" w:eastAsia="宋体" w:cs="Times New Roman"/>
                <w:color w:val="000000"/>
                <w:szCs w:val="21"/>
              </w:rPr>
            </w:pPr>
            <w:r>
              <w:rPr>
                <w:rFonts w:ascii="Times New Roman" w:hAnsi="Times New Roman" w:eastAsia="宋体" w:cs="Times New Roman"/>
                <w:color w:val="000000"/>
                <w:szCs w:val="21"/>
              </w:rPr>
              <w:t>5、项目拟对医院火灾事故采取如下消防措施：医院设有消火栓和灭火器。任何人发现火灾后均应立即向单位领导报告。报告时讲明火灾地点、着火物品、火势大小及周围的情况。单位领导立即组织现场值班人员、岗位人员用灭火器、消火栓组织灭火，尽量将周围易燃易爆物品转移或隔离，并根据火势大小、严重程度决定是否拨打119电话报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02" w:hRule="atLeast"/>
          <w:jc w:val="center"/>
        </w:trPr>
        <w:tc>
          <w:tcPr>
            <w:tcW w:w="975" w:type="pct"/>
            <w:vAlign w:val="center"/>
          </w:tcPr>
          <w:p>
            <w:pPr>
              <w:adjustRightInd w:val="0"/>
              <w:snapToGrid w:val="0"/>
              <w:jc w:val="center"/>
              <w:rPr>
                <w:rFonts w:ascii="Times New Roman" w:hAnsi="Times New Roman" w:eastAsia="宋体" w:cs="Times New Roman"/>
                <w:color w:val="000000"/>
                <w:spacing w:val="-8"/>
                <w:szCs w:val="21"/>
              </w:rPr>
            </w:pPr>
            <w:r>
              <w:rPr>
                <w:rFonts w:ascii="Times New Roman" w:hAnsi="Times New Roman" w:eastAsia="宋体" w:cs="Times New Roman"/>
                <w:color w:val="000000"/>
                <w:spacing w:val="-8"/>
                <w:szCs w:val="21"/>
              </w:rPr>
              <w:t>其他环境管理要求</w:t>
            </w:r>
          </w:p>
        </w:tc>
        <w:tc>
          <w:tcPr>
            <w:tcW w:w="4024" w:type="pct"/>
            <w:gridSpan w:val="4"/>
            <w:vAlign w:val="center"/>
          </w:tcPr>
          <w:p>
            <w:pPr>
              <w:pStyle w:val="39"/>
              <w:ind w:firstLine="420" w:firstLineChars="200"/>
              <w:rPr>
                <w:rFonts w:ascii="Times New Roman" w:hAnsi="Times New Roman" w:eastAsia="宋体" w:cs="Times New Roman"/>
                <w:color w:val="000000"/>
                <w:szCs w:val="21"/>
              </w:rPr>
            </w:pPr>
            <w:r>
              <w:rPr>
                <w:rFonts w:ascii="Times New Roman" w:hAnsi="Times New Roman" w:eastAsia="宋体" w:cs="Times New Roman"/>
                <w:color w:val="000000"/>
                <w:szCs w:val="21"/>
              </w:rPr>
              <w:t>建设项目建成后，应严格执行配套建设的环境保护设施与主体工程同时设计、同时施工、同时投入使用的环境保护“三同时”制度，应根据《关于规范建设单位自主开展建设项目竣工环境保护验收的通知》（环办环评函〔2017〕1235号）自主组织开展竣工环保验收，验收合格后方可投入正式生产。</w:t>
            </w:r>
          </w:p>
          <w:p>
            <w:pPr>
              <w:pStyle w:val="39"/>
              <w:ind w:firstLine="420" w:firstLineChars="200"/>
              <w:rPr>
                <w:rFonts w:ascii="Times New Roman" w:hAnsi="Times New Roman" w:eastAsia="宋体" w:cs="Times New Roman"/>
                <w:color w:val="000000"/>
                <w:szCs w:val="21"/>
              </w:rPr>
            </w:pPr>
            <w:r>
              <w:rPr>
                <w:rFonts w:ascii="Times New Roman" w:hAnsi="Times New Roman" w:eastAsia="宋体" w:cs="Times New Roman"/>
                <w:color w:val="000000"/>
                <w:szCs w:val="21"/>
              </w:rPr>
              <w:t>建设项目发生实际排污行为之前，排污单位应当按《固定污染源排污许可分类管理名录（2019年版）》（部令第11号）要求进行申请国家排污许可证（排污许可简化管理）。排污许可证执行报告、台账记录以及自行监测执行情况等应作为开展建设项目环境影响后评价的重要依据。</w:t>
            </w:r>
          </w:p>
        </w:tc>
      </w:tr>
    </w:tbl>
    <w:p>
      <w:pPr>
        <w:pStyle w:val="26"/>
        <w:jc w:val="center"/>
        <w:rPr>
          <w:rFonts w:ascii="Times New Roman" w:hAnsi="Times New Roman" w:eastAsia="宋体" w:cs="Times New Roman"/>
          <w:snapToGrid w:val="0"/>
          <w:color w:val="000000"/>
          <w:sz w:val="30"/>
          <w:szCs w:val="30"/>
        </w:rPr>
        <w:sectPr>
          <w:pgSz w:w="11906" w:h="16838"/>
          <w:pgMar w:top="1701" w:right="1531" w:bottom="1701" w:left="1531" w:header="851" w:footer="851" w:gutter="0"/>
          <w:cols w:space="720" w:num="1"/>
          <w:docGrid w:linePitch="312" w:charSpace="0"/>
        </w:sectPr>
      </w:pPr>
    </w:p>
    <w:p>
      <w:pPr>
        <w:pStyle w:val="26"/>
        <w:jc w:val="center"/>
        <w:outlineLvl w:val="0"/>
        <w:rPr>
          <w:rFonts w:ascii="Times New Roman" w:hAnsi="Times New Roman" w:eastAsia="宋体" w:cs="Times New Roman"/>
          <w:snapToGrid w:val="0"/>
          <w:color w:val="000000"/>
          <w:sz w:val="30"/>
          <w:szCs w:val="30"/>
        </w:rPr>
      </w:pPr>
      <w:bookmarkStart w:id="47" w:name="_Toc31099"/>
      <w:bookmarkStart w:id="48" w:name="_Toc7603"/>
      <w:bookmarkStart w:id="49" w:name="_Toc32288"/>
      <w:bookmarkStart w:id="50" w:name="_Toc27241"/>
      <w:bookmarkStart w:id="51" w:name="_Toc6198"/>
      <w:r>
        <w:rPr>
          <w:rFonts w:ascii="Times New Roman" w:hAnsi="Times New Roman" w:eastAsia="宋体" w:cs="Times New Roman"/>
          <w:snapToGrid w:val="0"/>
          <w:color w:val="000000"/>
          <w:sz w:val="30"/>
          <w:szCs w:val="30"/>
        </w:rPr>
        <w:t>六、结论</w:t>
      </w:r>
      <w:bookmarkEnd w:id="47"/>
      <w:bookmarkEnd w:id="48"/>
      <w:bookmarkEnd w:id="49"/>
      <w:bookmarkEnd w:id="50"/>
      <w:bookmarkEnd w:id="51"/>
    </w:p>
    <w:tbl>
      <w:tblPr>
        <w:tblStyle w:val="29"/>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1991" w:hRule="atLeast"/>
          <w:jc w:val="center"/>
        </w:trPr>
        <w:tc>
          <w:tcPr>
            <w:tcW w:w="5000" w:type="pct"/>
            <w:vAlign w:val="center"/>
          </w:tcPr>
          <w:p>
            <w:pPr>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color w:val="000000"/>
                <w:kern w:val="0"/>
                <w:sz w:val="24"/>
              </w:rPr>
              <w:t>本项目符合国家相关产业政策和当地规划；项目在生产过程中会产生废气、废水、噪声、固体废物等，在全面落实本报告表提出的各项环境保护措施的基础上，切实做到“三同时”，并在</w:t>
            </w:r>
            <w:r>
              <w:rPr>
                <w:rFonts w:hint="eastAsia" w:ascii="Times New Roman" w:hAnsi="Times New Roman" w:eastAsia="宋体" w:cs="Times New Roman"/>
                <w:color w:val="000000"/>
                <w:kern w:val="0"/>
                <w:sz w:val="24"/>
              </w:rPr>
              <w:t>运营期</w:t>
            </w:r>
            <w:r>
              <w:rPr>
                <w:rFonts w:ascii="Times New Roman" w:hAnsi="Times New Roman" w:eastAsia="宋体" w:cs="Times New Roman"/>
                <w:color w:val="000000"/>
                <w:kern w:val="0"/>
                <w:sz w:val="24"/>
              </w:rPr>
              <w:t>内持之以恒加强环境管理的前提下，从环境保护角度，本项目环境影响可行。</w:t>
            </w:r>
          </w:p>
        </w:tc>
      </w:tr>
    </w:tbl>
    <w:p>
      <w:pPr>
        <w:rPr>
          <w:rFonts w:ascii="Times New Roman" w:hAnsi="Times New Roman" w:eastAsia="宋体" w:cs="Times New Roman"/>
          <w:color w:val="000000"/>
        </w:rPr>
        <w:sectPr>
          <w:pgSz w:w="11906" w:h="16838"/>
          <w:pgMar w:top="1701" w:right="1531" w:bottom="1701" w:left="1531" w:header="851" w:footer="851" w:gutter="0"/>
          <w:cols w:space="720" w:num="1"/>
          <w:docGrid w:linePitch="312" w:charSpace="0"/>
        </w:sectPr>
      </w:pPr>
    </w:p>
    <w:p>
      <w:pPr>
        <w:pStyle w:val="26"/>
        <w:adjustRightInd w:val="0"/>
        <w:snapToGrid w:val="0"/>
        <w:spacing w:before="0" w:beforeAutospacing="0" w:after="0" w:afterAutospacing="0"/>
        <w:outlineLvl w:val="0"/>
        <w:rPr>
          <w:rFonts w:ascii="Times New Roman" w:hAnsi="Times New Roman" w:eastAsia="宋体" w:cs="Times New Roman"/>
          <w:snapToGrid w:val="0"/>
          <w:color w:val="000000"/>
          <w:sz w:val="32"/>
          <w:szCs w:val="32"/>
        </w:rPr>
      </w:pPr>
      <w:bookmarkStart w:id="52" w:name="_Toc30152"/>
      <w:bookmarkStart w:id="53" w:name="_Toc23810"/>
      <w:bookmarkStart w:id="54" w:name="_Toc10033"/>
      <w:bookmarkStart w:id="55" w:name="_Toc10516"/>
      <w:bookmarkStart w:id="56" w:name="_Toc6670"/>
      <w:bookmarkStart w:id="57" w:name="_Toc17246"/>
      <w:r>
        <w:rPr>
          <w:rFonts w:ascii="Times New Roman" w:hAnsi="Times New Roman" w:eastAsia="宋体" w:cs="Times New Roman"/>
          <w:snapToGrid w:val="0"/>
          <w:color w:val="000000"/>
          <w:sz w:val="32"/>
          <w:szCs w:val="32"/>
        </w:rPr>
        <w:t>附表1</w:t>
      </w:r>
      <w:r>
        <w:rPr>
          <w:rFonts w:ascii="Times New Roman" w:hAnsi="Times New Roman" w:eastAsia="宋体" w:cs="Times New Roman"/>
          <w:b/>
          <w:bCs/>
          <w:color w:val="000000"/>
          <w:szCs w:val="24"/>
        </w:rPr>
        <w:t>建设项目污染物排放量汇总表</w:t>
      </w:r>
      <w:bookmarkEnd w:id="52"/>
      <w:bookmarkEnd w:id="53"/>
      <w:bookmarkEnd w:id="54"/>
      <w:bookmarkEnd w:id="55"/>
      <w:bookmarkEnd w:id="56"/>
      <w:bookmarkEnd w:id="57"/>
    </w:p>
    <w:p>
      <w:pPr>
        <w:spacing w:line="360" w:lineRule="auto"/>
        <w:jc w:val="center"/>
        <w:rPr>
          <w:rFonts w:ascii="Times New Roman" w:hAnsi="Times New Roman" w:eastAsia="宋体" w:cs="Times New Roman"/>
          <w:b/>
          <w:bCs/>
          <w:color w:val="000000"/>
          <w:sz w:val="24"/>
        </w:rPr>
      </w:pPr>
      <w:bookmarkStart w:id="58" w:name="_Toc19726"/>
      <w:bookmarkStart w:id="59" w:name="_Toc27088"/>
      <w:r>
        <w:rPr>
          <w:rFonts w:ascii="Times New Roman" w:hAnsi="Times New Roman" w:eastAsia="宋体" w:cs="Times New Roman"/>
          <w:b/>
          <w:bCs/>
          <w:color w:val="000000"/>
          <w:sz w:val="24"/>
        </w:rPr>
        <w:t>建设项目污染物排放量汇总表</w:t>
      </w:r>
      <w:bookmarkEnd w:id="58"/>
      <w:bookmarkEnd w:id="59"/>
    </w:p>
    <w:tbl>
      <w:tblPr>
        <w:tblStyle w:val="29"/>
        <w:tblW w:w="4997"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481"/>
        <w:gridCol w:w="1492"/>
        <w:gridCol w:w="1415"/>
        <w:gridCol w:w="1183"/>
        <w:gridCol w:w="1589"/>
        <w:gridCol w:w="1456"/>
        <w:gridCol w:w="1647"/>
        <w:gridCol w:w="1469"/>
        <w:gridCol w:w="155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60" w:type="pct"/>
            <w:tcBorders>
              <w:tl2br w:val="single" w:color="auto" w:sz="4" w:space="0"/>
            </w:tcBorders>
            <w:tcMar>
              <w:left w:w="28" w:type="dxa"/>
              <w:right w:w="28" w:type="dxa"/>
            </w:tcMar>
            <w:vAlign w:val="center"/>
          </w:tcPr>
          <w:p>
            <w:pPr>
              <w:pStyle w:val="46"/>
              <w:spacing w:beforeLines="0" w:afterLines="0" w:line="240" w:lineRule="auto"/>
              <w:jc w:val="right"/>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项目</w:t>
            </w:r>
          </w:p>
          <w:p>
            <w:pPr>
              <w:pStyle w:val="46"/>
              <w:spacing w:beforeLines="0" w:afterLines="0" w:line="240" w:lineRule="auto"/>
              <w:jc w:val="left"/>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分类</w:t>
            </w:r>
          </w:p>
        </w:tc>
        <w:tc>
          <w:tcPr>
            <w:tcW w:w="564" w:type="pct"/>
            <w:tcMar>
              <w:left w:w="28" w:type="dxa"/>
              <w:right w:w="28" w:type="dxa"/>
            </w:tcMar>
            <w:vAlign w:val="center"/>
          </w:tcPr>
          <w:p>
            <w:pPr>
              <w:pStyle w:val="46"/>
              <w:spacing w:beforeLines="0" w:afterLines="0" w:line="240" w:lineRule="auto"/>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污染物名称</w:t>
            </w:r>
          </w:p>
        </w:tc>
        <w:tc>
          <w:tcPr>
            <w:tcW w:w="535" w:type="pct"/>
            <w:tcMar>
              <w:left w:w="28" w:type="dxa"/>
              <w:right w:w="28" w:type="dxa"/>
            </w:tcMar>
            <w:vAlign w:val="center"/>
          </w:tcPr>
          <w:p>
            <w:pPr>
              <w:pStyle w:val="46"/>
              <w:spacing w:beforeLines="0" w:afterLines="0" w:line="240" w:lineRule="auto"/>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现有工程</w:t>
            </w:r>
          </w:p>
          <w:p>
            <w:pPr>
              <w:pStyle w:val="46"/>
              <w:spacing w:beforeLines="0" w:afterLines="0" w:line="240" w:lineRule="auto"/>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排放量（固体废物产生量）</w:t>
            </w:r>
            <w:r>
              <w:rPr>
                <w:rFonts w:ascii="Times New Roman" w:hAnsi="Times New Roman" w:eastAsia="宋体" w:cs="Times New Roman"/>
                <w:snapToGrid w:val="0"/>
                <w:color w:val="000000"/>
                <w:spacing w:val="-6"/>
                <w:kern w:val="21"/>
                <w:szCs w:val="21"/>
              </w:rPr>
              <w:fldChar w:fldCharType="begin"/>
            </w:r>
            <w:r>
              <w:rPr>
                <w:rFonts w:ascii="Times New Roman" w:hAnsi="Times New Roman" w:eastAsia="宋体" w:cs="Times New Roman"/>
                <w:snapToGrid w:val="0"/>
                <w:color w:val="000000"/>
                <w:spacing w:val="-6"/>
                <w:kern w:val="21"/>
                <w:szCs w:val="21"/>
              </w:rPr>
              <w:instrText xml:space="preserve">=1\*GB3\*MERGEFORMAT</w:instrText>
            </w:r>
            <w:r>
              <w:rPr>
                <w:rFonts w:ascii="Times New Roman" w:hAnsi="Times New Roman" w:eastAsia="宋体" w:cs="Times New Roman"/>
                <w:snapToGrid w:val="0"/>
                <w:color w:val="000000"/>
                <w:spacing w:val="-6"/>
                <w:kern w:val="21"/>
                <w:szCs w:val="21"/>
              </w:rPr>
              <w:fldChar w:fldCharType="separate"/>
            </w:r>
            <w:r>
              <w:rPr>
                <w:rFonts w:ascii="Times New Roman" w:hAnsi="Times New Roman" w:eastAsia="宋体" w:cs="Times New Roman"/>
                <w:color w:val="000000"/>
                <w:kern w:val="2"/>
                <w:szCs w:val="21"/>
              </w:rPr>
              <w:t>①</w:t>
            </w:r>
            <w:r>
              <w:rPr>
                <w:rFonts w:ascii="Times New Roman" w:hAnsi="Times New Roman" w:eastAsia="宋体" w:cs="Times New Roman"/>
                <w:snapToGrid w:val="0"/>
                <w:color w:val="000000"/>
                <w:spacing w:val="-6"/>
                <w:kern w:val="21"/>
                <w:szCs w:val="21"/>
              </w:rPr>
              <w:fldChar w:fldCharType="end"/>
            </w:r>
          </w:p>
        </w:tc>
        <w:tc>
          <w:tcPr>
            <w:tcW w:w="448" w:type="pct"/>
            <w:tcMar>
              <w:left w:w="28" w:type="dxa"/>
              <w:right w:w="28" w:type="dxa"/>
            </w:tcMar>
            <w:vAlign w:val="center"/>
          </w:tcPr>
          <w:p>
            <w:pPr>
              <w:pStyle w:val="46"/>
              <w:spacing w:beforeLines="0" w:afterLines="0" w:line="240" w:lineRule="auto"/>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现有工程</w:t>
            </w:r>
          </w:p>
          <w:p>
            <w:pPr>
              <w:pStyle w:val="46"/>
              <w:spacing w:beforeLines="0" w:afterLines="0" w:line="240" w:lineRule="auto"/>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许可排放量</w:t>
            </w:r>
          </w:p>
          <w:p>
            <w:pPr>
              <w:pStyle w:val="46"/>
              <w:spacing w:beforeLines="0" w:afterLines="0"/>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fldChar w:fldCharType="begin"/>
            </w:r>
            <w:r>
              <w:rPr>
                <w:rFonts w:ascii="Times New Roman" w:hAnsi="Times New Roman" w:eastAsia="宋体" w:cs="Times New Roman"/>
                <w:snapToGrid w:val="0"/>
                <w:color w:val="000000"/>
                <w:spacing w:val="-6"/>
                <w:kern w:val="21"/>
                <w:szCs w:val="21"/>
              </w:rPr>
              <w:instrText xml:space="preserve">=2\*GB3\*MERGEFORMAT</w:instrText>
            </w:r>
            <w:r>
              <w:rPr>
                <w:rFonts w:ascii="Times New Roman" w:hAnsi="Times New Roman" w:eastAsia="宋体" w:cs="Times New Roman"/>
                <w:snapToGrid w:val="0"/>
                <w:color w:val="000000"/>
                <w:spacing w:val="-6"/>
                <w:kern w:val="21"/>
                <w:szCs w:val="21"/>
              </w:rPr>
              <w:fldChar w:fldCharType="separate"/>
            </w:r>
            <w:r>
              <w:rPr>
                <w:rFonts w:ascii="Times New Roman" w:hAnsi="Times New Roman" w:eastAsia="宋体" w:cs="Times New Roman"/>
                <w:snapToGrid w:val="0"/>
                <w:color w:val="000000"/>
                <w:spacing w:val="-6"/>
                <w:kern w:val="21"/>
                <w:szCs w:val="21"/>
              </w:rPr>
              <w:t>②</w:t>
            </w:r>
            <w:r>
              <w:rPr>
                <w:rFonts w:ascii="Times New Roman" w:hAnsi="Times New Roman" w:eastAsia="宋体" w:cs="Times New Roman"/>
                <w:snapToGrid w:val="0"/>
                <w:color w:val="000000"/>
                <w:spacing w:val="-6"/>
                <w:kern w:val="21"/>
                <w:szCs w:val="21"/>
              </w:rPr>
              <w:fldChar w:fldCharType="end"/>
            </w:r>
          </w:p>
        </w:tc>
        <w:tc>
          <w:tcPr>
            <w:tcW w:w="600" w:type="pct"/>
            <w:tcMar>
              <w:left w:w="28" w:type="dxa"/>
              <w:right w:w="28" w:type="dxa"/>
            </w:tcMar>
            <w:vAlign w:val="center"/>
          </w:tcPr>
          <w:p>
            <w:pPr>
              <w:pStyle w:val="46"/>
              <w:spacing w:beforeLines="0" w:afterLines="0" w:line="240" w:lineRule="auto"/>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在建工程</w:t>
            </w:r>
          </w:p>
          <w:p>
            <w:pPr>
              <w:pStyle w:val="46"/>
              <w:spacing w:beforeLines="0" w:afterLines="0" w:line="240" w:lineRule="auto"/>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排放量（固体废物产生量）</w:t>
            </w:r>
            <w:r>
              <w:rPr>
                <w:rFonts w:ascii="Times New Roman" w:hAnsi="Times New Roman" w:eastAsia="宋体" w:cs="Times New Roman"/>
                <w:snapToGrid w:val="0"/>
                <w:color w:val="000000"/>
                <w:spacing w:val="-6"/>
                <w:kern w:val="21"/>
                <w:szCs w:val="21"/>
              </w:rPr>
              <w:fldChar w:fldCharType="begin"/>
            </w:r>
            <w:r>
              <w:rPr>
                <w:rFonts w:ascii="Times New Roman" w:hAnsi="Times New Roman" w:eastAsia="宋体" w:cs="Times New Roman"/>
                <w:snapToGrid w:val="0"/>
                <w:color w:val="000000"/>
                <w:spacing w:val="-6"/>
                <w:kern w:val="21"/>
                <w:szCs w:val="21"/>
              </w:rPr>
              <w:instrText xml:space="preserve">=3\*GB3\*MERGEFORMAT</w:instrText>
            </w:r>
            <w:r>
              <w:rPr>
                <w:rFonts w:ascii="Times New Roman" w:hAnsi="Times New Roman" w:eastAsia="宋体" w:cs="Times New Roman"/>
                <w:snapToGrid w:val="0"/>
                <w:color w:val="000000"/>
                <w:spacing w:val="-6"/>
                <w:kern w:val="21"/>
                <w:szCs w:val="21"/>
              </w:rPr>
              <w:fldChar w:fldCharType="separate"/>
            </w:r>
            <w:r>
              <w:rPr>
                <w:rFonts w:ascii="Times New Roman" w:hAnsi="Times New Roman" w:eastAsia="宋体" w:cs="Times New Roman"/>
                <w:color w:val="000000"/>
                <w:kern w:val="2"/>
                <w:szCs w:val="21"/>
              </w:rPr>
              <w:t>③</w:t>
            </w:r>
            <w:r>
              <w:rPr>
                <w:rFonts w:ascii="Times New Roman" w:hAnsi="Times New Roman" w:eastAsia="宋体" w:cs="Times New Roman"/>
                <w:snapToGrid w:val="0"/>
                <w:color w:val="000000"/>
                <w:spacing w:val="-6"/>
                <w:kern w:val="21"/>
                <w:szCs w:val="21"/>
              </w:rPr>
              <w:fldChar w:fldCharType="end"/>
            </w:r>
          </w:p>
        </w:tc>
        <w:tc>
          <w:tcPr>
            <w:tcW w:w="550" w:type="pct"/>
            <w:tcMar>
              <w:left w:w="28" w:type="dxa"/>
              <w:right w:w="28" w:type="dxa"/>
            </w:tcMar>
            <w:vAlign w:val="center"/>
          </w:tcPr>
          <w:p>
            <w:pPr>
              <w:pStyle w:val="46"/>
              <w:spacing w:beforeLines="0" w:afterLines="0" w:line="240" w:lineRule="auto"/>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本项目</w:t>
            </w:r>
          </w:p>
          <w:p>
            <w:pPr>
              <w:pStyle w:val="46"/>
              <w:spacing w:beforeLines="0" w:afterLines="0" w:line="240" w:lineRule="auto"/>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排放量（固体废物产生量）t/a</w:t>
            </w:r>
            <w:r>
              <w:rPr>
                <w:rFonts w:ascii="Times New Roman" w:hAnsi="Times New Roman" w:eastAsia="宋体" w:cs="Times New Roman"/>
                <w:snapToGrid w:val="0"/>
                <w:color w:val="000000"/>
                <w:spacing w:val="-6"/>
                <w:kern w:val="21"/>
                <w:szCs w:val="21"/>
              </w:rPr>
              <w:fldChar w:fldCharType="begin"/>
            </w:r>
            <w:r>
              <w:rPr>
                <w:rFonts w:ascii="Times New Roman" w:hAnsi="Times New Roman" w:eastAsia="宋体" w:cs="Times New Roman"/>
                <w:snapToGrid w:val="0"/>
                <w:color w:val="000000"/>
                <w:spacing w:val="-6"/>
                <w:kern w:val="21"/>
                <w:szCs w:val="21"/>
              </w:rPr>
              <w:instrText xml:space="preserve">=4\*GB3\*MERGEFORMAT</w:instrText>
            </w:r>
            <w:r>
              <w:rPr>
                <w:rFonts w:ascii="Times New Roman" w:hAnsi="Times New Roman" w:eastAsia="宋体" w:cs="Times New Roman"/>
                <w:snapToGrid w:val="0"/>
                <w:color w:val="000000"/>
                <w:spacing w:val="-6"/>
                <w:kern w:val="21"/>
                <w:szCs w:val="21"/>
              </w:rPr>
              <w:fldChar w:fldCharType="separate"/>
            </w:r>
            <w:r>
              <w:rPr>
                <w:rFonts w:ascii="Times New Roman" w:hAnsi="Times New Roman" w:eastAsia="宋体" w:cs="Times New Roman"/>
                <w:color w:val="000000"/>
                <w:kern w:val="2"/>
                <w:szCs w:val="21"/>
              </w:rPr>
              <w:t>④</w:t>
            </w:r>
            <w:r>
              <w:rPr>
                <w:rFonts w:ascii="Times New Roman" w:hAnsi="Times New Roman" w:eastAsia="宋体" w:cs="Times New Roman"/>
                <w:snapToGrid w:val="0"/>
                <w:color w:val="000000"/>
                <w:spacing w:val="-6"/>
                <w:kern w:val="21"/>
                <w:szCs w:val="21"/>
              </w:rPr>
              <w:fldChar w:fldCharType="end"/>
            </w:r>
          </w:p>
        </w:tc>
        <w:tc>
          <w:tcPr>
            <w:tcW w:w="622" w:type="pct"/>
            <w:tcMar>
              <w:left w:w="28" w:type="dxa"/>
              <w:right w:w="28" w:type="dxa"/>
            </w:tcMar>
            <w:vAlign w:val="center"/>
          </w:tcPr>
          <w:p>
            <w:pPr>
              <w:pStyle w:val="46"/>
              <w:spacing w:beforeLines="0" w:afterLines="0" w:line="240" w:lineRule="auto"/>
              <w:rPr>
                <w:rFonts w:ascii="Times New Roman" w:hAnsi="Times New Roman" w:eastAsia="宋体" w:cs="Times New Roman"/>
                <w:snapToGrid w:val="0"/>
                <w:color w:val="000000"/>
                <w:spacing w:val="-16"/>
                <w:kern w:val="21"/>
                <w:szCs w:val="21"/>
              </w:rPr>
            </w:pPr>
            <w:r>
              <w:rPr>
                <w:rFonts w:ascii="Times New Roman" w:hAnsi="Times New Roman" w:eastAsia="宋体" w:cs="Times New Roman"/>
                <w:snapToGrid w:val="0"/>
                <w:color w:val="000000"/>
                <w:spacing w:val="-16"/>
                <w:kern w:val="21"/>
                <w:szCs w:val="21"/>
              </w:rPr>
              <w:t>以新带老削减量</w:t>
            </w:r>
          </w:p>
          <w:p>
            <w:pPr>
              <w:pStyle w:val="46"/>
              <w:spacing w:beforeLines="0" w:afterLines="0" w:line="240" w:lineRule="auto"/>
              <w:rPr>
                <w:rFonts w:ascii="Times New Roman" w:hAnsi="Times New Roman" w:eastAsia="宋体" w:cs="Times New Roman"/>
                <w:snapToGrid w:val="0"/>
                <w:color w:val="000000"/>
                <w:spacing w:val="-16"/>
                <w:kern w:val="21"/>
                <w:szCs w:val="21"/>
              </w:rPr>
            </w:pPr>
            <w:r>
              <w:rPr>
                <w:rFonts w:ascii="Times New Roman" w:hAnsi="Times New Roman" w:eastAsia="宋体" w:cs="Times New Roman"/>
                <w:snapToGrid w:val="0"/>
                <w:color w:val="000000"/>
                <w:spacing w:val="-16"/>
                <w:kern w:val="21"/>
                <w:szCs w:val="21"/>
              </w:rPr>
              <w:t>（新建项目不填）</w:t>
            </w:r>
            <w:r>
              <w:rPr>
                <w:rFonts w:ascii="Times New Roman" w:hAnsi="Times New Roman" w:eastAsia="宋体" w:cs="Times New Roman"/>
                <w:snapToGrid w:val="0"/>
                <w:color w:val="000000"/>
                <w:spacing w:val="-16"/>
                <w:kern w:val="21"/>
                <w:szCs w:val="21"/>
              </w:rPr>
              <w:fldChar w:fldCharType="begin"/>
            </w:r>
            <w:r>
              <w:rPr>
                <w:rFonts w:ascii="Times New Roman" w:hAnsi="Times New Roman" w:eastAsia="宋体" w:cs="Times New Roman"/>
                <w:snapToGrid w:val="0"/>
                <w:color w:val="000000"/>
                <w:spacing w:val="-16"/>
                <w:kern w:val="21"/>
                <w:szCs w:val="21"/>
              </w:rPr>
              <w:instrText xml:space="preserve">=5\*GB3\*MERGEFORMAT</w:instrText>
            </w:r>
            <w:r>
              <w:rPr>
                <w:rFonts w:ascii="Times New Roman" w:hAnsi="Times New Roman" w:eastAsia="宋体" w:cs="Times New Roman"/>
                <w:snapToGrid w:val="0"/>
                <w:color w:val="000000"/>
                <w:spacing w:val="-16"/>
                <w:kern w:val="21"/>
                <w:szCs w:val="21"/>
              </w:rPr>
              <w:fldChar w:fldCharType="separate"/>
            </w:r>
            <w:r>
              <w:rPr>
                <w:rFonts w:ascii="Times New Roman" w:hAnsi="Times New Roman" w:eastAsia="宋体" w:cs="Times New Roman"/>
                <w:color w:val="000000"/>
                <w:kern w:val="2"/>
                <w:szCs w:val="21"/>
              </w:rPr>
              <w:t>⑤</w:t>
            </w:r>
            <w:r>
              <w:rPr>
                <w:rFonts w:ascii="Times New Roman" w:hAnsi="Times New Roman" w:eastAsia="宋体" w:cs="Times New Roman"/>
                <w:snapToGrid w:val="0"/>
                <w:color w:val="000000"/>
                <w:spacing w:val="-16"/>
                <w:kern w:val="21"/>
                <w:szCs w:val="21"/>
              </w:rPr>
              <w:fldChar w:fldCharType="end"/>
            </w:r>
          </w:p>
        </w:tc>
        <w:tc>
          <w:tcPr>
            <w:tcW w:w="555" w:type="pct"/>
            <w:tcMar>
              <w:left w:w="28" w:type="dxa"/>
              <w:right w:w="28" w:type="dxa"/>
            </w:tcMar>
            <w:vAlign w:val="center"/>
          </w:tcPr>
          <w:p>
            <w:pPr>
              <w:pStyle w:val="46"/>
              <w:spacing w:beforeLines="0" w:afterLines="0" w:line="240" w:lineRule="auto"/>
              <w:rPr>
                <w:rFonts w:ascii="Times New Roman" w:hAnsi="Times New Roman" w:eastAsia="宋体" w:cs="Times New Roman"/>
                <w:snapToGrid w:val="0"/>
                <w:color w:val="000000"/>
                <w:spacing w:val="-16"/>
                <w:kern w:val="21"/>
                <w:szCs w:val="21"/>
              </w:rPr>
            </w:pPr>
            <w:r>
              <w:rPr>
                <w:rFonts w:ascii="Times New Roman" w:hAnsi="Times New Roman" w:eastAsia="宋体" w:cs="Times New Roman"/>
                <w:snapToGrid w:val="0"/>
                <w:color w:val="000000"/>
                <w:spacing w:val="-16"/>
                <w:kern w:val="21"/>
                <w:szCs w:val="21"/>
              </w:rPr>
              <w:t>本项目建成后</w:t>
            </w:r>
          </w:p>
          <w:p>
            <w:pPr>
              <w:pStyle w:val="46"/>
              <w:spacing w:beforeLines="0" w:afterLines="0" w:line="240" w:lineRule="auto"/>
              <w:rPr>
                <w:rFonts w:ascii="Times New Roman" w:hAnsi="Times New Roman" w:eastAsia="宋体" w:cs="Times New Roman"/>
                <w:snapToGrid w:val="0"/>
                <w:color w:val="000000"/>
                <w:spacing w:val="-16"/>
                <w:kern w:val="21"/>
                <w:szCs w:val="21"/>
              </w:rPr>
            </w:pPr>
            <w:r>
              <w:rPr>
                <w:rFonts w:ascii="Times New Roman" w:hAnsi="Times New Roman" w:eastAsia="宋体" w:cs="Times New Roman"/>
                <w:snapToGrid w:val="0"/>
                <w:color w:val="000000"/>
                <w:spacing w:val="-16"/>
                <w:kern w:val="21"/>
                <w:szCs w:val="21"/>
              </w:rPr>
              <w:t>全厂排放量（固体废物产生量）</w:t>
            </w:r>
            <w:r>
              <w:rPr>
                <w:rFonts w:ascii="Times New Roman" w:hAnsi="Times New Roman" w:eastAsia="宋体" w:cs="Times New Roman"/>
                <w:snapToGrid w:val="0"/>
                <w:color w:val="000000"/>
                <w:spacing w:val="-6"/>
                <w:kern w:val="21"/>
                <w:szCs w:val="21"/>
              </w:rPr>
              <w:t>t/a</w:t>
            </w:r>
            <w:r>
              <w:rPr>
                <w:rFonts w:ascii="Times New Roman" w:hAnsi="Times New Roman" w:eastAsia="宋体" w:cs="Times New Roman"/>
                <w:snapToGrid w:val="0"/>
                <w:color w:val="000000"/>
                <w:spacing w:val="-16"/>
                <w:kern w:val="21"/>
                <w:szCs w:val="21"/>
              </w:rPr>
              <w:fldChar w:fldCharType="begin"/>
            </w:r>
            <w:r>
              <w:rPr>
                <w:rFonts w:ascii="Times New Roman" w:hAnsi="Times New Roman" w:eastAsia="宋体" w:cs="Times New Roman"/>
                <w:snapToGrid w:val="0"/>
                <w:color w:val="000000"/>
                <w:spacing w:val="-16"/>
                <w:kern w:val="21"/>
                <w:szCs w:val="21"/>
              </w:rPr>
              <w:instrText xml:space="preserve">=6\*GB3\*MERGEFORMAT</w:instrText>
            </w:r>
            <w:r>
              <w:rPr>
                <w:rFonts w:ascii="Times New Roman" w:hAnsi="Times New Roman" w:eastAsia="宋体" w:cs="Times New Roman"/>
                <w:snapToGrid w:val="0"/>
                <w:color w:val="000000"/>
                <w:spacing w:val="-16"/>
                <w:kern w:val="21"/>
                <w:szCs w:val="21"/>
              </w:rPr>
              <w:fldChar w:fldCharType="separate"/>
            </w:r>
            <w:r>
              <w:rPr>
                <w:rFonts w:ascii="Times New Roman" w:hAnsi="Times New Roman" w:eastAsia="宋体" w:cs="Times New Roman"/>
                <w:color w:val="000000"/>
                <w:kern w:val="2"/>
                <w:szCs w:val="21"/>
              </w:rPr>
              <w:t>⑥</w:t>
            </w:r>
            <w:r>
              <w:rPr>
                <w:rFonts w:ascii="Times New Roman" w:hAnsi="Times New Roman" w:eastAsia="宋体" w:cs="Times New Roman"/>
                <w:snapToGrid w:val="0"/>
                <w:color w:val="000000"/>
                <w:spacing w:val="-16"/>
                <w:kern w:val="21"/>
                <w:szCs w:val="21"/>
              </w:rPr>
              <w:fldChar w:fldCharType="end"/>
            </w:r>
          </w:p>
        </w:tc>
        <w:tc>
          <w:tcPr>
            <w:tcW w:w="562" w:type="pct"/>
            <w:tcMar>
              <w:left w:w="28" w:type="dxa"/>
              <w:right w:w="28" w:type="dxa"/>
            </w:tcMar>
            <w:vAlign w:val="center"/>
          </w:tcPr>
          <w:p>
            <w:pPr>
              <w:pStyle w:val="46"/>
              <w:spacing w:beforeLines="0" w:afterLines="0" w:line="240" w:lineRule="auto"/>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变化量</w:t>
            </w:r>
          </w:p>
          <w:p>
            <w:pPr>
              <w:pStyle w:val="46"/>
              <w:spacing w:beforeLines="0" w:afterLines="0" w:line="240" w:lineRule="auto"/>
              <w:rPr>
                <w:rFonts w:ascii="Times New Roman" w:hAnsi="Times New Roman" w:eastAsia="宋体" w:cs="Times New Roman"/>
                <w:snapToGrid w:val="0"/>
                <w:color w:val="000000"/>
                <w:spacing w:val="-6"/>
                <w:kern w:val="21"/>
                <w:szCs w:val="21"/>
              </w:rPr>
            </w:pPr>
            <w:r>
              <w:rPr>
                <w:rFonts w:ascii="Times New Roman" w:hAnsi="Times New Roman" w:eastAsia="宋体" w:cs="Times New Roman"/>
                <w:snapToGrid w:val="0"/>
                <w:color w:val="000000"/>
                <w:spacing w:val="-6"/>
                <w:kern w:val="21"/>
                <w:szCs w:val="21"/>
              </w:rPr>
              <w:t>t/a</w:t>
            </w:r>
            <w:r>
              <w:rPr>
                <w:rFonts w:ascii="Times New Roman" w:hAnsi="Times New Roman" w:eastAsia="宋体" w:cs="Times New Roman"/>
                <w:snapToGrid w:val="0"/>
                <w:color w:val="000000"/>
                <w:spacing w:val="-6"/>
                <w:kern w:val="21"/>
                <w:szCs w:val="21"/>
              </w:rPr>
              <w:fldChar w:fldCharType="begin"/>
            </w:r>
            <w:r>
              <w:rPr>
                <w:rFonts w:ascii="Times New Roman" w:hAnsi="Times New Roman" w:eastAsia="宋体" w:cs="Times New Roman"/>
                <w:snapToGrid w:val="0"/>
                <w:color w:val="000000"/>
                <w:spacing w:val="-6"/>
                <w:kern w:val="21"/>
                <w:szCs w:val="21"/>
              </w:rPr>
              <w:instrText xml:space="preserve">=7\*GB3\*MERGEFORMAT</w:instrText>
            </w:r>
            <w:r>
              <w:rPr>
                <w:rFonts w:ascii="Times New Roman" w:hAnsi="Times New Roman" w:eastAsia="宋体" w:cs="Times New Roman"/>
                <w:snapToGrid w:val="0"/>
                <w:color w:val="000000"/>
                <w:spacing w:val="-6"/>
                <w:kern w:val="21"/>
                <w:szCs w:val="21"/>
              </w:rPr>
              <w:fldChar w:fldCharType="separate"/>
            </w:r>
            <w:r>
              <w:rPr>
                <w:rFonts w:ascii="Times New Roman" w:hAnsi="Times New Roman" w:eastAsia="宋体" w:cs="Times New Roman"/>
                <w:color w:val="000000"/>
                <w:kern w:val="2"/>
                <w:szCs w:val="21"/>
              </w:rPr>
              <w:t>⑦</w:t>
            </w:r>
            <w:r>
              <w:rPr>
                <w:rFonts w:ascii="Times New Roman" w:hAnsi="Times New Roman" w:eastAsia="宋体" w:cs="Times New Roman"/>
                <w:snapToGrid w:val="0"/>
                <w:color w:val="000000"/>
                <w:spacing w:val="-6"/>
                <w:kern w:val="21"/>
                <w:szCs w:val="21"/>
              </w:rPr>
              <w:fldChar w:fldCharType="end"/>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60" w:type="pct"/>
            <w:vMerge w:val="restart"/>
            <w:vAlign w:val="center"/>
          </w:tcPr>
          <w:p>
            <w:pPr>
              <w:pStyle w:val="46"/>
              <w:spacing w:beforeLines="0" w:afterLines="0" w:line="240" w:lineRule="auto"/>
              <w:rPr>
                <w:rFonts w:ascii="Times New Roman" w:hAnsi="Times New Roman" w:eastAsia="宋体" w:cs="Times New Roman"/>
                <w:snapToGrid w:val="0"/>
                <w:color w:val="000000"/>
                <w:kern w:val="21"/>
                <w:szCs w:val="21"/>
              </w:rPr>
            </w:pPr>
            <w:r>
              <w:rPr>
                <w:rFonts w:ascii="Times New Roman" w:hAnsi="Times New Roman" w:eastAsia="宋体" w:cs="Times New Roman"/>
                <w:snapToGrid w:val="0"/>
                <w:color w:val="000000"/>
                <w:kern w:val="21"/>
                <w:szCs w:val="21"/>
              </w:rPr>
              <w:t>废气</w:t>
            </w:r>
          </w:p>
        </w:tc>
        <w:tc>
          <w:tcPr>
            <w:tcW w:w="564" w:type="pct"/>
            <w:vAlign w:val="center"/>
          </w:tcPr>
          <w:p>
            <w:pPr>
              <w:pStyle w:val="46"/>
              <w:spacing w:beforeLines="0" w:afterLines="0" w:line="240" w:lineRule="auto"/>
              <w:rPr>
                <w:rFonts w:ascii="Times New Roman" w:hAnsi="Times New Roman" w:eastAsia="宋体" w:cs="Times New Roman"/>
                <w:snapToGrid w:val="0"/>
                <w:color w:val="000000"/>
                <w:kern w:val="21"/>
                <w:szCs w:val="21"/>
              </w:rPr>
            </w:pPr>
            <w:r>
              <w:rPr>
                <w:rFonts w:ascii="Times New Roman" w:hAnsi="Times New Roman" w:eastAsia="宋体" w:cs="Times New Roman"/>
                <w:color w:val="000000"/>
                <w:szCs w:val="21"/>
              </w:rPr>
              <w:t>NH</w:t>
            </w:r>
            <w:r>
              <w:rPr>
                <w:rFonts w:ascii="Times New Roman" w:hAnsi="Times New Roman" w:eastAsia="宋体" w:cs="Times New Roman"/>
                <w:color w:val="000000"/>
                <w:szCs w:val="21"/>
                <w:vertAlign w:val="subscript"/>
              </w:rPr>
              <w:t>3</w:t>
            </w:r>
          </w:p>
        </w:tc>
        <w:tc>
          <w:tcPr>
            <w:tcW w:w="535"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448"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600"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0" w:type="pct"/>
            <w:vAlign w:val="center"/>
          </w:tcPr>
          <w:p>
            <w:pPr>
              <w:widowControl/>
              <w:jc w:val="center"/>
              <w:textAlignment w:val="center"/>
              <w:rPr>
                <w:rFonts w:hint="default"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0.00284</w:t>
            </w:r>
          </w:p>
        </w:tc>
        <w:tc>
          <w:tcPr>
            <w:tcW w:w="622"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5"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val="en-US" w:eastAsia="zh-CN" w:bidi="ar"/>
              </w:rPr>
              <w:t>0.00284</w:t>
            </w:r>
          </w:p>
        </w:tc>
        <w:tc>
          <w:tcPr>
            <w:tcW w:w="562"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val="en-US" w:eastAsia="zh-CN" w:bidi="ar"/>
              </w:rPr>
              <w:t>+0.00284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46"/>
              <w:spacing w:beforeLines="0" w:afterLines="0" w:line="240" w:lineRule="auto"/>
              <w:rPr>
                <w:rFonts w:hint="eastAsia" w:ascii="Times New Roman" w:hAnsi="Times New Roman" w:eastAsia="宋体" w:cs="Times New Roman"/>
                <w:snapToGrid w:val="0"/>
                <w:color w:val="000000"/>
                <w:kern w:val="21"/>
                <w:szCs w:val="21"/>
              </w:rPr>
            </w:pPr>
            <w:r>
              <w:rPr>
                <w:rFonts w:ascii="Times New Roman" w:hAnsi="Times New Roman" w:eastAsia="宋体" w:cs="Times New Roman"/>
                <w:color w:val="000000"/>
                <w:szCs w:val="21"/>
              </w:rPr>
              <w:t>H</w:t>
            </w:r>
            <w:r>
              <w:rPr>
                <w:rFonts w:ascii="Times New Roman" w:hAnsi="Times New Roman" w:eastAsia="宋体" w:cs="Times New Roman"/>
                <w:color w:val="000000"/>
                <w:szCs w:val="21"/>
                <w:vertAlign w:val="subscript"/>
              </w:rPr>
              <w:t>2</w:t>
            </w:r>
            <w:r>
              <w:rPr>
                <w:rFonts w:ascii="Times New Roman" w:hAnsi="Times New Roman" w:eastAsia="宋体" w:cs="Times New Roman"/>
                <w:color w:val="000000"/>
                <w:szCs w:val="21"/>
              </w:rPr>
              <w:t>S</w:t>
            </w:r>
          </w:p>
        </w:tc>
        <w:tc>
          <w:tcPr>
            <w:tcW w:w="535" w:type="pct"/>
            <w:vAlign w:val="center"/>
          </w:tcPr>
          <w:p>
            <w:pPr>
              <w:widowControl/>
              <w:jc w:val="center"/>
              <w:textAlignment w:val="center"/>
              <w:rPr>
                <w:rFonts w:hint="default"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448" w:type="pct"/>
            <w:vAlign w:val="center"/>
          </w:tcPr>
          <w:p>
            <w:pPr>
              <w:widowControl/>
              <w:jc w:val="center"/>
              <w:textAlignment w:val="center"/>
              <w:rPr>
                <w:rFonts w:hint="default"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600" w:type="pct"/>
            <w:vAlign w:val="center"/>
          </w:tcPr>
          <w:p>
            <w:pPr>
              <w:widowControl/>
              <w:jc w:val="center"/>
              <w:textAlignment w:val="center"/>
              <w:rPr>
                <w:rFonts w:hint="default"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0" w:type="pct"/>
            <w:vAlign w:val="center"/>
          </w:tcPr>
          <w:p>
            <w:pPr>
              <w:widowControl/>
              <w:jc w:val="center"/>
              <w:textAlignment w:val="center"/>
              <w:rPr>
                <w:rFonts w:hint="default"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0.0011</w:t>
            </w:r>
          </w:p>
        </w:tc>
        <w:tc>
          <w:tcPr>
            <w:tcW w:w="622" w:type="pct"/>
            <w:vAlign w:val="center"/>
          </w:tcPr>
          <w:p>
            <w:pPr>
              <w:widowControl/>
              <w:jc w:val="center"/>
              <w:textAlignment w:val="center"/>
              <w:rPr>
                <w:rFonts w:hint="default"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5"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0.0011</w:t>
            </w:r>
          </w:p>
        </w:tc>
        <w:tc>
          <w:tcPr>
            <w:tcW w:w="562"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+0.0011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46"/>
              <w:spacing w:beforeLines="0" w:afterLines="0" w:line="240" w:lineRule="auto"/>
              <w:rPr>
                <w:rFonts w:ascii="Times New Roman" w:hAnsi="Times New Roman" w:eastAsia="宋体" w:cs="Times New Roman"/>
                <w:snapToGrid w:val="0"/>
                <w:color w:val="000000"/>
                <w:kern w:val="21"/>
                <w:sz w:val="21"/>
                <w:szCs w:val="21"/>
                <w:lang w:val="en-US" w:eastAsia="zh-CN" w:bidi="ar-SA"/>
              </w:rPr>
            </w:pPr>
            <w:r>
              <w:rPr>
                <w:rFonts w:ascii="Times New Roman" w:hAnsi="Times New Roman" w:eastAsia="宋体" w:cs="Times New Roman"/>
                <w:snapToGrid w:val="0"/>
                <w:color w:val="000000"/>
                <w:kern w:val="21"/>
                <w:szCs w:val="21"/>
              </w:rPr>
              <w:t>油烟</w:t>
            </w:r>
          </w:p>
        </w:tc>
        <w:tc>
          <w:tcPr>
            <w:tcW w:w="535"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ascii="Times New Roman" w:hAnsi="Times New Roman" w:eastAsia="宋体" w:cs="Times New Roman"/>
                <w:color w:val="000000"/>
                <w:kern w:val="0"/>
                <w:szCs w:val="21"/>
                <w:lang w:bidi="ar"/>
              </w:rPr>
              <w:t>/</w:t>
            </w:r>
          </w:p>
        </w:tc>
        <w:tc>
          <w:tcPr>
            <w:tcW w:w="448"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ascii="Times New Roman" w:hAnsi="Times New Roman" w:eastAsia="宋体" w:cs="Times New Roman"/>
                <w:color w:val="000000"/>
                <w:kern w:val="0"/>
                <w:szCs w:val="21"/>
                <w:lang w:bidi="ar"/>
              </w:rPr>
              <w:t>/</w:t>
            </w:r>
          </w:p>
        </w:tc>
        <w:tc>
          <w:tcPr>
            <w:tcW w:w="600"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ascii="Times New Roman" w:hAnsi="Times New Roman" w:eastAsia="宋体" w:cs="Times New Roman"/>
                <w:color w:val="000000"/>
                <w:kern w:val="0"/>
                <w:szCs w:val="21"/>
                <w:lang w:bidi="ar"/>
              </w:rPr>
              <w:t>/</w:t>
            </w:r>
          </w:p>
        </w:tc>
        <w:tc>
          <w:tcPr>
            <w:tcW w:w="550"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ascii="Times New Roman" w:hAnsi="Times New Roman" w:eastAsia="宋体" w:cs="Times New Roman"/>
                <w:color w:val="000000"/>
                <w:kern w:val="0"/>
                <w:szCs w:val="21"/>
                <w:lang w:bidi="ar"/>
              </w:rPr>
              <w:t>0.006</w:t>
            </w:r>
          </w:p>
        </w:tc>
        <w:tc>
          <w:tcPr>
            <w:tcW w:w="622"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ascii="Times New Roman" w:hAnsi="Times New Roman" w:eastAsia="宋体" w:cs="Times New Roman"/>
                <w:color w:val="000000"/>
                <w:kern w:val="0"/>
                <w:szCs w:val="21"/>
                <w:lang w:bidi="ar"/>
              </w:rPr>
              <w:t>/</w:t>
            </w:r>
          </w:p>
        </w:tc>
        <w:tc>
          <w:tcPr>
            <w:tcW w:w="555"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ascii="Times New Roman" w:hAnsi="Times New Roman" w:eastAsia="宋体" w:cs="Times New Roman"/>
                <w:color w:val="000000"/>
                <w:kern w:val="0"/>
                <w:szCs w:val="21"/>
                <w:lang w:bidi="ar"/>
              </w:rPr>
              <w:t>0.006</w:t>
            </w:r>
          </w:p>
        </w:tc>
        <w:tc>
          <w:tcPr>
            <w:tcW w:w="562"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ascii="Times New Roman" w:hAnsi="Times New Roman" w:eastAsia="宋体" w:cs="Times New Roman"/>
                <w:color w:val="000000"/>
                <w:kern w:val="0"/>
                <w:szCs w:val="21"/>
                <w:lang w:bidi="ar"/>
              </w:rPr>
              <w:t>+0.006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46"/>
              <w:spacing w:beforeLines="0" w:afterLines="0" w:line="240" w:lineRule="auto"/>
              <w:rPr>
                <w:rFonts w:ascii="Times New Roman" w:hAnsi="Times New Roman" w:eastAsia="宋体" w:cs="Times New Roman"/>
                <w:snapToGrid w:val="0"/>
                <w:color w:val="000000"/>
                <w:kern w:val="21"/>
                <w:szCs w:val="21"/>
              </w:rPr>
            </w:pPr>
            <w:r>
              <w:rPr>
                <w:rFonts w:ascii="Times New Roman" w:hAnsi="Times New Roman" w:eastAsia="宋体" w:cs="Times New Roman"/>
                <w:color w:val="000000"/>
                <w:szCs w:val="21"/>
              </w:rPr>
              <w:t>SO</w:t>
            </w:r>
            <w:r>
              <w:rPr>
                <w:rFonts w:ascii="Times New Roman" w:hAnsi="Times New Roman" w:eastAsia="宋体" w:cs="Times New Roman"/>
                <w:color w:val="000000"/>
                <w:szCs w:val="21"/>
                <w:vertAlign w:val="subscript"/>
              </w:rPr>
              <w:t>2</w:t>
            </w:r>
          </w:p>
        </w:tc>
        <w:tc>
          <w:tcPr>
            <w:tcW w:w="535"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448"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600"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0.000010</w:t>
            </w:r>
          </w:p>
        </w:tc>
        <w:tc>
          <w:tcPr>
            <w:tcW w:w="622"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5"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ascii="Times New Roman" w:hAnsi="Times New Roman" w:eastAsia="宋体" w:cs="Times New Roman"/>
                <w:color w:val="000000"/>
                <w:kern w:val="0"/>
                <w:szCs w:val="21"/>
                <w:lang w:bidi="ar"/>
              </w:rPr>
              <w:t>0.000010</w:t>
            </w:r>
          </w:p>
        </w:tc>
        <w:tc>
          <w:tcPr>
            <w:tcW w:w="562"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val="en-US" w:eastAsia="zh-CN" w:bidi="ar"/>
              </w:rPr>
              <w:t>+</w:t>
            </w:r>
            <w:r>
              <w:rPr>
                <w:rFonts w:ascii="Times New Roman" w:hAnsi="Times New Roman" w:eastAsia="宋体" w:cs="Times New Roman"/>
                <w:color w:val="000000"/>
                <w:kern w:val="0"/>
                <w:szCs w:val="21"/>
                <w:lang w:bidi="ar"/>
              </w:rPr>
              <w:t>0.000010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46"/>
              <w:spacing w:beforeLines="0" w:afterLines="0" w:line="240" w:lineRule="auto"/>
              <w:rPr>
                <w:rFonts w:ascii="Times New Roman" w:hAnsi="Times New Roman" w:eastAsia="宋体" w:cs="Times New Roman"/>
                <w:color w:val="000000"/>
                <w:szCs w:val="21"/>
              </w:rPr>
            </w:pPr>
            <w:r>
              <w:rPr>
                <w:rFonts w:ascii="Times New Roman" w:hAnsi="Times New Roman" w:eastAsia="宋体" w:cs="Times New Roman"/>
                <w:color w:val="000000"/>
                <w:szCs w:val="21"/>
              </w:rPr>
              <w:t>NO</w:t>
            </w:r>
            <w:r>
              <w:rPr>
                <w:rFonts w:ascii="Times New Roman" w:hAnsi="Times New Roman" w:eastAsia="宋体" w:cs="Times New Roman"/>
                <w:color w:val="000000"/>
                <w:szCs w:val="21"/>
                <w:vertAlign w:val="subscript"/>
              </w:rPr>
              <w:t>X</w:t>
            </w:r>
          </w:p>
        </w:tc>
        <w:tc>
          <w:tcPr>
            <w:tcW w:w="535"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448"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600"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0.000942</w:t>
            </w:r>
          </w:p>
        </w:tc>
        <w:tc>
          <w:tcPr>
            <w:tcW w:w="622"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5"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ascii="Times New Roman" w:hAnsi="Times New Roman" w:eastAsia="宋体" w:cs="Times New Roman"/>
                <w:color w:val="000000"/>
                <w:kern w:val="0"/>
                <w:szCs w:val="21"/>
                <w:lang w:bidi="ar"/>
              </w:rPr>
              <w:t>0.000942</w:t>
            </w:r>
          </w:p>
        </w:tc>
        <w:tc>
          <w:tcPr>
            <w:tcW w:w="562"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val="en-US" w:eastAsia="zh-CN" w:bidi="ar"/>
              </w:rPr>
              <w:t>+</w:t>
            </w:r>
            <w:r>
              <w:rPr>
                <w:rFonts w:ascii="Times New Roman" w:hAnsi="Times New Roman" w:eastAsia="宋体" w:cs="Times New Roman"/>
                <w:color w:val="000000"/>
                <w:kern w:val="0"/>
                <w:szCs w:val="21"/>
                <w:lang w:bidi="ar"/>
              </w:rPr>
              <w:t>0.000942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46"/>
              <w:spacing w:beforeLines="0" w:afterLines="0" w:line="240" w:lineRule="auto"/>
              <w:rPr>
                <w:rFonts w:ascii="Times New Roman" w:hAnsi="Times New Roman" w:eastAsia="宋体" w:cs="Times New Roman"/>
                <w:color w:val="000000"/>
                <w:szCs w:val="21"/>
              </w:rPr>
            </w:pPr>
            <w:r>
              <w:rPr>
                <w:rFonts w:ascii="Times New Roman" w:hAnsi="Times New Roman" w:eastAsia="宋体" w:cs="Times New Roman"/>
                <w:color w:val="000000"/>
                <w:szCs w:val="21"/>
              </w:rPr>
              <w:t>颗粒物</w:t>
            </w:r>
          </w:p>
        </w:tc>
        <w:tc>
          <w:tcPr>
            <w:tcW w:w="535"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448"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600"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0.000045</w:t>
            </w:r>
          </w:p>
        </w:tc>
        <w:tc>
          <w:tcPr>
            <w:tcW w:w="622"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5"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ascii="Times New Roman" w:hAnsi="Times New Roman" w:eastAsia="宋体" w:cs="Times New Roman"/>
                <w:color w:val="000000"/>
                <w:kern w:val="0"/>
                <w:szCs w:val="21"/>
                <w:lang w:bidi="ar"/>
              </w:rPr>
              <w:t>0.000045</w:t>
            </w:r>
          </w:p>
        </w:tc>
        <w:tc>
          <w:tcPr>
            <w:tcW w:w="562"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val="en-US" w:eastAsia="zh-CN" w:bidi="ar"/>
              </w:rPr>
              <w:t>+</w:t>
            </w:r>
            <w:r>
              <w:rPr>
                <w:rFonts w:ascii="Times New Roman" w:hAnsi="Times New Roman" w:eastAsia="宋体" w:cs="Times New Roman"/>
                <w:color w:val="000000"/>
                <w:kern w:val="0"/>
                <w:szCs w:val="21"/>
                <w:lang w:bidi="ar"/>
              </w:rPr>
              <w:t>0.000045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60" w:type="pct"/>
            <w:vMerge w:val="restart"/>
            <w:vAlign w:val="center"/>
          </w:tcPr>
          <w:p>
            <w:pPr>
              <w:pStyle w:val="46"/>
              <w:spacing w:beforeLines="0" w:afterLines="0" w:line="240" w:lineRule="auto"/>
              <w:rPr>
                <w:rFonts w:ascii="Times New Roman" w:hAnsi="Times New Roman" w:eastAsia="宋体" w:cs="Times New Roman"/>
                <w:snapToGrid w:val="0"/>
                <w:color w:val="000000"/>
                <w:kern w:val="21"/>
                <w:szCs w:val="21"/>
              </w:rPr>
            </w:pPr>
            <w:r>
              <w:rPr>
                <w:rFonts w:ascii="Times New Roman" w:hAnsi="Times New Roman" w:eastAsia="宋体" w:cs="Times New Roman"/>
                <w:snapToGrid w:val="0"/>
                <w:color w:val="000000"/>
                <w:kern w:val="21"/>
                <w:szCs w:val="21"/>
              </w:rPr>
              <w:t>废水</w:t>
            </w:r>
          </w:p>
        </w:tc>
        <w:tc>
          <w:tcPr>
            <w:tcW w:w="564" w:type="pct"/>
            <w:vAlign w:val="center"/>
          </w:tcPr>
          <w:p>
            <w:pPr>
              <w:pStyle w:val="46"/>
              <w:spacing w:beforeLines="0" w:afterLines="0" w:line="240" w:lineRule="auto"/>
              <w:rPr>
                <w:rFonts w:ascii="Times New Roman" w:hAnsi="Times New Roman" w:eastAsia="宋体" w:cs="Times New Roman"/>
                <w:color w:val="000000"/>
                <w:szCs w:val="21"/>
                <w:lang w:bidi="ar"/>
              </w:rPr>
            </w:pPr>
            <w:r>
              <w:rPr>
                <w:rFonts w:ascii="Times New Roman" w:hAnsi="Times New Roman" w:eastAsia="宋体" w:cs="Times New Roman"/>
                <w:snapToGrid w:val="0"/>
                <w:color w:val="000000"/>
                <w:kern w:val="21"/>
                <w:szCs w:val="21"/>
              </w:rPr>
              <w:t>COD</w:t>
            </w:r>
            <w:r>
              <w:rPr>
                <w:rFonts w:ascii="Times New Roman" w:hAnsi="Times New Roman" w:eastAsia="宋体" w:cs="Times New Roman"/>
                <w:snapToGrid w:val="0"/>
                <w:color w:val="000000"/>
                <w:kern w:val="21"/>
                <w:szCs w:val="21"/>
                <w:vertAlign w:val="subscript"/>
              </w:rPr>
              <w:t>cr</w:t>
            </w:r>
          </w:p>
        </w:tc>
        <w:tc>
          <w:tcPr>
            <w:tcW w:w="53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448"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60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0.426</w:t>
            </w:r>
          </w:p>
        </w:tc>
        <w:tc>
          <w:tcPr>
            <w:tcW w:w="62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5"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bidi="ar"/>
              </w:rPr>
              <w:t>0.426</w:t>
            </w:r>
          </w:p>
        </w:tc>
        <w:tc>
          <w:tcPr>
            <w:tcW w:w="562"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val="en-US" w:eastAsia="zh-CN" w:bidi="ar"/>
              </w:rPr>
              <w:t>+</w:t>
            </w:r>
            <w:r>
              <w:rPr>
                <w:rFonts w:hint="eastAsia" w:ascii="Times New Roman" w:hAnsi="Times New Roman" w:eastAsia="宋体" w:cs="Times New Roman"/>
                <w:color w:val="000000"/>
                <w:kern w:val="0"/>
                <w:szCs w:val="21"/>
                <w:lang w:bidi="ar"/>
              </w:rPr>
              <w:t>0.426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46"/>
              <w:spacing w:beforeLines="0" w:afterLines="0" w:line="240" w:lineRule="auto"/>
              <w:rPr>
                <w:rFonts w:ascii="Times New Roman" w:hAnsi="Times New Roman" w:eastAsia="宋体" w:cs="Times New Roman"/>
                <w:snapToGrid w:val="0"/>
                <w:color w:val="000000"/>
                <w:kern w:val="21"/>
                <w:szCs w:val="21"/>
              </w:rPr>
            </w:pPr>
            <w:r>
              <w:rPr>
                <w:rFonts w:ascii="Times New Roman" w:hAnsi="Times New Roman" w:eastAsia="宋体" w:cs="Times New Roman"/>
                <w:snapToGrid w:val="0"/>
                <w:color w:val="000000"/>
                <w:kern w:val="21"/>
                <w:szCs w:val="21"/>
              </w:rPr>
              <w:t>BOD</w:t>
            </w:r>
            <w:r>
              <w:rPr>
                <w:rFonts w:ascii="Times New Roman" w:hAnsi="Times New Roman" w:eastAsia="宋体" w:cs="Times New Roman"/>
                <w:snapToGrid w:val="0"/>
                <w:color w:val="000000"/>
                <w:kern w:val="21"/>
                <w:szCs w:val="21"/>
                <w:vertAlign w:val="subscript"/>
              </w:rPr>
              <w:t>5</w:t>
            </w:r>
          </w:p>
        </w:tc>
        <w:tc>
          <w:tcPr>
            <w:tcW w:w="53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448"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60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0.151</w:t>
            </w:r>
          </w:p>
        </w:tc>
        <w:tc>
          <w:tcPr>
            <w:tcW w:w="62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5"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bidi="ar"/>
              </w:rPr>
              <w:t>0.151</w:t>
            </w:r>
          </w:p>
        </w:tc>
        <w:tc>
          <w:tcPr>
            <w:tcW w:w="562"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val="en-US" w:eastAsia="zh-CN" w:bidi="ar"/>
              </w:rPr>
              <w:t>+</w:t>
            </w:r>
            <w:r>
              <w:rPr>
                <w:rFonts w:hint="eastAsia" w:ascii="Times New Roman" w:hAnsi="Times New Roman" w:eastAsia="宋体" w:cs="Times New Roman"/>
                <w:color w:val="000000"/>
                <w:kern w:val="0"/>
                <w:szCs w:val="21"/>
                <w:lang w:bidi="ar"/>
              </w:rPr>
              <w:t>0.151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3"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2"/>
              <w:jc w:val="center"/>
              <w:textAlignment w:val="auto"/>
              <w:rPr>
                <w:rFonts w:ascii="Times New Roman" w:eastAsia="宋体" w:cs="Times New Roman"/>
                <w:snapToGrid w:val="0"/>
                <w:kern w:val="21"/>
                <w:sz w:val="21"/>
                <w:szCs w:val="21"/>
              </w:rPr>
            </w:pPr>
            <w:r>
              <w:rPr>
                <w:rFonts w:ascii="Times New Roman" w:eastAsia="宋体" w:cs="Times New Roman"/>
                <w:sz w:val="21"/>
                <w:szCs w:val="21"/>
              </w:rPr>
              <w:t>SS</w:t>
            </w:r>
          </w:p>
        </w:tc>
        <w:tc>
          <w:tcPr>
            <w:tcW w:w="53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448"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60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0.133</w:t>
            </w:r>
          </w:p>
        </w:tc>
        <w:tc>
          <w:tcPr>
            <w:tcW w:w="62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5"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bidi="ar"/>
              </w:rPr>
              <w:t>0.133</w:t>
            </w:r>
          </w:p>
        </w:tc>
        <w:tc>
          <w:tcPr>
            <w:tcW w:w="562"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val="en-US" w:eastAsia="zh-CN" w:bidi="ar"/>
              </w:rPr>
              <w:t>+</w:t>
            </w:r>
            <w:r>
              <w:rPr>
                <w:rFonts w:hint="eastAsia" w:ascii="Times New Roman" w:hAnsi="Times New Roman" w:eastAsia="宋体" w:cs="Times New Roman"/>
                <w:color w:val="000000"/>
                <w:kern w:val="0"/>
                <w:szCs w:val="21"/>
                <w:lang w:bidi="ar"/>
              </w:rPr>
              <w:t>0.133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0"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2"/>
              <w:jc w:val="center"/>
              <w:textAlignment w:val="auto"/>
              <w:rPr>
                <w:rFonts w:ascii="Times New Roman" w:eastAsia="宋体" w:cs="Times New Roman"/>
                <w:sz w:val="21"/>
                <w:szCs w:val="21"/>
              </w:rPr>
            </w:pPr>
            <w:r>
              <w:rPr>
                <w:rFonts w:ascii="Times New Roman" w:eastAsia="宋体" w:cs="Times New Roman"/>
                <w:sz w:val="21"/>
                <w:szCs w:val="21"/>
              </w:rPr>
              <w:t>NH</w:t>
            </w:r>
            <w:r>
              <w:rPr>
                <w:rFonts w:ascii="Times New Roman" w:eastAsia="宋体" w:cs="Times New Roman"/>
                <w:sz w:val="21"/>
                <w:szCs w:val="21"/>
                <w:vertAlign w:val="subscript"/>
              </w:rPr>
              <w:t>3</w:t>
            </w:r>
            <w:r>
              <w:rPr>
                <w:rFonts w:ascii="Times New Roman" w:eastAsia="宋体" w:cs="Times New Roman"/>
                <w:sz w:val="21"/>
                <w:szCs w:val="21"/>
              </w:rPr>
              <w:t>-N</w:t>
            </w:r>
          </w:p>
        </w:tc>
        <w:tc>
          <w:tcPr>
            <w:tcW w:w="53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448"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60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0.106</w:t>
            </w:r>
          </w:p>
        </w:tc>
        <w:tc>
          <w:tcPr>
            <w:tcW w:w="62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5"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bidi="ar"/>
              </w:rPr>
              <w:t>0.106</w:t>
            </w:r>
          </w:p>
        </w:tc>
        <w:tc>
          <w:tcPr>
            <w:tcW w:w="562"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val="en-US" w:eastAsia="zh-CN" w:bidi="ar"/>
              </w:rPr>
              <w:t>+</w:t>
            </w:r>
            <w:r>
              <w:rPr>
                <w:rFonts w:hint="eastAsia" w:ascii="Times New Roman" w:hAnsi="Times New Roman" w:eastAsia="宋体" w:cs="Times New Roman"/>
                <w:color w:val="000000"/>
                <w:kern w:val="0"/>
                <w:szCs w:val="21"/>
                <w:lang w:bidi="ar"/>
              </w:rPr>
              <w:t>0.106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0"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2"/>
              <w:jc w:val="center"/>
              <w:textAlignment w:val="auto"/>
              <w:rPr>
                <w:rFonts w:hint="eastAsia" w:ascii="Times New Roman" w:eastAsia="宋体" w:cs="Times New Roman"/>
                <w:sz w:val="21"/>
                <w:szCs w:val="21"/>
                <w:lang w:val="en-US" w:eastAsia="zh-CN"/>
              </w:rPr>
            </w:pPr>
            <w:r>
              <w:rPr>
                <w:rFonts w:hint="eastAsia" w:ascii="Times New Roman" w:eastAsia="宋体" w:cs="Times New Roman"/>
                <w:sz w:val="21"/>
                <w:szCs w:val="21"/>
                <w:lang w:val="en-US" w:eastAsia="zh-CN"/>
              </w:rPr>
              <w:t>动植物油</w:t>
            </w:r>
          </w:p>
        </w:tc>
        <w:tc>
          <w:tcPr>
            <w:tcW w:w="535"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448"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600"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0.019</w:t>
            </w:r>
          </w:p>
        </w:tc>
        <w:tc>
          <w:tcPr>
            <w:tcW w:w="622"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5"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bidi="ar"/>
              </w:rPr>
              <w:t>0.019</w:t>
            </w:r>
          </w:p>
        </w:tc>
        <w:tc>
          <w:tcPr>
            <w:tcW w:w="562"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Cs w:val="21"/>
                <w:lang w:val="en-US" w:eastAsia="zh-CN" w:bidi="ar"/>
              </w:rPr>
              <w:t>+</w:t>
            </w:r>
            <w:r>
              <w:rPr>
                <w:rFonts w:hint="eastAsia" w:ascii="Times New Roman" w:hAnsi="Times New Roman" w:eastAsia="宋体" w:cs="Times New Roman"/>
                <w:color w:val="000000"/>
                <w:kern w:val="0"/>
                <w:szCs w:val="21"/>
                <w:lang w:bidi="ar"/>
              </w:rPr>
              <w:t>0.019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0"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2"/>
              <w:jc w:val="center"/>
              <w:textAlignment w:val="auto"/>
              <w:rPr>
                <w:rFonts w:hint="eastAsia" w:ascii="Times New Roman" w:eastAsia="宋体" w:cs="Times New Roman"/>
                <w:sz w:val="21"/>
                <w:szCs w:val="21"/>
                <w:lang w:val="en-US" w:eastAsia="zh-CN"/>
              </w:rPr>
            </w:pPr>
            <w:r>
              <w:rPr>
                <w:rFonts w:hint="eastAsia" w:ascii="Times New Roman" w:eastAsia="宋体" w:cs="Times New Roman"/>
                <w:sz w:val="21"/>
                <w:szCs w:val="21"/>
                <w:lang w:val="en-US" w:eastAsia="zh-CN"/>
              </w:rPr>
              <w:t>粪大肠菌群数</w:t>
            </w:r>
          </w:p>
        </w:tc>
        <w:tc>
          <w:tcPr>
            <w:tcW w:w="535"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448"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600"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hint="default" w:ascii="Times New Roman" w:hAnsi="Times New Roman" w:eastAsia="宋体" w:cs="Times New Roman"/>
                <w:i w:val="0"/>
                <w:iCs w:val="0"/>
                <w:color w:val="000000"/>
                <w:kern w:val="0"/>
                <w:sz w:val="21"/>
                <w:szCs w:val="21"/>
                <w:u w:val="none"/>
                <w:lang w:val="en-US" w:eastAsia="zh-CN" w:bidi="ar"/>
              </w:rPr>
              <w:t>4.07×10</w:t>
            </w:r>
            <w:r>
              <w:rPr>
                <w:rFonts w:hint="default" w:ascii="Times New Roman" w:hAnsi="Times New Roman" w:eastAsia="宋体" w:cs="Times New Roman"/>
                <w:i w:val="0"/>
                <w:iCs w:val="0"/>
                <w:color w:val="000000"/>
                <w:kern w:val="0"/>
                <w:sz w:val="21"/>
                <w:szCs w:val="21"/>
                <w:u w:val="none"/>
                <w:vertAlign w:val="superscript"/>
                <w:lang w:val="en-US" w:eastAsia="zh-CN" w:bidi="ar"/>
              </w:rPr>
              <w:t>9</w:t>
            </w:r>
            <w:r>
              <w:rPr>
                <w:rFonts w:hint="default" w:ascii="Times New Roman" w:hAnsi="Times New Roman" w:eastAsia="宋体" w:cs="Times New Roman"/>
                <w:i w:val="0"/>
                <w:iCs w:val="0"/>
                <w:color w:val="000000"/>
                <w:kern w:val="0"/>
                <w:sz w:val="21"/>
                <w:szCs w:val="21"/>
                <w:u w:val="none"/>
                <w:lang w:val="en-US" w:eastAsia="zh-CN" w:bidi="ar"/>
              </w:rPr>
              <w:t>MPN</w:t>
            </w:r>
          </w:p>
        </w:tc>
        <w:tc>
          <w:tcPr>
            <w:tcW w:w="622"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5"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4.07×10</w:t>
            </w:r>
            <w:r>
              <w:rPr>
                <w:rFonts w:hint="default" w:ascii="Times New Roman" w:hAnsi="Times New Roman" w:eastAsia="宋体" w:cs="Times New Roman"/>
                <w:i w:val="0"/>
                <w:iCs w:val="0"/>
                <w:color w:val="000000"/>
                <w:kern w:val="0"/>
                <w:sz w:val="21"/>
                <w:szCs w:val="21"/>
                <w:u w:val="none"/>
                <w:vertAlign w:val="superscript"/>
                <w:lang w:val="en-US" w:eastAsia="zh-CN" w:bidi="ar"/>
              </w:rPr>
              <w:t>9</w:t>
            </w:r>
            <w:r>
              <w:rPr>
                <w:rFonts w:hint="default" w:ascii="Times New Roman" w:hAnsi="Times New Roman" w:eastAsia="宋体" w:cs="Times New Roman"/>
                <w:i w:val="0"/>
                <w:iCs w:val="0"/>
                <w:color w:val="000000"/>
                <w:kern w:val="0"/>
                <w:sz w:val="21"/>
                <w:szCs w:val="21"/>
                <w:u w:val="none"/>
                <w:lang w:val="en-US" w:eastAsia="zh-CN" w:bidi="ar"/>
              </w:rPr>
              <w:t>MPN</w:t>
            </w:r>
          </w:p>
        </w:tc>
        <w:tc>
          <w:tcPr>
            <w:tcW w:w="562" w:type="pct"/>
            <w:vAlign w:val="center"/>
          </w:tcPr>
          <w:p>
            <w:pPr>
              <w:widowControl/>
              <w:jc w:val="center"/>
              <w:textAlignment w:val="center"/>
              <w:rPr>
                <w:rFonts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r>
              <w:rPr>
                <w:rFonts w:hint="default" w:ascii="Times New Roman" w:hAnsi="Times New Roman" w:eastAsia="宋体" w:cs="Times New Roman"/>
                <w:i w:val="0"/>
                <w:iCs w:val="0"/>
                <w:color w:val="000000"/>
                <w:kern w:val="0"/>
                <w:sz w:val="21"/>
                <w:szCs w:val="21"/>
                <w:u w:val="none"/>
                <w:lang w:val="en-US" w:eastAsia="zh-CN" w:bidi="ar"/>
              </w:rPr>
              <w:t>4.07×10</w:t>
            </w:r>
            <w:r>
              <w:rPr>
                <w:rFonts w:hint="default" w:ascii="Times New Roman" w:hAnsi="Times New Roman" w:eastAsia="宋体" w:cs="Times New Roman"/>
                <w:i w:val="0"/>
                <w:iCs w:val="0"/>
                <w:color w:val="000000"/>
                <w:kern w:val="0"/>
                <w:sz w:val="21"/>
                <w:szCs w:val="21"/>
                <w:u w:val="none"/>
                <w:vertAlign w:val="superscript"/>
                <w:lang w:val="en-US" w:eastAsia="zh-CN" w:bidi="ar"/>
              </w:rPr>
              <w:t>9</w:t>
            </w:r>
            <w:r>
              <w:rPr>
                <w:rFonts w:hint="default" w:ascii="Times New Roman" w:hAnsi="Times New Roman" w:eastAsia="宋体" w:cs="Times New Roman"/>
                <w:i w:val="0"/>
                <w:iCs w:val="0"/>
                <w:color w:val="000000"/>
                <w:kern w:val="0"/>
                <w:sz w:val="21"/>
                <w:szCs w:val="21"/>
                <w:u w:val="none"/>
                <w:lang w:val="en-US" w:eastAsia="zh-CN" w:bidi="ar"/>
              </w:rPr>
              <w:t>MPN</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53" w:hRule="exact"/>
        </w:trPr>
        <w:tc>
          <w:tcPr>
            <w:tcW w:w="560" w:type="pct"/>
            <w:vMerge w:val="restart"/>
            <w:vAlign w:val="center"/>
          </w:tcPr>
          <w:p>
            <w:pPr>
              <w:pStyle w:val="46"/>
              <w:spacing w:beforeLines="0" w:afterLines="0" w:line="240" w:lineRule="auto"/>
              <w:rPr>
                <w:rFonts w:ascii="Times New Roman" w:hAnsi="Times New Roman" w:eastAsia="宋体" w:cs="Times New Roman"/>
                <w:snapToGrid w:val="0"/>
                <w:color w:val="000000"/>
                <w:kern w:val="21"/>
                <w:szCs w:val="21"/>
              </w:rPr>
            </w:pPr>
            <w:r>
              <w:rPr>
                <w:rFonts w:ascii="Times New Roman" w:hAnsi="Times New Roman" w:eastAsia="宋体" w:cs="Times New Roman"/>
                <w:snapToGrid w:val="0"/>
                <w:color w:val="000000"/>
                <w:kern w:val="21"/>
                <w:szCs w:val="21"/>
              </w:rPr>
              <w:t>一般工业</w:t>
            </w:r>
          </w:p>
          <w:p>
            <w:pPr>
              <w:pStyle w:val="46"/>
              <w:spacing w:beforeLines="0" w:afterLines="0" w:line="240" w:lineRule="auto"/>
              <w:rPr>
                <w:rFonts w:ascii="Times New Roman" w:hAnsi="Times New Roman" w:eastAsia="宋体" w:cs="Times New Roman"/>
                <w:snapToGrid w:val="0"/>
                <w:color w:val="000000"/>
                <w:kern w:val="21"/>
                <w:szCs w:val="21"/>
              </w:rPr>
            </w:pPr>
            <w:r>
              <w:rPr>
                <w:rFonts w:ascii="Times New Roman" w:hAnsi="Times New Roman" w:eastAsia="宋体" w:cs="Times New Roman"/>
                <w:snapToGrid w:val="0"/>
                <w:color w:val="000000"/>
                <w:kern w:val="21"/>
                <w:szCs w:val="21"/>
              </w:rPr>
              <w:t>固体废物</w:t>
            </w:r>
          </w:p>
        </w:tc>
        <w:tc>
          <w:tcPr>
            <w:tcW w:w="564" w:type="pct"/>
            <w:vAlign w:val="center"/>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生活垃圾</w:t>
            </w:r>
          </w:p>
        </w:tc>
        <w:tc>
          <w:tcPr>
            <w:tcW w:w="53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448"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60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17.34</w:t>
            </w:r>
          </w:p>
        </w:tc>
        <w:tc>
          <w:tcPr>
            <w:tcW w:w="62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17.34</w:t>
            </w:r>
          </w:p>
        </w:tc>
        <w:tc>
          <w:tcPr>
            <w:tcW w:w="56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+17.34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63"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tcPr>
          <w:p>
            <w:pPr>
              <w:widowControl/>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使用后未污染的输液瓶（袋）</w:t>
            </w:r>
          </w:p>
        </w:tc>
        <w:tc>
          <w:tcPr>
            <w:tcW w:w="53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448"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60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0.02</w:t>
            </w:r>
          </w:p>
        </w:tc>
        <w:tc>
          <w:tcPr>
            <w:tcW w:w="62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0.02</w:t>
            </w:r>
          </w:p>
        </w:tc>
        <w:tc>
          <w:tcPr>
            <w:tcW w:w="56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0" w:hRule="exact"/>
        </w:trPr>
        <w:tc>
          <w:tcPr>
            <w:tcW w:w="560" w:type="pct"/>
            <w:vMerge w:val="restart"/>
            <w:vAlign w:val="center"/>
          </w:tcPr>
          <w:p>
            <w:pPr>
              <w:pStyle w:val="46"/>
              <w:spacing w:beforeLines="0" w:afterLines="0" w:line="240" w:lineRule="auto"/>
              <w:rPr>
                <w:rFonts w:ascii="Times New Roman" w:hAnsi="Times New Roman" w:eastAsia="宋体" w:cs="Times New Roman"/>
                <w:snapToGrid w:val="0"/>
                <w:color w:val="000000"/>
                <w:kern w:val="21"/>
                <w:szCs w:val="21"/>
              </w:rPr>
            </w:pPr>
            <w:r>
              <w:rPr>
                <w:rFonts w:hint="eastAsia" w:ascii="Times New Roman" w:hAnsi="Times New Roman" w:eastAsia="宋体" w:cs="Times New Roman"/>
                <w:snapToGrid w:val="0"/>
                <w:color w:val="000000"/>
                <w:kern w:val="21"/>
                <w:szCs w:val="21"/>
              </w:rPr>
              <w:t>危险废物</w:t>
            </w:r>
          </w:p>
        </w:tc>
        <w:tc>
          <w:tcPr>
            <w:tcW w:w="564" w:type="pct"/>
            <w:vAlign w:val="center"/>
          </w:tcPr>
          <w:p>
            <w:pPr>
              <w:pStyle w:val="46"/>
              <w:spacing w:beforeLines="0" w:afterLines="0" w:line="240" w:lineRule="auto"/>
              <w:rPr>
                <w:rFonts w:ascii="Times New Roman" w:hAnsi="Times New Roman" w:eastAsia="宋体" w:cs="Times New Roman"/>
                <w:snapToGrid w:val="0"/>
                <w:color w:val="000000"/>
                <w:kern w:val="21"/>
                <w:szCs w:val="21"/>
              </w:rPr>
            </w:pPr>
            <w:r>
              <w:rPr>
                <w:rFonts w:ascii="Times New Roman" w:hAnsi="Times New Roman" w:eastAsia="宋体" w:cs="Times New Roman"/>
                <w:snapToGrid w:val="0"/>
                <w:color w:val="000000"/>
                <w:kern w:val="21"/>
                <w:szCs w:val="21"/>
              </w:rPr>
              <w:t>医疗废物</w:t>
            </w:r>
          </w:p>
        </w:tc>
        <w:tc>
          <w:tcPr>
            <w:tcW w:w="53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448"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60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19.53</w:t>
            </w:r>
          </w:p>
        </w:tc>
        <w:tc>
          <w:tcPr>
            <w:tcW w:w="62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19.53</w:t>
            </w:r>
          </w:p>
        </w:tc>
        <w:tc>
          <w:tcPr>
            <w:tcW w:w="56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+19.53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3"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46"/>
              <w:spacing w:beforeLines="0" w:afterLines="0" w:line="240" w:lineRule="auto"/>
              <w:rPr>
                <w:rFonts w:ascii="Times New Roman" w:hAnsi="Times New Roman" w:eastAsia="宋体" w:cs="Times New Roman"/>
                <w:color w:val="000000"/>
                <w:szCs w:val="21"/>
              </w:rPr>
            </w:pPr>
            <w:r>
              <w:rPr>
                <w:rFonts w:ascii="Times New Roman" w:hAnsi="Times New Roman" w:eastAsia="宋体" w:cs="Times New Roman"/>
                <w:color w:val="000000"/>
                <w:szCs w:val="21"/>
              </w:rPr>
              <w:t>废紫外线灯管</w:t>
            </w:r>
          </w:p>
        </w:tc>
        <w:tc>
          <w:tcPr>
            <w:tcW w:w="53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448"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60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0.0003</w:t>
            </w:r>
          </w:p>
        </w:tc>
        <w:tc>
          <w:tcPr>
            <w:tcW w:w="62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0.0003</w:t>
            </w:r>
          </w:p>
        </w:tc>
        <w:tc>
          <w:tcPr>
            <w:tcW w:w="56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+0.0003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6"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46"/>
              <w:spacing w:beforeLines="0" w:afterLines="0" w:line="240" w:lineRule="auto"/>
              <w:rPr>
                <w:rFonts w:ascii="Times New Roman" w:hAnsi="Times New Roman" w:eastAsia="宋体" w:cs="Times New Roman"/>
                <w:snapToGrid w:val="0"/>
                <w:color w:val="000000"/>
                <w:kern w:val="21"/>
                <w:szCs w:val="21"/>
              </w:rPr>
            </w:pPr>
            <w:r>
              <w:rPr>
                <w:rFonts w:ascii="Times New Roman" w:hAnsi="Times New Roman" w:eastAsia="宋体" w:cs="Times New Roman"/>
                <w:snapToGrid w:val="0"/>
                <w:color w:val="000000"/>
                <w:kern w:val="21"/>
                <w:szCs w:val="21"/>
              </w:rPr>
              <w:t>污水站污泥</w:t>
            </w:r>
          </w:p>
        </w:tc>
        <w:tc>
          <w:tcPr>
            <w:tcW w:w="53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448"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60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2.42</w:t>
            </w:r>
          </w:p>
        </w:tc>
        <w:tc>
          <w:tcPr>
            <w:tcW w:w="62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5"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2.42</w:t>
            </w:r>
          </w:p>
        </w:tc>
        <w:tc>
          <w:tcPr>
            <w:tcW w:w="562"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r>
              <w:rPr>
                <w:rFonts w:hint="eastAsia" w:ascii="Times New Roman" w:hAnsi="Times New Roman" w:eastAsia="宋体" w:cs="Times New Roman"/>
                <w:color w:val="000000"/>
                <w:kern w:val="0"/>
                <w:szCs w:val="21"/>
                <w:lang w:bidi="ar"/>
              </w:rPr>
              <w:t>2.42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46"/>
              <w:spacing w:beforeLines="0" w:afterLines="0" w:line="240" w:lineRule="auto"/>
              <w:rPr>
                <w:rFonts w:ascii="Times New Roman" w:hAnsi="Times New Roman" w:eastAsia="宋体" w:cs="Times New Roman"/>
                <w:snapToGrid w:val="0"/>
                <w:color w:val="000000"/>
                <w:kern w:val="21"/>
                <w:szCs w:val="21"/>
              </w:rPr>
            </w:pPr>
            <w:r>
              <w:rPr>
                <w:rFonts w:hint="eastAsia" w:ascii="Times New Roman" w:hAnsi="Times New Roman" w:eastAsia="宋体" w:cs="Times New Roman"/>
                <w:snapToGrid w:val="0"/>
                <w:color w:val="000000"/>
                <w:kern w:val="21"/>
                <w:szCs w:val="21"/>
              </w:rPr>
              <w:t>检验科固废</w:t>
            </w:r>
          </w:p>
        </w:tc>
        <w:tc>
          <w:tcPr>
            <w:tcW w:w="535"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448"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600" w:type="pct"/>
            <w:vAlign w:val="center"/>
          </w:tcPr>
          <w:p>
            <w:pPr>
              <w:widowControl/>
              <w:jc w:val="center"/>
              <w:textAlignment w:val="center"/>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w:t>
            </w:r>
          </w:p>
        </w:tc>
        <w:tc>
          <w:tcPr>
            <w:tcW w:w="550"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0.05</w:t>
            </w:r>
          </w:p>
        </w:tc>
        <w:tc>
          <w:tcPr>
            <w:tcW w:w="622"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w:t>
            </w:r>
          </w:p>
        </w:tc>
        <w:tc>
          <w:tcPr>
            <w:tcW w:w="555"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0.05</w:t>
            </w:r>
          </w:p>
        </w:tc>
        <w:tc>
          <w:tcPr>
            <w:tcW w:w="562" w:type="pct"/>
            <w:vAlign w:val="center"/>
          </w:tcPr>
          <w:p>
            <w:pPr>
              <w:widowControl/>
              <w:jc w:val="center"/>
              <w:textAlignment w:val="center"/>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6" w:hRule="exact"/>
        </w:trPr>
        <w:tc>
          <w:tcPr>
            <w:tcW w:w="560" w:type="pct"/>
            <w:vMerge w:val="continue"/>
            <w:vAlign w:val="center"/>
          </w:tcPr>
          <w:p>
            <w:pPr>
              <w:pStyle w:val="46"/>
              <w:spacing w:beforeLines="0" w:afterLines="0" w:line="240" w:lineRule="auto"/>
              <w:rPr>
                <w:rFonts w:ascii="Times New Roman" w:hAnsi="Times New Roman" w:eastAsia="宋体" w:cs="Times New Roman"/>
                <w:snapToGrid w:val="0"/>
                <w:color w:val="000000"/>
                <w:kern w:val="21"/>
                <w:szCs w:val="21"/>
              </w:rPr>
            </w:pPr>
          </w:p>
        </w:tc>
        <w:tc>
          <w:tcPr>
            <w:tcW w:w="564" w:type="pct"/>
            <w:vAlign w:val="center"/>
          </w:tcPr>
          <w:p>
            <w:pPr>
              <w:pStyle w:val="46"/>
              <w:spacing w:beforeLines="0" w:afterLines="0" w:line="240" w:lineRule="auto"/>
              <w:rPr>
                <w:rFonts w:hint="default" w:ascii="Times New Roman" w:hAnsi="Times New Roman" w:eastAsia="宋体" w:cs="Times New Roman"/>
                <w:snapToGrid w:val="0"/>
                <w:color w:val="000000"/>
                <w:kern w:val="21"/>
                <w:szCs w:val="21"/>
                <w:lang w:val="en-US" w:eastAsia="zh-CN"/>
              </w:rPr>
            </w:pPr>
            <w:r>
              <w:rPr>
                <w:rFonts w:hint="eastAsia" w:ascii="Times New Roman" w:hAnsi="Times New Roman" w:eastAsia="宋体" w:cs="Times New Roman"/>
                <w:snapToGrid w:val="0"/>
                <w:color w:val="000000"/>
                <w:kern w:val="21"/>
                <w:szCs w:val="21"/>
                <w:lang w:val="en-US" w:eastAsia="zh-CN"/>
              </w:rPr>
              <w:t>检验科废液</w:t>
            </w:r>
          </w:p>
        </w:tc>
        <w:tc>
          <w:tcPr>
            <w:tcW w:w="535"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448"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600"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0" w:type="pct"/>
            <w:vAlign w:val="center"/>
          </w:tcPr>
          <w:p>
            <w:pPr>
              <w:widowControl/>
              <w:jc w:val="center"/>
              <w:textAlignment w:val="center"/>
              <w:rPr>
                <w:rFonts w:hint="default"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0.04</w:t>
            </w:r>
          </w:p>
        </w:tc>
        <w:tc>
          <w:tcPr>
            <w:tcW w:w="622" w:type="pct"/>
            <w:vAlign w:val="center"/>
          </w:tcPr>
          <w:p>
            <w:pPr>
              <w:widowControl/>
              <w:jc w:val="center"/>
              <w:textAlignment w:val="center"/>
              <w:rPr>
                <w:rFonts w:hint="eastAsia"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w:t>
            </w:r>
          </w:p>
        </w:tc>
        <w:tc>
          <w:tcPr>
            <w:tcW w:w="555" w:type="pct"/>
            <w:vAlign w:val="center"/>
          </w:tcPr>
          <w:p>
            <w:pPr>
              <w:widowControl/>
              <w:jc w:val="center"/>
              <w:textAlignment w:val="center"/>
              <w:rPr>
                <w:rFonts w:hint="default"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0.04</w:t>
            </w:r>
          </w:p>
        </w:tc>
        <w:tc>
          <w:tcPr>
            <w:tcW w:w="562" w:type="pct"/>
            <w:vAlign w:val="center"/>
          </w:tcPr>
          <w:p>
            <w:pPr>
              <w:widowControl/>
              <w:jc w:val="center"/>
              <w:textAlignment w:val="center"/>
              <w:rPr>
                <w:rFonts w:hint="default" w:ascii="Times New Roman" w:hAnsi="Times New Roman" w:eastAsia="宋体" w:cs="Times New Roman"/>
                <w:color w:val="000000"/>
                <w:kern w:val="0"/>
                <w:szCs w:val="21"/>
                <w:lang w:val="en-US" w:eastAsia="zh-CN" w:bidi="ar"/>
              </w:rPr>
            </w:pPr>
            <w:r>
              <w:rPr>
                <w:rFonts w:hint="eastAsia" w:ascii="Times New Roman" w:hAnsi="Times New Roman" w:eastAsia="宋体" w:cs="Times New Roman"/>
                <w:color w:val="000000"/>
                <w:kern w:val="0"/>
                <w:szCs w:val="21"/>
                <w:lang w:val="en-US" w:eastAsia="zh-CN" w:bidi="ar"/>
              </w:rPr>
              <w:t>+0.04</w:t>
            </w:r>
          </w:p>
        </w:tc>
      </w:tr>
    </w:tbl>
    <w:p>
      <w:pPr>
        <w:pStyle w:val="46"/>
        <w:keepNext w:val="0"/>
        <w:keepLines w:val="0"/>
        <w:pageBreakBefore w:val="0"/>
        <w:widowControl w:val="0"/>
        <w:kinsoku/>
        <w:wordWrap/>
        <w:overflowPunct/>
        <w:topLinePunct w:val="0"/>
        <w:autoSpaceDE/>
        <w:autoSpaceDN/>
        <w:bidi w:val="0"/>
        <w:adjustRightInd w:val="0"/>
        <w:snapToGrid w:val="0"/>
        <w:spacing w:before="95" w:beforeLines="30" w:after="24" w:line="260" w:lineRule="auto"/>
        <w:jc w:val="left"/>
        <w:textAlignment w:val="auto"/>
        <w:rPr>
          <w:rFonts w:hint="eastAsia" w:eastAsia="仿宋"/>
          <w:lang w:eastAsia="zh-CN"/>
        </w:rPr>
      </w:pPr>
      <w:r>
        <w:rPr>
          <w:rFonts w:ascii="Times New Roman" w:hAnsi="Times New Roman" w:eastAsia="宋体" w:cs="Times New Roman"/>
          <w:snapToGrid w:val="0"/>
          <w:color w:val="000000"/>
          <w:kern w:val="21"/>
          <w:szCs w:val="21"/>
        </w:rPr>
        <w:t>注：</w:t>
      </w:r>
      <w:r>
        <w:rPr>
          <w:rFonts w:ascii="Times New Roman" w:hAnsi="Times New Roman" w:eastAsia="宋体" w:cs="Times New Roman"/>
          <w:snapToGrid w:val="0"/>
          <w:color w:val="000000"/>
          <w:spacing w:val="-16"/>
          <w:kern w:val="21"/>
          <w:szCs w:val="21"/>
        </w:rPr>
        <w:fldChar w:fldCharType="begin"/>
      </w:r>
      <w:r>
        <w:rPr>
          <w:rFonts w:ascii="Times New Roman" w:hAnsi="Times New Roman" w:eastAsia="宋体" w:cs="Times New Roman"/>
          <w:snapToGrid w:val="0"/>
          <w:color w:val="000000"/>
          <w:spacing w:val="-16"/>
          <w:kern w:val="21"/>
          <w:szCs w:val="21"/>
        </w:rPr>
        <w:instrText xml:space="preserve">=6\*GB3\*MERGEFORMAT</w:instrText>
      </w:r>
      <w:r>
        <w:rPr>
          <w:rFonts w:ascii="Times New Roman" w:hAnsi="Times New Roman" w:eastAsia="宋体" w:cs="Times New Roman"/>
          <w:snapToGrid w:val="0"/>
          <w:color w:val="000000"/>
          <w:spacing w:val="-16"/>
          <w:kern w:val="21"/>
          <w:szCs w:val="21"/>
        </w:rPr>
        <w:fldChar w:fldCharType="separate"/>
      </w:r>
      <w:r>
        <w:rPr>
          <w:rFonts w:ascii="Times New Roman" w:hAnsi="Times New Roman" w:eastAsia="宋体" w:cs="Times New Roman"/>
          <w:color w:val="000000"/>
          <w:szCs w:val="21"/>
        </w:rPr>
        <w:t>⑥</w:t>
      </w:r>
      <w:r>
        <w:rPr>
          <w:rFonts w:ascii="Times New Roman" w:hAnsi="Times New Roman" w:eastAsia="宋体" w:cs="Times New Roman"/>
          <w:snapToGrid w:val="0"/>
          <w:color w:val="000000"/>
          <w:spacing w:val="-16"/>
          <w:kern w:val="21"/>
          <w:szCs w:val="21"/>
        </w:rPr>
        <w:fldChar w:fldCharType="end"/>
      </w:r>
      <w:r>
        <w:rPr>
          <w:rFonts w:ascii="Times New Roman" w:hAnsi="Times New Roman" w:eastAsia="宋体" w:cs="Times New Roman"/>
          <w:snapToGrid w:val="0"/>
          <w:color w:val="000000"/>
          <w:spacing w:val="-16"/>
          <w:kern w:val="21"/>
          <w:szCs w:val="21"/>
        </w:rPr>
        <w:t>=</w:t>
      </w:r>
      <w:r>
        <w:rPr>
          <w:rFonts w:ascii="Times New Roman" w:hAnsi="Times New Roman" w:eastAsia="宋体" w:cs="Times New Roman"/>
          <w:snapToGrid w:val="0"/>
          <w:color w:val="000000"/>
          <w:spacing w:val="-6"/>
          <w:kern w:val="21"/>
          <w:szCs w:val="21"/>
        </w:rPr>
        <w:fldChar w:fldCharType="begin"/>
      </w:r>
      <w:r>
        <w:rPr>
          <w:rFonts w:ascii="Times New Roman" w:hAnsi="Times New Roman" w:eastAsia="宋体" w:cs="Times New Roman"/>
          <w:snapToGrid w:val="0"/>
          <w:color w:val="000000"/>
          <w:spacing w:val="-6"/>
          <w:kern w:val="21"/>
          <w:szCs w:val="21"/>
        </w:rPr>
        <w:instrText xml:space="preserve">=1\*GB3\*MERGEFORMAT</w:instrText>
      </w:r>
      <w:r>
        <w:rPr>
          <w:rFonts w:ascii="Times New Roman" w:hAnsi="Times New Roman" w:eastAsia="宋体" w:cs="Times New Roman"/>
          <w:snapToGrid w:val="0"/>
          <w:color w:val="000000"/>
          <w:spacing w:val="-6"/>
          <w:kern w:val="21"/>
          <w:szCs w:val="21"/>
        </w:rPr>
        <w:fldChar w:fldCharType="separate"/>
      </w:r>
      <w:r>
        <w:rPr>
          <w:rFonts w:ascii="Times New Roman" w:hAnsi="Times New Roman" w:eastAsia="宋体" w:cs="Times New Roman"/>
          <w:color w:val="000000"/>
          <w:szCs w:val="21"/>
        </w:rPr>
        <w:t>①</w:t>
      </w:r>
      <w:r>
        <w:rPr>
          <w:rFonts w:ascii="Times New Roman" w:hAnsi="Times New Roman" w:eastAsia="宋体" w:cs="Times New Roman"/>
          <w:snapToGrid w:val="0"/>
          <w:color w:val="000000"/>
          <w:spacing w:val="-6"/>
          <w:kern w:val="21"/>
          <w:szCs w:val="21"/>
        </w:rPr>
        <w:fldChar w:fldCharType="end"/>
      </w:r>
      <w:r>
        <w:rPr>
          <w:rFonts w:ascii="Times New Roman" w:hAnsi="Times New Roman" w:eastAsia="宋体" w:cs="Times New Roman"/>
          <w:snapToGrid w:val="0"/>
          <w:color w:val="000000"/>
          <w:spacing w:val="-6"/>
          <w:kern w:val="21"/>
          <w:szCs w:val="21"/>
        </w:rPr>
        <w:t>+</w:t>
      </w:r>
      <w:r>
        <w:rPr>
          <w:rFonts w:ascii="Times New Roman" w:hAnsi="Times New Roman" w:eastAsia="宋体" w:cs="Times New Roman"/>
          <w:snapToGrid w:val="0"/>
          <w:color w:val="000000"/>
          <w:spacing w:val="-6"/>
          <w:kern w:val="21"/>
          <w:szCs w:val="21"/>
        </w:rPr>
        <w:fldChar w:fldCharType="begin"/>
      </w:r>
      <w:r>
        <w:rPr>
          <w:rFonts w:ascii="Times New Roman" w:hAnsi="Times New Roman" w:eastAsia="宋体" w:cs="Times New Roman"/>
          <w:snapToGrid w:val="0"/>
          <w:color w:val="000000"/>
          <w:spacing w:val="-6"/>
          <w:kern w:val="21"/>
          <w:szCs w:val="21"/>
        </w:rPr>
        <w:instrText xml:space="preserve">=3\*GB3\*MERGEFORMAT</w:instrText>
      </w:r>
      <w:r>
        <w:rPr>
          <w:rFonts w:ascii="Times New Roman" w:hAnsi="Times New Roman" w:eastAsia="宋体" w:cs="Times New Roman"/>
          <w:snapToGrid w:val="0"/>
          <w:color w:val="000000"/>
          <w:spacing w:val="-6"/>
          <w:kern w:val="21"/>
          <w:szCs w:val="21"/>
        </w:rPr>
        <w:fldChar w:fldCharType="separate"/>
      </w:r>
      <w:r>
        <w:rPr>
          <w:rFonts w:ascii="Times New Roman" w:hAnsi="Times New Roman" w:eastAsia="宋体" w:cs="Times New Roman"/>
          <w:color w:val="000000"/>
          <w:szCs w:val="21"/>
        </w:rPr>
        <w:t>③</w:t>
      </w:r>
      <w:r>
        <w:rPr>
          <w:rFonts w:ascii="Times New Roman" w:hAnsi="Times New Roman" w:eastAsia="宋体" w:cs="Times New Roman"/>
          <w:snapToGrid w:val="0"/>
          <w:color w:val="000000"/>
          <w:spacing w:val="-6"/>
          <w:kern w:val="21"/>
          <w:szCs w:val="21"/>
        </w:rPr>
        <w:fldChar w:fldCharType="end"/>
      </w:r>
      <w:r>
        <w:rPr>
          <w:rFonts w:ascii="Times New Roman" w:hAnsi="Times New Roman" w:eastAsia="宋体" w:cs="Times New Roman"/>
          <w:snapToGrid w:val="0"/>
          <w:color w:val="000000"/>
          <w:spacing w:val="-6"/>
          <w:kern w:val="21"/>
          <w:szCs w:val="21"/>
        </w:rPr>
        <w:t>+</w:t>
      </w:r>
      <w:r>
        <w:rPr>
          <w:rFonts w:ascii="Times New Roman" w:hAnsi="Times New Roman" w:eastAsia="宋体" w:cs="Times New Roman"/>
          <w:snapToGrid w:val="0"/>
          <w:color w:val="000000"/>
          <w:spacing w:val="-6"/>
          <w:kern w:val="21"/>
          <w:szCs w:val="21"/>
        </w:rPr>
        <w:fldChar w:fldCharType="begin"/>
      </w:r>
      <w:r>
        <w:rPr>
          <w:rFonts w:ascii="Times New Roman" w:hAnsi="Times New Roman" w:eastAsia="宋体" w:cs="Times New Roman"/>
          <w:snapToGrid w:val="0"/>
          <w:color w:val="000000"/>
          <w:spacing w:val="-6"/>
          <w:kern w:val="21"/>
          <w:szCs w:val="21"/>
        </w:rPr>
        <w:instrText xml:space="preserve">=4\*GB3\*MERGEFORMAT</w:instrText>
      </w:r>
      <w:r>
        <w:rPr>
          <w:rFonts w:ascii="Times New Roman" w:hAnsi="Times New Roman" w:eastAsia="宋体" w:cs="Times New Roman"/>
          <w:snapToGrid w:val="0"/>
          <w:color w:val="000000"/>
          <w:spacing w:val="-6"/>
          <w:kern w:val="21"/>
          <w:szCs w:val="21"/>
        </w:rPr>
        <w:fldChar w:fldCharType="separate"/>
      </w:r>
      <w:r>
        <w:rPr>
          <w:rFonts w:ascii="Times New Roman" w:hAnsi="Times New Roman" w:eastAsia="宋体" w:cs="Times New Roman"/>
          <w:color w:val="000000"/>
          <w:szCs w:val="21"/>
        </w:rPr>
        <w:t>④</w:t>
      </w:r>
      <w:r>
        <w:rPr>
          <w:rFonts w:ascii="Times New Roman" w:hAnsi="Times New Roman" w:eastAsia="宋体" w:cs="Times New Roman"/>
          <w:snapToGrid w:val="0"/>
          <w:color w:val="000000"/>
          <w:spacing w:val="-6"/>
          <w:kern w:val="21"/>
          <w:szCs w:val="21"/>
        </w:rPr>
        <w:fldChar w:fldCharType="end"/>
      </w:r>
      <w:r>
        <w:rPr>
          <w:rFonts w:ascii="Times New Roman" w:hAnsi="Times New Roman" w:eastAsia="宋体" w:cs="Times New Roman"/>
          <w:snapToGrid w:val="0"/>
          <w:color w:val="000000"/>
          <w:spacing w:val="-6"/>
          <w:kern w:val="21"/>
          <w:szCs w:val="21"/>
        </w:rPr>
        <w:t>-</w:t>
      </w:r>
      <w:r>
        <w:rPr>
          <w:rFonts w:ascii="Times New Roman" w:hAnsi="Times New Roman" w:eastAsia="宋体" w:cs="Times New Roman"/>
          <w:snapToGrid w:val="0"/>
          <w:color w:val="000000"/>
          <w:spacing w:val="-16"/>
          <w:kern w:val="21"/>
          <w:szCs w:val="21"/>
        </w:rPr>
        <w:fldChar w:fldCharType="begin"/>
      </w:r>
      <w:r>
        <w:rPr>
          <w:rFonts w:ascii="Times New Roman" w:hAnsi="Times New Roman" w:eastAsia="宋体" w:cs="Times New Roman"/>
          <w:snapToGrid w:val="0"/>
          <w:color w:val="000000"/>
          <w:spacing w:val="-16"/>
          <w:kern w:val="21"/>
          <w:szCs w:val="21"/>
        </w:rPr>
        <w:instrText xml:space="preserve">=5\*GB3\*MERGEFORMAT</w:instrText>
      </w:r>
      <w:r>
        <w:rPr>
          <w:rFonts w:ascii="Times New Roman" w:hAnsi="Times New Roman" w:eastAsia="宋体" w:cs="Times New Roman"/>
          <w:snapToGrid w:val="0"/>
          <w:color w:val="000000"/>
          <w:spacing w:val="-16"/>
          <w:kern w:val="21"/>
          <w:szCs w:val="21"/>
        </w:rPr>
        <w:fldChar w:fldCharType="separate"/>
      </w:r>
      <w:r>
        <w:rPr>
          <w:rFonts w:ascii="Times New Roman" w:hAnsi="Times New Roman" w:eastAsia="宋体" w:cs="Times New Roman"/>
          <w:color w:val="000000"/>
          <w:szCs w:val="21"/>
        </w:rPr>
        <w:t>⑤</w:t>
      </w:r>
      <w:r>
        <w:rPr>
          <w:rFonts w:ascii="Times New Roman" w:hAnsi="Times New Roman" w:eastAsia="宋体" w:cs="Times New Roman"/>
          <w:snapToGrid w:val="0"/>
          <w:color w:val="000000"/>
          <w:spacing w:val="-16"/>
          <w:kern w:val="21"/>
          <w:szCs w:val="21"/>
        </w:rPr>
        <w:fldChar w:fldCharType="end"/>
      </w:r>
      <w:r>
        <w:rPr>
          <w:rFonts w:ascii="Times New Roman" w:hAnsi="Times New Roman" w:eastAsia="宋体" w:cs="Times New Roman"/>
          <w:snapToGrid w:val="0"/>
          <w:color w:val="000000"/>
          <w:spacing w:val="-16"/>
          <w:kern w:val="21"/>
          <w:szCs w:val="21"/>
        </w:rPr>
        <w:t>；</w:t>
      </w:r>
      <w:r>
        <w:rPr>
          <w:rFonts w:ascii="Times New Roman" w:hAnsi="Times New Roman" w:eastAsia="宋体" w:cs="Times New Roman"/>
          <w:snapToGrid w:val="0"/>
          <w:color w:val="000000"/>
          <w:spacing w:val="-6"/>
          <w:kern w:val="21"/>
          <w:szCs w:val="21"/>
        </w:rPr>
        <w:fldChar w:fldCharType="begin"/>
      </w:r>
      <w:r>
        <w:rPr>
          <w:rFonts w:ascii="Times New Roman" w:hAnsi="Times New Roman" w:eastAsia="宋体" w:cs="Times New Roman"/>
          <w:snapToGrid w:val="0"/>
          <w:color w:val="000000"/>
          <w:spacing w:val="-6"/>
          <w:kern w:val="21"/>
          <w:szCs w:val="21"/>
        </w:rPr>
        <w:instrText xml:space="preserve">=7\*GB3\*MERGEFORMAT</w:instrText>
      </w:r>
      <w:r>
        <w:rPr>
          <w:rFonts w:ascii="Times New Roman" w:hAnsi="Times New Roman" w:eastAsia="宋体" w:cs="Times New Roman"/>
          <w:snapToGrid w:val="0"/>
          <w:color w:val="000000"/>
          <w:spacing w:val="-6"/>
          <w:kern w:val="21"/>
          <w:szCs w:val="21"/>
        </w:rPr>
        <w:fldChar w:fldCharType="separate"/>
      </w:r>
      <w:r>
        <w:rPr>
          <w:rFonts w:ascii="Times New Roman" w:hAnsi="Times New Roman" w:eastAsia="宋体" w:cs="Times New Roman"/>
          <w:color w:val="000000"/>
          <w:szCs w:val="21"/>
        </w:rPr>
        <w:t>⑦</w:t>
      </w:r>
      <w:r>
        <w:rPr>
          <w:rFonts w:ascii="Times New Roman" w:hAnsi="Times New Roman" w:eastAsia="宋体" w:cs="Times New Roman"/>
          <w:snapToGrid w:val="0"/>
          <w:color w:val="000000"/>
          <w:spacing w:val="-6"/>
          <w:kern w:val="21"/>
          <w:szCs w:val="21"/>
        </w:rPr>
        <w:fldChar w:fldCharType="end"/>
      </w:r>
      <w:r>
        <w:rPr>
          <w:rFonts w:ascii="Times New Roman" w:hAnsi="Times New Roman" w:eastAsia="宋体" w:cs="Times New Roman"/>
          <w:snapToGrid w:val="0"/>
          <w:color w:val="000000"/>
          <w:spacing w:val="-6"/>
          <w:kern w:val="21"/>
          <w:szCs w:val="21"/>
        </w:rPr>
        <w:t>=</w:t>
      </w:r>
      <w:r>
        <w:rPr>
          <w:rFonts w:ascii="Times New Roman" w:hAnsi="Times New Roman" w:eastAsia="宋体" w:cs="Times New Roman"/>
          <w:snapToGrid w:val="0"/>
          <w:color w:val="000000"/>
          <w:spacing w:val="-16"/>
          <w:kern w:val="21"/>
          <w:szCs w:val="21"/>
        </w:rPr>
        <w:fldChar w:fldCharType="begin"/>
      </w:r>
      <w:r>
        <w:rPr>
          <w:rFonts w:ascii="Times New Roman" w:hAnsi="Times New Roman" w:eastAsia="宋体" w:cs="Times New Roman"/>
          <w:snapToGrid w:val="0"/>
          <w:color w:val="000000"/>
          <w:spacing w:val="-16"/>
          <w:kern w:val="21"/>
          <w:szCs w:val="21"/>
        </w:rPr>
        <w:instrText xml:space="preserve">=6\*GB3\*MERGEFORMAT</w:instrText>
      </w:r>
      <w:r>
        <w:rPr>
          <w:rFonts w:ascii="Times New Roman" w:hAnsi="Times New Roman" w:eastAsia="宋体" w:cs="Times New Roman"/>
          <w:snapToGrid w:val="0"/>
          <w:color w:val="000000"/>
          <w:spacing w:val="-16"/>
          <w:kern w:val="21"/>
          <w:szCs w:val="21"/>
        </w:rPr>
        <w:fldChar w:fldCharType="separate"/>
      </w:r>
      <w:r>
        <w:rPr>
          <w:rFonts w:ascii="Times New Roman" w:hAnsi="Times New Roman" w:eastAsia="宋体" w:cs="Times New Roman"/>
          <w:color w:val="000000"/>
          <w:szCs w:val="21"/>
        </w:rPr>
        <w:t>⑥</w:t>
      </w:r>
      <w:r>
        <w:rPr>
          <w:rFonts w:ascii="Times New Roman" w:hAnsi="Times New Roman" w:eastAsia="宋体" w:cs="Times New Roman"/>
          <w:snapToGrid w:val="0"/>
          <w:color w:val="000000"/>
          <w:spacing w:val="-16"/>
          <w:kern w:val="21"/>
          <w:szCs w:val="21"/>
        </w:rPr>
        <w:fldChar w:fldCharType="end"/>
      </w:r>
      <w:r>
        <w:rPr>
          <w:rFonts w:ascii="Times New Roman" w:hAnsi="Times New Roman" w:eastAsia="宋体" w:cs="Times New Roman"/>
          <w:snapToGrid w:val="0"/>
          <w:color w:val="000000"/>
          <w:spacing w:val="-16"/>
          <w:kern w:val="21"/>
          <w:szCs w:val="21"/>
        </w:rPr>
        <w:t>-</w:t>
      </w:r>
      <w:r>
        <w:rPr>
          <w:rFonts w:ascii="Times New Roman" w:hAnsi="Times New Roman" w:eastAsia="宋体" w:cs="Times New Roman"/>
          <w:snapToGrid w:val="0"/>
          <w:color w:val="000000"/>
          <w:spacing w:val="-6"/>
          <w:kern w:val="21"/>
          <w:szCs w:val="21"/>
        </w:rPr>
        <w:fldChar w:fldCharType="begin"/>
      </w:r>
      <w:r>
        <w:rPr>
          <w:rFonts w:ascii="Times New Roman" w:hAnsi="Times New Roman" w:eastAsia="宋体" w:cs="Times New Roman"/>
          <w:snapToGrid w:val="0"/>
          <w:color w:val="000000"/>
          <w:spacing w:val="-6"/>
          <w:kern w:val="21"/>
          <w:szCs w:val="21"/>
        </w:rPr>
        <w:instrText xml:space="preserve">=1\*GB3\*MERGEFORMAT</w:instrText>
      </w:r>
      <w:r>
        <w:rPr>
          <w:rFonts w:ascii="Times New Roman" w:hAnsi="Times New Roman" w:eastAsia="宋体" w:cs="Times New Roman"/>
          <w:snapToGrid w:val="0"/>
          <w:color w:val="000000"/>
          <w:spacing w:val="-6"/>
          <w:kern w:val="21"/>
          <w:szCs w:val="21"/>
        </w:rPr>
        <w:fldChar w:fldCharType="separate"/>
      </w:r>
      <w:r>
        <w:rPr>
          <w:rFonts w:ascii="Times New Roman" w:hAnsi="Times New Roman" w:eastAsia="宋体" w:cs="Times New Roman"/>
          <w:color w:val="000000"/>
          <w:szCs w:val="21"/>
        </w:rPr>
        <w:t>①</w:t>
      </w:r>
      <w:r>
        <w:rPr>
          <w:rFonts w:ascii="Times New Roman" w:hAnsi="Times New Roman" w:eastAsia="宋体" w:cs="Times New Roman"/>
          <w:snapToGrid w:val="0"/>
          <w:color w:val="000000"/>
          <w:spacing w:val="-6"/>
          <w:kern w:val="21"/>
          <w:szCs w:val="21"/>
        </w:rPr>
        <w:fldChar w:fldCharType="end"/>
      </w:r>
    </w:p>
    <w:sectPr>
      <w:footerReference r:id="rId5" w:type="default"/>
      <w:pgSz w:w="16838" w:h="11906" w:orient="landscape"/>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auto"/>
    <w:pitch w:val="default"/>
    <w:sig w:usb0="00000000" w:usb1="00000000" w:usb2="00000000" w:usb3="00000000" w:csb0="00040000" w:csb1="00000000"/>
  </w:font>
  <w:font w:name="Impact">
    <w:panose1 w:val="020B0806030902050204"/>
    <w:charset w:val="00"/>
    <w:family w:val="swiss"/>
    <w:pitch w:val="default"/>
    <w:sig w:usb0="00000287" w:usb1="00000000" w:usb2="00000000" w:usb3="00000000" w:csb0="2000009F" w:csb1="DFD70000"/>
  </w:font>
  <w:font w:name="仿宋_GB2312">
    <w:altName w:val="仿宋"/>
    <w:panose1 w:val="02010609030101010101"/>
    <w:charset w:val="86"/>
    <w:family w:val="modern"/>
    <w:pitch w:val="default"/>
    <w:sig w:usb0="00000000" w:usb1="00000000" w:usb2="00000000" w:usb3="00000000" w:csb0="00040000" w:csb1="00000000"/>
  </w:font>
  <w:font w:name="华文仿宋">
    <w:altName w:val="仿宋"/>
    <w:panose1 w:val="02010600040101010101"/>
    <w:charset w:val="00"/>
    <w:family w:val="auto"/>
    <w:pitch w:val="default"/>
    <w:sig w:usb0="00000000" w:usb1="00000000" w:usb2="00000000" w:usb3="00000000" w:csb0="0004009F" w:csb1="DFD7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3"/>
                          </w:pPr>
                          <w:r>
                            <w:t xml:space="preserve">— </w:t>
                          </w:r>
                          <w:r>
                            <w:fldChar w:fldCharType="begin"/>
                          </w:r>
                          <w:r>
                            <w:instrText xml:space="preserve"> PAGE  \* MERGEFORMAT </w:instrText>
                          </w:r>
                          <w:r>
                            <w:fldChar w:fldCharType="separate"/>
                          </w:r>
                          <w:r>
                            <w:t>56</w:t>
                          </w:r>
                          <w:r>
                            <w:fldChar w:fldCharType="end"/>
                          </w:r>
                          <w: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wnAOg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8JwDoKwIAAFcEAAAOAAAAAAAAAAEAIAAAAB8BAABkcnMvZTJvRG9jLnhtbFBLBQYAAAAABgAG&#10;AFkBAAC8BQAAAAA=&#10;">
              <v:fill on="f" focussize="0,0"/>
              <v:stroke on="f" weight="0.5pt"/>
              <v:imagedata o:title=""/>
              <o:lock v:ext="edit" aspectratio="f"/>
              <v:textbox inset="0mm,0mm,0mm,0mm" style="mso-fit-shape-to-text:t;">
                <w:txbxContent>
                  <w:p>
                    <w:pPr>
                      <w:pStyle w:val="23"/>
                    </w:pPr>
                    <w:r>
                      <w:t xml:space="preserve">— </w:t>
                    </w:r>
                    <w:r>
                      <w:fldChar w:fldCharType="begin"/>
                    </w:r>
                    <w:r>
                      <w:instrText xml:space="preserve"> PAGE  \* MERGEFORMAT </w:instrText>
                    </w:r>
                    <w:r>
                      <w:fldChar w:fldCharType="separate"/>
                    </w:r>
                    <w:r>
                      <w:t>56</w:t>
                    </w:r>
                    <w:r>
                      <w:fldChar w:fldCharType="end"/>
                    </w:r>
                    <w:r>
                      <w:t xml:space="preserve"> —</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right="360" w:firstLine="360"/>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3"/>
                          </w:pPr>
                          <w:r>
                            <w:t xml:space="preserve">— </w:t>
                          </w:r>
                          <w:r>
                            <w:fldChar w:fldCharType="begin"/>
                          </w:r>
                          <w:r>
                            <w:instrText xml:space="preserve"> PAGE  \* MERGEFORMAT </w:instrText>
                          </w:r>
                          <w:r>
                            <w:fldChar w:fldCharType="separate"/>
                          </w:r>
                          <w:r>
                            <w:t>72</w:t>
                          </w:r>
                          <w:r>
                            <w:fldChar w:fldCharType="end"/>
                          </w:r>
                          <w: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8ZWvQtAgAAVwQAAA4AAABkcnMvZTJvRG9jLnhtbK1UzY7TMBC+I/EO&#10;lu80adGu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8ZWvQtAgAAVwQAAA4AAAAAAAAAAQAgAAAAHwEAAGRycy9lMm9Eb2MueG1sUEsFBgAAAAAG&#10;AAYAWQEAAL4FAAAAAA==&#10;">
              <v:fill on="f" focussize="0,0"/>
              <v:stroke on="f" weight="0.5pt"/>
              <v:imagedata o:title=""/>
              <o:lock v:ext="edit" aspectratio="f"/>
              <v:textbox inset="0mm,0mm,0mm,0mm" style="mso-fit-shape-to-text:t;">
                <w:txbxContent>
                  <w:p>
                    <w:pPr>
                      <w:pStyle w:val="23"/>
                    </w:pPr>
                    <w:r>
                      <w:t xml:space="preserve">— </w:t>
                    </w:r>
                    <w:r>
                      <w:fldChar w:fldCharType="begin"/>
                    </w:r>
                    <w:r>
                      <w:instrText xml:space="preserve"> PAGE  \* MERGEFORMAT </w:instrText>
                    </w:r>
                    <w:r>
                      <w:fldChar w:fldCharType="separate"/>
                    </w:r>
                    <w:r>
                      <w:t>72</w:t>
                    </w:r>
                    <w:r>
                      <w:fldChar w:fldCharType="end"/>
                    </w:r>
                    <w:r>
                      <w:t xml:space="preserve"> —</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808947B"/>
    <w:multiLevelType w:val="singleLevel"/>
    <w:tmpl w:val="B808947B"/>
    <w:lvl w:ilvl="0" w:tentative="0">
      <w:start w:val="7"/>
      <w:numFmt w:val="decimal"/>
      <w:suff w:val="nothing"/>
      <w:lvlText w:val="%1、"/>
      <w:lvlJc w:val="left"/>
    </w:lvl>
  </w:abstractNum>
  <w:abstractNum w:abstractNumId="1">
    <w:nsid w:val="C22404F1"/>
    <w:multiLevelType w:val="singleLevel"/>
    <w:tmpl w:val="C22404F1"/>
    <w:lvl w:ilvl="0" w:tentative="0">
      <w:start w:val="1"/>
      <w:numFmt w:val="decimal"/>
      <w:suff w:val="nothing"/>
      <w:lvlText w:val="（%1）"/>
      <w:lvlJc w:val="left"/>
      <w:rPr>
        <w:rFonts w:hint="default" w:ascii="Times New Roman" w:hAnsi="Times New Roman" w:eastAsia="宋体" w:cs="Times New Roman"/>
      </w:rPr>
    </w:lvl>
  </w:abstractNum>
  <w:abstractNum w:abstractNumId="2">
    <w:nsid w:val="E4ECAC45"/>
    <w:multiLevelType w:val="singleLevel"/>
    <w:tmpl w:val="E4ECAC45"/>
    <w:lvl w:ilvl="0" w:tentative="0">
      <w:start w:val="1"/>
      <w:numFmt w:val="chineseCounting"/>
      <w:suff w:val="nothing"/>
      <w:lvlText w:val="%1、"/>
      <w:lvlJc w:val="left"/>
      <w:rPr>
        <w:rFonts w:hint="eastAsia"/>
      </w:rPr>
    </w:lvl>
  </w:abstractNum>
  <w:abstractNum w:abstractNumId="3">
    <w:nsid w:val="260B1415"/>
    <w:multiLevelType w:val="singleLevel"/>
    <w:tmpl w:val="260B1415"/>
    <w:lvl w:ilvl="0" w:tentative="0">
      <w:start w:val="1"/>
      <w:numFmt w:val="decimal"/>
      <w:suff w:val="nothing"/>
      <w:lvlText w:val="%1、"/>
      <w:lvlJc w:val="left"/>
    </w:lvl>
  </w:abstractNum>
  <w:abstractNum w:abstractNumId="4">
    <w:nsid w:val="506C768C"/>
    <w:multiLevelType w:val="singleLevel"/>
    <w:tmpl w:val="506C768C"/>
    <w:lvl w:ilvl="0" w:tentative="0">
      <w:start w:val="1"/>
      <w:numFmt w:val="bullet"/>
      <w:pStyle w:val="13"/>
      <w:lvlText w:val=""/>
      <w:lvlJc w:val="left"/>
      <w:pPr>
        <w:tabs>
          <w:tab w:val="left" w:pos="780"/>
        </w:tabs>
        <w:ind w:left="780" w:hanging="360"/>
      </w:pPr>
      <w:rPr>
        <w:rFonts w:hint="default" w:ascii="Wingdings" w:hAnsi="Wingdings"/>
      </w:rPr>
    </w:lvl>
  </w:abstractNum>
  <w:abstractNum w:abstractNumId="5">
    <w:nsid w:val="569C9BB5"/>
    <w:multiLevelType w:val="singleLevel"/>
    <w:tmpl w:val="569C9BB5"/>
    <w:lvl w:ilvl="0" w:tentative="0">
      <w:start w:val="1"/>
      <w:numFmt w:val="decimal"/>
      <w:suff w:val="nothing"/>
      <w:lvlText w:val="%1、"/>
      <w:lvlJc w:val="left"/>
    </w:lvl>
  </w:abstractNum>
  <w:abstractNum w:abstractNumId="6">
    <w:nsid w:val="7600BA1F"/>
    <w:multiLevelType w:val="singleLevel"/>
    <w:tmpl w:val="7600BA1F"/>
    <w:lvl w:ilvl="0" w:tentative="0">
      <w:start w:val="2"/>
      <w:numFmt w:val="decimal"/>
      <w:suff w:val="nothing"/>
      <w:lvlText w:val="（%1）"/>
      <w:lvlJc w:val="left"/>
    </w:lvl>
  </w:abstractNum>
  <w:num w:numId="1">
    <w:abstractNumId w:val="4"/>
  </w:num>
  <w:num w:numId="2">
    <w:abstractNumId w:val="1"/>
  </w:num>
  <w:num w:numId="3">
    <w:abstractNumId w:val="0"/>
  </w:num>
  <w:num w:numId="4">
    <w:abstractNumId w:val="6"/>
  </w:num>
  <w:num w:numId="5">
    <w:abstractNumId w:val="2"/>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c2ODRiMjUxYjA4NDgwZTJlYzNhODM1OGIyODJmMjQifQ=="/>
    <w:docVar w:name="KSO_WPS_MARK_KEY" w:val="b954bfc9-759f-49fa-8ca7-a4ae8d66533a"/>
  </w:docVars>
  <w:rsids>
    <w:rsidRoot w:val="7B796086"/>
    <w:rsid w:val="00007124"/>
    <w:rsid w:val="00054B17"/>
    <w:rsid w:val="00057872"/>
    <w:rsid w:val="0006118D"/>
    <w:rsid w:val="0008077A"/>
    <w:rsid w:val="000E5134"/>
    <w:rsid w:val="00145176"/>
    <w:rsid w:val="0018233A"/>
    <w:rsid w:val="00194492"/>
    <w:rsid w:val="001A378E"/>
    <w:rsid w:val="001C1E0A"/>
    <w:rsid w:val="002739CB"/>
    <w:rsid w:val="002C1039"/>
    <w:rsid w:val="002D342F"/>
    <w:rsid w:val="002D6EB3"/>
    <w:rsid w:val="003147BC"/>
    <w:rsid w:val="003372F4"/>
    <w:rsid w:val="00370E46"/>
    <w:rsid w:val="003C2408"/>
    <w:rsid w:val="00450CC4"/>
    <w:rsid w:val="004516B0"/>
    <w:rsid w:val="004972A7"/>
    <w:rsid w:val="004A1AC6"/>
    <w:rsid w:val="004A79A4"/>
    <w:rsid w:val="004D4BFD"/>
    <w:rsid w:val="004E7415"/>
    <w:rsid w:val="00506D0D"/>
    <w:rsid w:val="00507C29"/>
    <w:rsid w:val="005123D3"/>
    <w:rsid w:val="00515B10"/>
    <w:rsid w:val="00537435"/>
    <w:rsid w:val="005B0D5C"/>
    <w:rsid w:val="005D1D91"/>
    <w:rsid w:val="005F45A7"/>
    <w:rsid w:val="00640621"/>
    <w:rsid w:val="006553A7"/>
    <w:rsid w:val="00691C58"/>
    <w:rsid w:val="006D3816"/>
    <w:rsid w:val="006E0F35"/>
    <w:rsid w:val="007800F2"/>
    <w:rsid w:val="00794E91"/>
    <w:rsid w:val="007C0F93"/>
    <w:rsid w:val="007D12BC"/>
    <w:rsid w:val="008453A0"/>
    <w:rsid w:val="00894657"/>
    <w:rsid w:val="008D69B6"/>
    <w:rsid w:val="008E0B4C"/>
    <w:rsid w:val="00921EA0"/>
    <w:rsid w:val="00994BC6"/>
    <w:rsid w:val="009B29AC"/>
    <w:rsid w:val="009E3507"/>
    <w:rsid w:val="009E720D"/>
    <w:rsid w:val="00A373BD"/>
    <w:rsid w:val="00A442F8"/>
    <w:rsid w:val="00A51D83"/>
    <w:rsid w:val="00A704B2"/>
    <w:rsid w:val="00A732DE"/>
    <w:rsid w:val="00A95CB8"/>
    <w:rsid w:val="00B45E62"/>
    <w:rsid w:val="00B80F69"/>
    <w:rsid w:val="00B84DCA"/>
    <w:rsid w:val="00C005A8"/>
    <w:rsid w:val="00C07C72"/>
    <w:rsid w:val="00C560C5"/>
    <w:rsid w:val="00C6325D"/>
    <w:rsid w:val="00CC2E3F"/>
    <w:rsid w:val="00D20DC2"/>
    <w:rsid w:val="00D61B7B"/>
    <w:rsid w:val="00DA65F3"/>
    <w:rsid w:val="00DB3ED0"/>
    <w:rsid w:val="00DE37A4"/>
    <w:rsid w:val="00DF760C"/>
    <w:rsid w:val="00E13168"/>
    <w:rsid w:val="00E21D5D"/>
    <w:rsid w:val="00E5696C"/>
    <w:rsid w:val="00E71F4E"/>
    <w:rsid w:val="00EB47FB"/>
    <w:rsid w:val="00EC42B0"/>
    <w:rsid w:val="00ED5E90"/>
    <w:rsid w:val="00F43CEA"/>
    <w:rsid w:val="00F62F8E"/>
    <w:rsid w:val="00F65235"/>
    <w:rsid w:val="00F7378E"/>
    <w:rsid w:val="00FA0C43"/>
    <w:rsid w:val="00FB75B5"/>
    <w:rsid w:val="00FF4A40"/>
    <w:rsid w:val="01985B40"/>
    <w:rsid w:val="01B16FAE"/>
    <w:rsid w:val="01EF7005"/>
    <w:rsid w:val="028A071B"/>
    <w:rsid w:val="02A50162"/>
    <w:rsid w:val="02D7586C"/>
    <w:rsid w:val="02E83928"/>
    <w:rsid w:val="03906A9D"/>
    <w:rsid w:val="0408178B"/>
    <w:rsid w:val="04C235F7"/>
    <w:rsid w:val="04CE1D11"/>
    <w:rsid w:val="04F149A3"/>
    <w:rsid w:val="04F24DFF"/>
    <w:rsid w:val="05A174BF"/>
    <w:rsid w:val="05C139DC"/>
    <w:rsid w:val="05C66753"/>
    <w:rsid w:val="05F0076F"/>
    <w:rsid w:val="0602380D"/>
    <w:rsid w:val="06854496"/>
    <w:rsid w:val="07CD1B86"/>
    <w:rsid w:val="07FA6B68"/>
    <w:rsid w:val="080F4DDF"/>
    <w:rsid w:val="087201BA"/>
    <w:rsid w:val="089808CE"/>
    <w:rsid w:val="08C9711E"/>
    <w:rsid w:val="09EA63BF"/>
    <w:rsid w:val="0ACD0880"/>
    <w:rsid w:val="0C4001D1"/>
    <w:rsid w:val="0C6E25C3"/>
    <w:rsid w:val="0D036D92"/>
    <w:rsid w:val="0E1D0530"/>
    <w:rsid w:val="0E277F3A"/>
    <w:rsid w:val="0F73260B"/>
    <w:rsid w:val="106311F1"/>
    <w:rsid w:val="10AD3CE3"/>
    <w:rsid w:val="11116FB2"/>
    <w:rsid w:val="11F413EE"/>
    <w:rsid w:val="1272421A"/>
    <w:rsid w:val="12765020"/>
    <w:rsid w:val="13026C78"/>
    <w:rsid w:val="137637C4"/>
    <w:rsid w:val="139202A2"/>
    <w:rsid w:val="14151024"/>
    <w:rsid w:val="149172AB"/>
    <w:rsid w:val="152672BF"/>
    <w:rsid w:val="154E39BB"/>
    <w:rsid w:val="15691F92"/>
    <w:rsid w:val="158C6A8C"/>
    <w:rsid w:val="15E16AB8"/>
    <w:rsid w:val="16553197"/>
    <w:rsid w:val="16FB38D9"/>
    <w:rsid w:val="174D6D10"/>
    <w:rsid w:val="17C375A5"/>
    <w:rsid w:val="186212B0"/>
    <w:rsid w:val="18F34855"/>
    <w:rsid w:val="193276F9"/>
    <w:rsid w:val="19F5679F"/>
    <w:rsid w:val="1A164AAA"/>
    <w:rsid w:val="1A554870"/>
    <w:rsid w:val="1B271C79"/>
    <w:rsid w:val="1B28788F"/>
    <w:rsid w:val="1B436E9E"/>
    <w:rsid w:val="1BA1319F"/>
    <w:rsid w:val="1CA10DA6"/>
    <w:rsid w:val="1E3D7ACC"/>
    <w:rsid w:val="1E4540B5"/>
    <w:rsid w:val="1F23290C"/>
    <w:rsid w:val="1FBA793E"/>
    <w:rsid w:val="203653A4"/>
    <w:rsid w:val="20DE2ABE"/>
    <w:rsid w:val="21170D84"/>
    <w:rsid w:val="211F2B20"/>
    <w:rsid w:val="216E2391"/>
    <w:rsid w:val="22C00CF5"/>
    <w:rsid w:val="23DE61AE"/>
    <w:rsid w:val="23FB73F6"/>
    <w:rsid w:val="24131D34"/>
    <w:rsid w:val="250C59D0"/>
    <w:rsid w:val="252F790F"/>
    <w:rsid w:val="255F27B8"/>
    <w:rsid w:val="26180D00"/>
    <w:rsid w:val="26663961"/>
    <w:rsid w:val="27056434"/>
    <w:rsid w:val="272B4E4A"/>
    <w:rsid w:val="275C3465"/>
    <w:rsid w:val="27A06ED6"/>
    <w:rsid w:val="27B64F23"/>
    <w:rsid w:val="27E72279"/>
    <w:rsid w:val="280E1DB6"/>
    <w:rsid w:val="28224851"/>
    <w:rsid w:val="2898178B"/>
    <w:rsid w:val="28A65C60"/>
    <w:rsid w:val="28E324D1"/>
    <w:rsid w:val="28F146E7"/>
    <w:rsid w:val="29171565"/>
    <w:rsid w:val="29723598"/>
    <w:rsid w:val="29B9631A"/>
    <w:rsid w:val="29BA481A"/>
    <w:rsid w:val="29CE7F04"/>
    <w:rsid w:val="29F77995"/>
    <w:rsid w:val="2A1C33F4"/>
    <w:rsid w:val="2A353648"/>
    <w:rsid w:val="2AAC3832"/>
    <w:rsid w:val="2B43705C"/>
    <w:rsid w:val="2B6A1CCC"/>
    <w:rsid w:val="2B857CFC"/>
    <w:rsid w:val="2BBE5197"/>
    <w:rsid w:val="2BC756FF"/>
    <w:rsid w:val="2C192668"/>
    <w:rsid w:val="2C4A164D"/>
    <w:rsid w:val="2C634B30"/>
    <w:rsid w:val="2CF30815"/>
    <w:rsid w:val="2D0500BB"/>
    <w:rsid w:val="2D674C5B"/>
    <w:rsid w:val="2D710E9D"/>
    <w:rsid w:val="2DCE162A"/>
    <w:rsid w:val="2E273DA7"/>
    <w:rsid w:val="2E36660D"/>
    <w:rsid w:val="2FF25B39"/>
    <w:rsid w:val="30081DDF"/>
    <w:rsid w:val="30B1460D"/>
    <w:rsid w:val="322950FE"/>
    <w:rsid w:val="332013E8"/>
    <w:rsid w:val="3449571F"/>
    <w:rsid w:val="348B2A6F"/>
    <w:rsid w:val="34D13F91"/>
    <w:rsid w:val="35165BC4"/>
    <w:rsid w:val="355F0861"/>
    <w:rsid w:val="358359E8"/>
    <w:rsid w:val="35A87406"/>
    <w:rsid w:val="35C52437"/>
    <w:rsid w:val="36772469"/>
    <w:rsid w:val="36C70206"/>
    <w:rsid w:val="36C8510A"/>
    <w:rsid w:val="37074802"/>
    <w:rsid w:val="370F0D7A"/>
    <w:rsid w:val="37224D07"/>
    <w:rsid w:val="37DF0E8E"/>
    <w:rsid w:val="380024A5"/>
    <w:rsid w:val="38F4304F"/>
    <w:rsid w:val="392A704A"/>
    <w:rsid w:val="393076F1"/>
    <w:rsid w:val="39DB5E32"/>
    <w:rsid w:val="3A5538CA"/>
    <w:rsid w:val="3A5C5096"/>
    <w:rsid w:val="3A5F1C27"/>
    <w:rsid w:val="3A7776CA"/>
    <w:rsid w:val="3AB2175A"/>
    <w:rsid w:val="3ABA3AD2"/>
    <w:rsid w:val="3ACA1DDF"/>
    <w:rsid w:val="3AD957E5"/>
    <w:rsid w:val="3B227670"/>
    <w:rsid w:val="3B5824C6"/>
    <w:rsid w:val="3B5B3BE6"/>
    <w:rsid w:val="3B9E084E"/>
    <w:rsid w:val="3BF62EF4"/>
    <w:rsid w:val="3CBC372F"/>
    <w:rsid w:val="3CD95F88"/>
    <w:rsid w:val="3DAF73CF"/>
    <w:rsid w:val="3EE953CA"/>
    <w:rsid w:val="3F584DEC"/>
    <w:rsid w:val="3F8670C2"/>
    <w:rsid w:val="3FF65CE8"/>
    <w:rsid w:val="40465E67"/>
    <w:rsid w:val="406218E2"/>
    <w:rsid w:val="408B1353"/>
    <w:rsid w:val="412957D9"/>
    <w:rsid w:val="41345B4E"/>
    <w:rsid w:val="41551705"/>
    <w:rsid w:val="421F41F1"/>
    <w:rsid w:val="426B0BD2"/>
    <w:rsid w:val="43C93D2E"/>
    <w:rsid w:val="43D82C6A"/>
    <w:rsid w:val="441B2DB7"/>
    <w:rsid w:val="450A681C"/>
    <w:rsid w:val="45207CE2"/>
    <w:rsid w:val="456D4BBA"/>
    <w:rsid w:val="457F0F0E"/>
    <w:rsid w:val="46285E86"/>
    <w:rsid w:val="47413F5D"/>
    <w:rsid w:val="47810802"/>
    <w:rsid w:val="48F65E85"/>
    <w:rsid w:val="4A2B7AC9"/>
    <w:rsid w:val="4A5253A9"/>
    <w:rsid w:val="4AD42FA1"/>
    <w:rsid w:val="4B8C017E"/>
    <w:rsid w:val="4CD530CB"/>
    <w:rsid w:val="4D2962CA"/>
    <w:rsid w:val="4E876A24"/>
    <w:rsid w:val="4EA21F64"/>
    <w:rsid w:val="4ED60DD5"/>
    <w:rsid w:val="4F68131B"/>
    <w:rsid w:val="4FC0480D"/>
    <w:rsid w:val="502D0EC8"/>
    <w:rsid w:val="51B20AB9"/>
    <w:rsid w:val="528B5BE9"/>
    <w:rsid w:val="52A73EB3"/>
    <w:rsid w:val="52CA6A2A"/>
    <w:rsid w:val="533A0C39"/>
    <w:rsid w:val="54050517"/>
    <w:rsid w:val="540D1938"/>
    <w:rsid w:val="541E4D88"/>
    <w:rsid w:val="543D488D"/>
    <w:rsid w:val="54795557"/>
    <w:rsid w:val="54D03218"/>
    <w:rsid w:val="555948DC"/>
    <w:rsid w:val="555A5692"/>
    <w:rsid w:val="555D15F1"/>
    <w:rsid w:val="57B65DAE"/>
    <w:rsid w:val="57BC1DA2"/>
    <w:rsid w:val="58A27550"/>
    <w:rsid w:val="58B462C4"/>
    <w:rsid w:val="58E85CD4"/>
    <w:rsid w:val="59CA6C6A"/>
    <w:rsid w:val="5A340893"/>
    <w:rsid w:val="5A6C206A"/>
    <w:rsid w:val="5AC6704D"/>
    <w:rsid w:val="5AE623A0"/>
    <w:rsid w:val="5B941609"/>
    <w:rsid w:val="5C433A76"/>
    <w:rsid w:val="5D4564A7"/>
    <w:rsid w:val="5EBF3E63"/>
    <w:rsid w:val="5EE9736B"/>
    <w:rsid w:val="60104DCE"/>
    <w:rsid w:val="60C867C8"/>
    <w:rsid w:val="60D73165"/>
    <w:rsid w:val="61FA5617"/>
    <w:rsid w:val="628258B3"/>
    <w:rsid w:val="64C00E21"/>
    <w:rsid w:val="64C13BAC"/>
    <w:rsid w:val="64D514CB"/>
    <w:rsid w:val="65D44108"/>
    <w:rsid w:val="660A761B"/>
    <w:rsid w:val="66505A74"/>
    <w:rsid w:val="6720477C"/>
    <w:rsid w:val="67EE7DA1"/>
    <w:rsid w:val="68F1602B"/>
    <w:rsid w:val="6B30625C"/>
    <w:rsid w:val="6B380B3D"/>
    <w:rsid w:val="6B6E08BB"/>
    <w:rsid w:val="6C171655"/>
    <w:rsid w:val="6C2124B4"/>
    <w:rsid w:val="6C9331D0"/>
    <w:rsid w:val="6CBC0814"/>
    <w:rsid w:val="6E1A4AB7"/>
    <w:rsid w:val="6E2E64D7"/>
    <w:rsid w:val="6ED22AE3"/>
    <w:rsid w:val="6F4A6BC7"/>
    <w:rsid w:val="6FF9720B"/>
    <w:rsid w:val="703D7BEE"/>
    <w:rsid w:val="70557243"/>
    <w:rsid w:val="709F0069"/>
    <w:rsid w:val="71744F81"/>
    <w:rsid w:val="72AC1CC9"/>
    <w:rsid w:val="72D83463"/>
    <w:rsid w:val="74100168"/>
    <w:rsid w:val="75835CD8"/>
    <w:rsid w:val="7639614F"/>
    <w:rsid w:val="77415EB3"/>
    <w:rsid w:val="776E07AE"/>
    <w:rsid w:val="77D80D8A"/>
    <w:rsid w:val="77E45C34"/>
    <w:rsid w:val="782D2AFE"/>
    <w:rsid w:val="78401290"/>
    <w:rsid w:val="785F3D7B"/>
    <w:rsid w:val="789C675D"/>
    <w:rsid w:val="790A4B7B"/>
    <w:rsid w:val="791C338F"/>
    <w:rsid w:val="794C34B9"/>
    <w:rsid w:val="799D31C3"/>
    <w:rsid w:val="7A311D0D"/>
    <w:rsid w:val="7A635C9C"/>
    <w:rsid w:val="7A717B3B"/>
    <w:rsid w:val="7B250B66"/>
    <w:rsid w:val="7B796086"/>
    <w:rsid w:val="7CAA219D"/>
    <w:rsid w:val="7CEC5AE4"/>
    <w:rsid w:val="7D460434"/>
    <w:rsid w:val="7D9A56C6"/>
    <w:rsid w:val="7DBA68C0"/>
    <w:rsid w:val="7F300728"/>
    <w:rsid w:val="7F451F7F"/>
    <w:rsid w:val="7FC614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qFormat="1"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qFormat="1" w:uiPriority="99"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17">
    <w:name w:val="heading 1"/>
    <w:basedOn w:val="1"/>
    <w:next w:val="1"/>
    <w:qFormat/>
    <w:uiPriority w:val="99"/>
    <w:pPr>
      <w:keepNext/>
      <w:overflowPunct w:val="0"/>
      <w:snapToGrid w:val="0"/>
      <w:spacing w:before="120" w:after="160" w:line="259" w:lineRule="auto"/>
      <w:ind w:left="432" w:hanging="432"/>
      <w:jc w:val="center"/>
      <w:outlineLvl w:val="0"/>
    </w:pPr>
    <w:rPr>
      <w:rFonts w:eastAsia="黑体"/>
      <w:b/>
      <w:bCs/>
      <w:color w:val="000000"/>
      <w:kern w:val="44"/>
      <w:sz w:val="30"/>
      <w:szCs w:val="30"/>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customStyle="1" w:styleId="2">
    <w:name w:val="Default"/>
    <w:basedOn w:val="3"/>
    <w:next w:val="5"/>
    <w:qFormat/>
    <w:uiPriority w:val="0"/>
    <w:pPr>
      <w:autoSpaceDE w:val="0"/>
      <w:autoSpaceDN w:val="0"/>
    </w:pPr>
    <w:rPr>
      <w:rFonts w:hAnsi="Times New Roman" w:cs="宋体"/>
      <w:color w:val="000000"/>
      <w:kern w:val="0"/>
      <w:sz w:val="24"/>
    </w:rPr>
  </w:style>
  <w:style w:type="paragraph" w:customStyle="1" w:styleId="3">
    <w:name w:val="纯文本1"/>
    <w:basedOn w:val="1"/>
    <w:next w:val="4"/>
    <w:qFormat/>
    <w:uiPriority w:val="0"/>
    <w:pPr>
      <w:adjustRightInd w:val="0"/>
      <w:textAlignment w:val="baseline"/>
    </w:pPr>
    <w:rPr>
      <w:rFonts w:ascii="宋体" w:hAnsi="Courier New"/>
    </w:rPr>
  </w:style>
  <w:style w:type="paragraph" w:styleId="4">
    <w:name w:val="Plain Text"/>
    <w:basedOn w:val="1"/>
    <w:next w:val="1"/>
    <w:qFormat/>
    <w:uiPriority w:val="0"/>
    <w:rPr>
      <w:rFonts w:ascii="宋体" w:hAnsi="Courier New"/>
      <w:szCs w:val="21"/>
    </w:rPr>
  </w:style>
  <w:style w:type="paragraph" w:customStyle="1" w:styleId="5">
    <w:name w:val="样式35"/>
    <w:basedOn w:val="6"/>
    <w:next w:val="7"/>
    <w:qFormat/>
    <w:uiPriority w:val="0"/>
    <w:pPr>
      <w:spacing w:line="312" w:lineRule="auto"/>
      <w:ind w:firstLine="567"/>
      <w:jc w:val="both"/>
    </w:pPr>
    <w:rPr>
      <w:rFonts w:ascii="宋体"/>
      <w:sz w:val="21"/>
      <w:szCs w:val="22"/>
    </w:rPr>
  </w:style>
  <w:style w:type="paragraph" w:customStyle="1" w:styleId="6">
    <w:name w:val="表 内容"/>
    <w:basedOn w:val="1"/>
    <w:qFormat/>
    <w:uiPriority w:val="0"/>
    <w:pPr>
      <w:spacing w:line="276" w:lineRule="auto"/>
      <w:jc w:val="center"/>
    </w:pPr>
    <w:rPr>
      <w:rFonts w:ascii="仿宋" w:hAnsi="仿宋" w:eastAsia="仿宋"/>
      <w:sz w:val="24"/>
    </w:rPr>
  </w:style>
  <w:style w:type="paragraph" w:customStyle="1" w:styleId="7">
    <w:name w:val="font6"/>
    <w:next w:val="8"/>
    <w:qFormat/>
    <w:uiPriority w:val="0"/>
    <w:pPr>
      <w:spacing w:before="280" w:after="280"/>
      <w:jc w:val="both"/>
    </w:pPr>
    <w:rPr>
      <w:rFonts w:ascii="Times New Roman" w:hAnsi="Times New Roman" w:eastAsia="宋体" w:cs="Times New Roman"/>
      <w:kern w:val="2"/>
      <w:sz w:val="21"/>
      <w:szCs w:val="22"/>
      <w:lang w:val="en-US" w:eastAsia="zh-CN" w:bidi="ar-SA"/>
    </w:rPr>
  </w:style>
  <w:style w:type="paragraph" w:styleId="8">
    <w:name w:val="toc 2"/>
    <w:basedOn w:val="1"/>
    <w:next w:val="9"/>
    <w:qFormat/>
    <w:uiPriority w:val="0"/>
    <w:pPr>
      <w:ind w:left="420" w:leftChars="200"/>
    </w:pPr>
  </w:style>
  <w:style w:type="paragraph" w:styleId="9">
    <w:name w:val="E-mail Signature"/>
    <w:basedOn w:val="1"/>
    <w:next w:val="10"/>
    <w:unhideWhenUsed/>
    <w:qFormat/>
    <w:uiPriority w:val="99"/>
    <w:pPr>
      <w:spacing w:line="460" w:lineRule="exact"/>
      <w:ind w:firstLine="200"/>
    </w:pPr>
    <w:rPr>
      <w:rFonts w:ascii="Times New Roman" w:hAnsi="Times New Roman" w:cs="Times New Roman"/>
    </w:rPr>
  </w:style>
  <w:style w:type="paragraph" w:customStyle="1" w:styleId="10">
    <w:name w:val="文章"/>
    <w:basedOn w:val="11"/>
    <w:next w:val="12"/>
    <w:qFormat/>
    <w:uiPriority w:val="0"/>
    <w:pPr>
      <w:ind w:firstLine="480"/>
      <w:jc w:val="center"/>
    </w:pPr>
    <w:rPr>
      <w:rFonts w:ascii="Times New Roman" w:hAnsi="Times New Roman" w:eastAsia="宋体" w:cs="Times New Roman"/>
      <w:kern w:val="2"/>
      <w:sz w:val="26"/>
      <w:szCs w:val="22"/>
    </w:rPr>
  </w:style>
  <w:style w:type="paragraph" w:styleId="11">
    <w:name w:val="Body Text Indent"/>
    <w:basedOn w:val="1"/>
    <w:qFormat/>
    <w:uiPriority w:val="0"/>
    <w:pPr>
      <w:spacing w:after="120"/>
      <w:ind w:left="420" w:leftChars="200"/>
    </w:pPr>
    <w:rPr>
      <w:kern w:val="0"/>
      <w:sz w:val="24"/>
      <w:szCs w:val="20"/>
    </w:rPr>
  </w:style>
  <w:style w:type="paragraph" w:styleId="12">
    <w:name w:val="List"/>
    <w:basedOn w:val="1"/>
    <w:next w:val="13"/>
    <w:qFormat/>
    <w:uiPriority w:val="0"/>
    <w:pPr>
      <w:ind w:left="200" w:hanging="200" w:hangingChars="200"/>
    </w:pPr>
  </w:style>
  <w:style w:type="paragraph" w:styleId="13">
    <w:name w:val="List Bullet 2"/>
    <w:basedOn w:val="1"/>
    <w:next w:val="14"/>
    <w:qFormat/>
    <w:uiPriority w:val="0"/>
    <w:pPr>
      <w:numPr>
        <w:ilvl w:val="0"/>
        <w:numId w:val="1"/>
      </w:numPr>
    </w:pPr>
  </w:style>
  <w:style w:type="paragraph" w:customStyle="1" w:styleId="14">
    <w:name w:val="xl70"/>
    <w:basedOn w:val="1"/>
    <w:next w:val="15"/>
    <w:qFormat/>
    <w:uiPriority w:val="0"/>
    <w:pPr>
      <w:widowControl/>
      <w:spacing w:before="280" w:after="280"/>
    </w:pPr>
    <w:rPr>
      <w:rFonts w:ascii="宋体"/>
    </w:rPr>
  </w:style>
  <w:style w:type="paragraph" w:customStyle="1" w:styleId="15">
    <w:name w:val="正文缩进1"/>
    <w:basedOn w:val="1"/>
    <w:next w:val="16"/>
    <w:qFormat/>
    <w:uiPriority w:val="0"/>
    <w:pPr>
      <w:ind w:firstLine="420"/>
    </w:pPr>
    <w:rPr>
      <w:rFonts w:ascii="宋体"/>
      <w:sz w:val="28"/>
    </w:rPr>
  </w:style>
  <w:style w:type="paragraph" w:customStyle="1" w:styleId="16">
    <w:name w:val="td1"/>
    <w:basedOn w:val="1"/>
    <w:next w:val="1"/>
    <w:qFormat/>
    <w:uiPriority w:val="0"/>
    <w:pPr>
      <w:widowControl/>
      <w:spacing w:before="280" w:after="280" w:line="300" w:lineRule="atLeast"/>
      <w:ind w:firstLine="200"/>
    </w:pPr>
    <w:rPr>
      <w:color w:val="000000"/>
      <w:sz w:val="18"/>
    </w:rPr>
  </w:style>
  <w:style w:type="paragraph" w:styleId="18">
    <w:name w:val="Normal Indent"/>
    <w:basedOn w:val="1"/>
    <w:unhideWhenUsed/>
    <w:qFormat/>
    <w:uiPriority w:val="99"/>
    <w:pPr>
      <w:ind w:firstLine="420" w:firstLineChars="200"/>
    </w:pPr>
  </w:style>
  <w:style w:type="paragraph" w:styleId="19">
    <w:name w:val="annotation text"/>
    <w:basedOn w:val="1"/>
    <w:link w:val="48"/>
    <w:qFormat/>
    <w:uiPriority w:val="0"/>
    <w:pPr>
      <w:jc w:val="left"/>
    </w:pPr>
  </w:style>
  <w:style w:type="paragraph" w:styleId="20">
    <w:name w:val="Body Text"/>
    <w:basedOn w:val="1"/>
    <w:qFormat/>
    <w:uiPriority w:val="0"/>
    <w:pPr>
      <w:widowControl/>
      <w:snapToGrid w:val="0"/>
      <w:spacing w:before="60" w:after="160" w:line="259" w:lineRule="auto"/>
      <w:ind w:right="113"/>
    </w:pPr>
    <w:rPr>
      <w:kern w:val="0"/>
      <w:sz w:val="18"/>
      <w:szCs w:val="20"/>
    </w:rPr>
  </w:style>
  <w:style w:type="paragraph" w:styleId="21">
    <w:name w:val="Body Text Indent 2"/>
    <w:basedOn w:val="1"/>
    <w:qFormat/>
    <w:uiPriority w:val="0"/>
    <w:pPr>
      <w:spacing w:line="360" w:lineRule="exact"/>
      <w:ind w:firstLine="562" w:firstLineChars="200"/>
    </w:pPr>
    <w:rPr>
      <w:rFonts w:eastAsia="楷体_GB2312"/>
      <w:b/>
      <w:bCs/>
      <w:sz w:val="28"/>
    </w:rPr>
  </w:style>
  <w:style w:type="paragraph" w:styleId="22">
    <w:name w:val="Balloon Text"/>
    <w:basedOn w:val="1"/>
    <w:link w:val="55"/>
    <w:qFormat/>
    <w:uiPriority w:val="0"/>
    <w:rPr>
      <w:sz w:val="18"/>
      <w:szCs w:val="18"/>
    </w:rPr>
  </w:style>
  <w:style w:type="paragraph" w:styleId="23">
    <w:name w:val="footer"/>
    <w:basedOn w:val="1"/>
    <w:qFormat/>
    <w:uiPriority w:val="99"/>
    <w:pPr>
      <w:tabs>
        <w:tab w:val="center" w:pos="4153"/>
        <w:tab w:val="right" w:pos="8306"/>
      </w:tabs>
      <w:snapToGrid w:val="0"/>
      <w:jc w:val="left"/>
    </w:pPr>
    <w:rPr>
      <w:kern w:val="0"/>
      <w:sz w:val="18"/>
      <w:szCs w:val="20"/>
    </w:rPr>
  </w:style>
  <w:style w:type="paragraph" w:styleId="24">
    <w:name w:val="header"/>
    <w:basedOn w:val="1"/>
    <w:qFormat/>
    <w:uiPriority w:val="0"/>
    <w:pPr>
      <w:pBdr>
        <w:bottom w:val="single" w:color="auto" w:sz="6" w:space="1"/>
      </w:pBdr>
      <w:tabs>
        <w:tab w:val="center" w:pos="4153"/>
        <w:tab w:val="right" w:pos="8306"/>
      </w:tabs>
      <w:snapToGrid w:val="0"/>
      <w:jc w:val="center"/>
    </w:pPr>
    <w:rPr>
      <w:kern w:val="0"/>
      <w:sz w:val="18"/>
      <w:szCs w:val="20"/>
    </w:rPr>
  </w:style>
  <w:style w:type="paragraph" w:styleId="25">
    <w:name w:val="toc 1"/>
    <w:basedOn w:val="1"/>
    <w:next w:val="1"/>
    <w:qFormat/>
    <w:uiPriority w:val="0"/>
  </w:style>
  <w:style w:type="paragraph" w:styleId="26">
    <w:name w:val="Normal (Web)"/>
    <w:basedOn w:val="1"/>
    <w:qFormat/>
    <w:uiPriority w:val="0"/>
    <w:pPr>
      <w:widowControl/>
      <w:spacing w:before="100" w:beforeAutospacing="1" w:after="100" w:afterAutospacing="1"/>
      <w:jc w:val="left"/>
    </w:pPr>
    <w:rPr>
      <w:rFonts w:ascii="宋体" w:hAnsi="宋体"/>
      <w:kern w:val="0"/>
      <w:sz w:val="24"/>
      <w:szCs w:val="20"/>
    </w:rPr>
  </w:style>
  <w:style w:type="paragraph" w:styleId="27">
    <w:name w:val="annotation subject"/>
    <w:basedOn w:val="19"/>
    <w:next w:val="19"/>
    <w:link w:val="49"/>
    <w:qFormat/>
    <w:uiPriority w:val="0"/>
    <w:rPr>
      <w:b/>
      <w:bCs/>
    </w:rPr>
  </w:style>
  <w:style w:type="paragraph" w:styleId="28">
    <w:name w:val="Body Text First Indent"/>
    <w:basedOn w:val="20"/>
    <w:qFormat/>
    <w:uiPriority w:val="0"/>
    <w:pPr>
      <w:adjustRightInd w:val="0"/>
      <w:spacing w:line="336" w:lineRule="auto"/>
      <w:ind w:firstLine="480" w:firstLineChars="200"/>
    </w:pPr>
    <w:rPr>
      <w:rFonts w:ascii="宋体" w:hAnsi="宋体"/>
      <w:sz w:val="24"/>
    </w:rPr>
  </w:style>
  <w:style w:type="table" w:styleId="30">
    <w:name w:val="Table Grid"/>
    <w:basedOn w:val="2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page number"/>
    <w:basedOn w:val="31"/>
    <w:qFormat/>
    <w:uiPriority w:val="0"/>
  </w:style>
  <w:style w:type="character" w:styleId="33">
    <w:name w:val="Hyperlink"/>
    <w:basedOn w:val="31"/>
    <w:qFormat/>
    <w:uiPriority w:val="0"/>
    <w:rPr>
      <w:color w:val="0000FF"/>
      <w:u w:val="single"/>
    </w:rPr>
  </w:style>
  <w:style w:type="character" w:styleId="34">
    <w:name w:val="annotation reference"/>
    <w:basedOn w:val="31"/>
    <w:semiHidden/>
    <w:qFormat/>
    <w:uiPriority w:val="0"/>
    <w:rPr>
      <w:sz w:val="21"/>
    </w:rPr>
  </w:style>
  <w:style w:type="paragraph" w:customStyle="1" w:styleId="35">
    <w:name w:val="Char Char Char Char Char Char Char"/>
    <w:basedOn w:val="1"/>
    <w:qFormat/>
    <w:uiPriority w:val="0"/>
    <w:pPr>
      <w:spacing w:line="560" w:lineRule="exact"/>
      <w:ind w:firstLine="200" w:firstLineChars="200"/>
    </w:pPr>
  </w:style>
  <w:style w:type="paragraph" w:customStyle="1" w:styleId="36">
    <w:name w:val="表格、图表名称"/>
    <w:basedOn w:val="1"/>
    <w:qFormat/>
    <w:uiPriority w:val="0"/>
    <w:pPr>
      <w:spacing w:line="360" w:lineRule="auto"/>
      <w:jc w:val="center"/>
    </w:pPr>
    <w:rPr>
      <w:b/>
      <w:kern w:val="0"/>
      <w:sz w:val="24"/>
      <w:szCs w:val="22"/>
    </w:rPr>
  </w:style>
  <w:style w:type="paragraph" w:customStyle="1" w:styleId="37">
    <w:name w:val="表格 32"/>
    <w:basedOn w:val="1"/>
    <w:qFormat/>
    <w:uiPriority w:val="0"/>
    <w:pPr>
      <w:widowControl/>
      <w:autoSpaceDE w:val="0"/>
      <w:autoSpaceDN w:val="0"/>
      <w:adjustRightInd w:val="0"/>
      <w:jc w:val="center"/>
      <w:textAlignment w:val="baseline"/>
    </w:pPr>
    <w:rPr>
      <w:rFonts w:ascii="宋体" w:hAnsi="Impact" w:cs="宋体"/>
      <w:kern w:val="24"/>
      <w:sz w:val="24"/>
      <w:szCs w:val="20"/>
    </w:rPr>
  </w:style>
  <w:style w:type="paragraph" w:customStyle="1" w:styleId="38">
    <w:name w:val="Other|1"/>
    <w:basedOn w:val="1"/>
    <w:qFormat/>
    <w:uiPriority w:val="0"/>
    <w:pPr>
      <w:spacing w:after="140" w:line="470" w:lineRule="auto"/>
    </w:pPr>
    <w:rPr>
      <w:rFonts w:ascii="宋体" w:hAnsi="宋体" w:eastAsia="宋体" w:cs="宋体"/>
      <w:color w:val="767976"/>
      <w:sz w:val="19"/>
      <w:szCs w:val="19"/>
      <w:lang w:val="zh-TW" w:eastAsia="zh-TW" w:bidi="zh-TW"/>
    </w:rPr>
  </w:style>
  <w:style w:type="paragraph" w:customStyle="1" w:styleId="39">
    <w:name w:val="Table Paragraph"/>
    <w:basedOn w:val="1"/>
    <w:qFormat/>
    <w:uiPriority w:val="0"/>
    <w:pPr>
      <w:autoSpaceDE w:val="0"/>
      <w:autoSpaceDN w:val="0"/>
      <w:adjustRightInd w:val="0"/>
      <w:jc w:val="left"/>
    </w:pPr>
    <w:rPr>
      <w:kern w:val="0"/>
    </w:rPr>
  </w:style>
  <w:style w:type="paragraph" w:customStyle="1" w:styleId="40">
    <w:name w:val="图表标题"/>
    <w:qFormat/>
    <w:uiPriority w:val="0"/>
    <w:pPr>
      <w:snapToGrid w:val="0"/>
      <w:jc w:val="center"/>
    </w:pPr>
    <w:rPr>
      <w:rFonts w:ascii="Times New Roman" w:hAnsi="Times New Roman" w:eastAsia="楷体_GB2312" w:cs="Times New Roman"/>
      <w:kern w:val="2"/>
      <w:sz w:val="24"/>
      <w:szCs w:val="24"/>
      <w:lang w:val="en-US" w:eastAsia="zh-CN" w:bidi="ar-SA"/>
    </w:rPr>
  </w:style>
  <w:style w:type="paragraph" w:customStyle="1" w:styleId="41">
    <w:name w:val="列表段落1"/>
    <w:basedOn w:val="1"/>
    <w:qFormat/>
    <w:uiPriority w:val="0"/>
    <w:pPr>
      <w:ind w:firstLine="420"/>
    </w:pPr>
  </w:style>
  <w:style w:type="paragraph" w:customStyle="1" w:styleId="42">
    <w:name w:val="表格文字"/>
    <w:basedOn w:val="1"/>
    <w:qFormat/>
    <w:uiPriority w:val="0"/>
    <w:rPr>
      <w:rFonts w:cs="宋体"/>
      <w:b/>
      <w:szCs w:val="20"/>
    </w:rPr>
  </w:style>
  <w:style w:type="paragraph" w:customStyle="1" w:styleId="43">
    <w:name w:val="Other|2"/>
    <w:basedOn w:val="1"/>
    <w:qFormat/>
    <w:uiPriority w:val="0"/>
    <w:pPr>
      <w:spacing w:before="100"/>
      <w:jc w:val="center"/>
    </w:pPr>
    <w:rPr>
      <w:rFonts w:ascii="宋体" w:hAnsi="宋体" w:eastAsia="宋体" w:cs="宋体"/>
      <w:lang w:val="zh-TW" w:eastAsia="zh-TW" w:bidi="zh-TW"/>
    </w:rPr>
  </w:style>
  <w:style w:type="character" w:customStyle="1" w:styleId="44">
    <w:name w:val="font41"/>
    <w:basedOn w:val="31"/>
    <w:qFormat/>
    <w:uiPriority w:val="0"/>
    <w:rPr>
      <w:rFonts w:hint="default" w:ascii="Times New Roman" w:hAnsi="Times New Roman" w:cs="Times New Roman"/>
      <w:color w:val="000000"/>
      <w:sz w:val="21"/>
      <w:szCs w:val="21"/>
      <w:u w:val="none"/>
    </w:rPr>
  </w:style>
  <w:style w:type="paragraph" w:customStyle="1" w:styleId="45">
    <w:name w:val="Char4"/>
    <w:basedOn w:val="1"/>
    <w:qFormat/>
    <w:uiPriority w:val="0"/>
    <w:rPr>
      <w:sz w:val="24"/>
    </w:rPr>
  </w:style>
  <w:style w:type="paragraph" w:customStyle="1" w:styleId="46">
    <w:name w:val="表格"/>
    <w:basedOn w:val="1"/>
    <w:next w:val="1"/>
    <w:qFormat/>
    <w:uiPriority w:val="0"/>
    <w:pPr>
      <w:adjustRightInd w:val="0"/>
      <w:snapToGrid w:val="0"/>
      <w:spacing w:beforeLines="10" w:afterLines="10" w:line="259" w:lineRule="auto"/>
      <w:jc w:val="center"/>
    </w:pPr>
    <w:rPr>
      <w:rFonts w:ascii="宋体"/>
      <w:kern w:val="0"/>
      <w:szCs w:val="20"/>
    </w:rPr>
  </w:style>
  <w:style w:type="paragraph" w:customStyle="1" w:styleId="47">
    <w:name w:val="WPSOffice手动目录 1"/>
    <w:qFormat/>
    <w:uiPriority w:val="0"/>
    <w:rPr>
      <w:rFonts w:ascii="Times New Roman" w:hAnsi="Times New Roman" w:eastAsia="宋体" w:cs="Times New Roman"/>
      <w:lang w:val="en-US" w:eastAsia="zh-CN" w:bidi="ar-SA"/>
    </w:rPr>
  </w:style>
  <w:style w:type="character" w:customStyle="1" w:styleId="48">
    <w:name w:val="批注文字 字符"/>
    <w:basedOn w:val="31"/>
    <w:link w:val="19"/>
    <w:qFormat/>
    <w:uiPriority w:val="0"/>
    <w:rPr>
      <w:rFonts w:asciiTheme="minorHAnsi" w:hAnsiTheme="minorHAnsi" w:eastAsiaTheme="minorEastAsia" w:cstheme="minorBidi"/>
      <w:kern w:val="2"/>
      <w:sz w:val="21"/>
      <w:szCs w:val="24"/>
    </w:rPr>
  </w:style>
  <w:style w:type="character" w:customStyle="1" w:styleId="49">
    <w:name w:val="批注主题 字符"/>
    <w:basedOn w:val="48"/>
    <w:link w:val="27"/>
    <w:qFormat/>
    <w:uiPriority w:val="0"/>
    <w:rPr>
      <w:rFonts w:asciiTheme="minorHAnsi" w:hAnsiTheme="minorHAnsi" w:eastAsiaTheme="minorEastAsia" w:cstheme="minorBidi"/>
      <w:b/>
      <w:bCs/>
      <w:kern w:val="2"/>
      <w:sz w:val="21"/>
      <w:szCs w:val="24"/>
    </w:rPr>
  </w:style>
  <w:style w:type="character" w:customStyle="1" w:styleId="50">
    <w:name w:val="font31"/>
    <w:basedOn w:val="31"/>
    <w:qFormat/>
    <w:uiPriority w:val="0"/>
    <w:rPr>
      <w:rFonts w:hint="eastAsia" w:ascii="宋体" w:hAnsi="宋体" w:eastAsia="宋体" w:cs="宋体"/>
      <w:color w:val="000000"/>
      <w:sz w:val="24"/>
      <w:szCs w:val="24"/>
      <w:u w:val="none"/>
    </w:rPr>
  </w:style>
  <w:style w:type="character" w:customStyle="1" w:styleId="51">
    <w:name w:val="font21"/>
    <w:basedOn w:val="31"/>
    <w:qFormat/>
    <w:uiPriority w:val="0"/>
    <w:rPr>
      <w:rFonts w:hint="eastAsia" w:ascii="宋体" w:hAnsi="宋体" w:eastAsia="宋体" w:cs="宋体"/>
      <w:color w:val="000000"/>
      <w:sz w:val="24"/>
      <w:szCs w:val="24"/>
      <w:u w:val="none"/>
    </w:rPr>
  </w:style>
  <w:style w:type="character" w:customStyle="1" w:styleId="52">
    <w:name w:val="font01"/>
    <w:basedOn w:val="31"/>
    <w:qFormat/>
    <w:uiPriority w:val="0"/>
    <w:rPr>
      <w:rFonts w:hint="default" w:ascii="Times New Roman" w:hAnsi="Times New Roman" w:cs="Times New Roman"/>
      <w:color w:val="000000"/>
      <w:sz w:val="24"/>
      <w:szCs w:val="24"/>
      <w:u w:val="none"/>
    </w:rPr>
  </w:style>
  <w:style w:type="character" w:customStyle="1" w:styleId="53">
    <w:name w:val="font51"/>
    <w:basedOn w:val="31"/>
    <w:qFormat/>
    <w:uiPriority w:val="0"/>
    <w:rPr>
      <w:rFonts w:hint="default" w:ascii="Times New Roman" w:hAnsi="Times New Roman" w:cs="Times New Roman"/>
      <w:color w:val="000000"/>
      <w:sz w:val="14"/>
      <w:szCs w:val="14"/>
      <w:u w:val="none"/>
    </w:rPr>
  </w:style>
  <w:style w:type="character" w:customStyle="1" w:styleId="54">
    <w:name w:val="font11"/>
    <w:basedOn w:val="31"/>
    <w:qFormat/>
    <w:uiPriority w:val="0"/>
    <w:rPr>
      <w:rFonts w:hint="eastAsia" w:ascii="宋体" w:hAnsi="宋体" w:eastAsia="宋体" w:cs="宋体"/>
      <w:color w:val="000000"/>
      <w:sz w:val="21"/>
      <w:szCs w:val="21"/>
      <w:u w:val="none"/>
    </w:rPr>
  </w:style>
  <w:style w:type="character" w:customStyle="1" w:styleId="55">
    <w:name w:val="批注框文本 字符"/>
    <w:basedOn w:val="31"/>
    <w:link w:val="22"/>
    <w:qFormat/>
    <w:uiPriority w:val="0"/>
    <w:rPr>
      <w:rFonts w:asciiTheme="minorHAnsi" w:hAnsiTheme="minorHAnsi" w:eastAsiaTheme="minorEastAsia" w:cstheme="minorBidi"/>
      <w:kern w:val="2"/>
      <w:sz w:val="18"/>
      <w:szCs w:val="18"/>
    </w:rPr>
  </w:style>
  <w:style w:type="character" w:customStyle="1" w:styleId="56">
    <w:name w:val="font61"/>
    <w:basedOn w:val="31"/>
    <w:qFormat/>
    <w:uiPriority w:val="0"/>
    <w:rPr>
      <w:rFonts w:hint="default" w:ascii="Times New Roman" w:hAnsi="Times New Roman" w:cs="Times New Roman"/>
      <w:color w:val="000000"/>
      <w:sz w:val="21"/>
      <w:szCs w:val="21"/>
      <w:u w:val="none"/>
      <w:vertAlign w:val="superscript"/>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7.wmf"/><Relationship Id="rId24" Type="http://schemas.openxmlformats.org/officeDocument/2006/relationships/oleObject" Target="embeddings/oleObject2.bin"/><Relationship Id="rId23" Type="http://schemas.openxmlformats.org/officeDocument/2006/relationships/image" Target="media/image16.wmf"/><Relationship Id="rId22" Type="http://schemas.openxmlformats.org/officeDocument/2006/relationships/image" Target="media/image15.wmf"/><Relationship Id="rId21" Type="http://schemas.openxmlformats.org/officeDocument/2006/relationships/oleObject" Target="embeddings/oleObject1.bin"/><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8D5CF44-DE60-47CA-A7D4-2E61F4CFC531}">
  <ds:schemaRefs/>
</ds:datastoreItem>
</file>

<file path=docProps/app.xml><?xml version="1.0" encoding="utf-8"?>
<Properties xmlns="http://schemas.openxmlformats.org/officeDocument/2006/extended-properties" xmlns:vt="http://schemas.openxmlformats.org/officeDocument/2006/docPropsVTypes">
  <Template>Normal</Template>
  <Company>DoubleOX</Company>
  <Pages>65</Pages>
  <Words>36853</Words>
  <Characters>43111</Characters>
  <Lines>301</Lines>
  <Paragraphs>84</Paragraphs>
  <TotalTime>1</TotalTime>
  <ScaleCrop>false</ScaleCrop>
  <LinksUpToDate>false</LinksUpToDate>
  <CharactersWithSpaces>43206</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2022-12-06T09:33:00Z</dcterms:created>
  <dc:creator>众泰环保</dc:creator>
  <cp:lastModifiedBy>众泰环保</cp:lastModifiedBy>
  <dcterms:modified xsi:type="dcterms:W3CDTF">2023-06-16T02:22:20Z</dcterms:modified>
  <cp:revision>64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E5B56EB3687446A5BA89D996C3C3623B_13</vt:lpwstr>
  </property>
</Properties>
</file>