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ind w:left="0" w:right="0" w:firstLine="0"/>
        <w:jc w:val="center"/>
        <w:rPr>
          <w:rFonts w:ascii="宋体" w:hAnsi="宋体"/>
          <w:b/>
          <w:sz w:val="44"/>
          <w:szCs w:val="44"/>
        </w:rPr>
      </w:pPr>
      <w:r>
        <w:rPr>
          <w:rFonts w:hint="eastAsia" w:cs="Times New Roman" w:asciiTheme="majorEastAsia" w:hAnsiTheme="majorEastAsia" w:eastAsiaTheme="majorEastAsia"/>
          <w:b/>
          <w:kern w:val="2"/>
          <w:sz w:val="44"/>
          <w:szCs w:val="44"/>
          <w:lang w:val="en-US" w:eastAsia="zh-CN" w:bidi="ar-SA"/>
        </w:rPr>
        <w:t>湛江市2015-2019年度城市公交车中央财政成品油价格补助资金清算分配方案</w:t>
      </w:r>
    </w:p>
    <w:p>
      <w:pPr>
        <w:topLinePunct/>
        <w:autoSpaceDE w:val="0"/>
        <w:autoSpaceDN w:val="0"/>
        <w:spacing w:line="600" w:lineRule="exact"/>
        <w:rPr>
          <w:rFonts w:ascii="仿宋_GB2312"/>
          <w:szCs w:val="32"/>
        </w:rPr>
      </w:pPr>
    </w:p>
    <w:p>
      <w:pPr>
        <w:pStyle w:val="9"/>
        <w:spacing w:line="600" w:lineRule="exact"/>
        <w:ind w:firstLine="640" w:firstLineChars="200"/>
        <w:rPr>
          <w:rFonts w:ascii="仿宋_GB2312" w:hAnsi="仿宋" w:eastAsia="仿宋_GB2312"/>
          <w:sz w:val="32"/>
          <w:szCs w:val="36"/>
        </w:rPr>
      </w:pPr>
      <w:r>
        <w:rPr>
          <w:rFonts w:hint="eastAsia" w:ascii="仿宋_GB2312" w:hAnsi="仿宋" w:eastAsia="仿宋_GB2312"/>
          <w:sz w:val="32"/>
          <w:szCs w:val="36"/>
        </w:rPr>
        <w:t>根据《</w:t>
      </w:r>
      <w:r>
        <w:rPr>
          <w:rFonts w:hint="eastAsia" w:ascii="仿宋_GB2312" w:hAnsi="仿宋" w:eastAsia="仿宋_GB2312" w:cs="Times New Roman"/>
          <w:kern w:val="2"/>
          <w:sz w:val="32"/>
          <w:szCs w:val="36"/>
          <w:lang w:val="en-US" w:eastAsia="zh-CN" w:bidi="ar-SA"/>
        </w:rPr>
        <w:t>广东省财政厅关于清算中央财政2015年城市公交车成品油价格补助资金的通知</w:t>
      </w:r>
      <w:r>
        <w:rPr>
          <w:rFonts w:hint="eastAsia" w:ascii="仿宋_GB2312" w:hAnsi="仿宋" w:eastAsia="仿宋_GB2312"/>
          <w:sz w:val="32"/>
          <w:szCs w:val="36"/>
        </w:rPr>
        <w:t>》（</w:t>
      </w:r>
      <w:r>
        <w:rPr>
          <w:rFonts w:hint="eastAsia" w:ascii="仿宋_GB2312" w:hAnsi="仿宋" w:eastAsia="仿宋_GB2312"/>
          <w:sz w:val="32"/>
          <w:szCs w:val="36"/>
          <w:lang w:eastAsia="zh-CN"/>
        </w:rPr>
        <w:t>粤</w:t>
      </w:r>
      <w:r>
        <w:rPr>
          <w:rFonts w:hint="eastAsia" w:ascii="仿宋_GB2312" w:hAnsi="宋体" w:eastAsia="仿宋_GB2312"/>
          <w:sz w:val="32"/>
          <w:szCs w:val="32"/>
        </w:rPr>
        <w:t>财综〔202</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sz w:val="32"/>
          <w:szCs w:val="32"/>
          <w:lang w:val="en-US" w:eastAsia="zh-CN"/>
        </w:rPr>
        <w:t>62</w:t>
      </w:r>
      <w:r>
        <w:rPr>
          <w:rFonts w:hint="eastAsia" w:ascii="仿宋_GB2312" w:hAnsi="仿宋" w:eastAsia="仿宋_GB2312"/>
          <w:sz w:val="32"/>
          <w:szCs w:val="36"/>
        </w:rPr>
        <w:t>号）</w:t>
      </w:r>
      <w:r>
        <w:rPr>
          <w:rFonts w:hint="eastAsia" w:ascii="仿宋_GB2312" w:hAnsi="仿宋" w:eastAsia="仿宋_GB2312"/>
          <w:sz w:val="32"/>
          <w:szCs w:val="36"/>
          <w:lang w:eastAsia="zh-CN"/>
        </w:rPr>
        <w:t>、</w:t>
      </w:r>
      <w:r>
        <w:rPr>
          <w:rFonts w:hint="eastAsia" w:ascii="仿宋_GB2312" w:hAnsi="仿宋" w:eastAsia="仿宋_GB2312"/>
          <w:sz w:val="32"/>
          <w:szCs w:val="36"/>
        </w:rPr>
        <w:t>《</w:t>
      </w:r>
      <w:r>
        <w:rPr>
          <w:rFonts w:hint="eastAsia" w:ascii="仿宋_GB2312" w:hAnsi="仿宋" w:eastAsia="仿宋_GB2312" w:cs="Times New Roman"/>
          <w:kern w:val="2"/>
          <w:sz w:val="32"/>
          <w:szCs w:val="36"/>
          <w:lang w:val="en-US" w:eastAsia="zh-CN" w:bidi="ar-SA"/>
        </w:rPr>
        <w:t>广东省财政厅关于清算中央财政2016年城市公交车成品油价格补助资金的通知</w:t>
      </w:r>
      <w:r>
        <w:rPr>
          <w:rFonts w:hint="eastAsia" w:ascii="仿宋_GB2312" w:hAnsi="仿宋" w:eastAsia="仿宋_GB2312"/>
          <w:sz w:val="32"/>
          <w:szCs w:val="36"/>
        </w:rPr>
        <w:t>》（</w:t>
      </w:r>
      <w:r>
        <w:rPr>
          <w:rFonts w:hint="eastAsia" w:ascii="仿宋_GB2312" w:hAnsi="仿宋" w:eastAsia="仿宋_GB2312"/>
          <w:sz w:val="32"/>
          <w:szCs w:val="36"/>
          <w:lang w:eastAsia="zh-CN"/>
        </w:rPr>
        <w:t>粤</w:t>
      </w:r>
      <w:r>
        <w:rPr>
          <w:rFonts w:hint="eastAsia" w:ascii="仿宋_GB2312" w:hAnsi="宋体" w:eastAsia="仿宋_GB2312"/>
          <w:sz w:val="32"/>
          <w:szCs w:val="32"/>
        </w:rPr>
        <w:t>财综〔202</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sz w:val="32"/>
          <w:szCs w:val="32"/>
          <w:lang w:val="en-US" w:eastAsia="zh-CN"/>
        </w:rPr>
        <w:t>63</w:t>
      </w:r>
      <w:r>
        <w:rPr>
          <w:rFonts w:hint="eastAsia" w:ascii="仿宋_GB2312" w:hAnsi="仿宋" w:eastAsia="仿宋_GB2312"/>
          <w:sz w:val="32"/>
          <w:szCs w:val="36"/>
        </w:rPr>
        <w:t>号）</w:t>
      </w:r>
      <w:r>
        <w:rPr>
          <w:rFonts w:hint="eastAsia" w:ascii="仿宋_GB2312" w:hAnsi="仿宋" w:eastAsia="仿宋_GB2312"/>
          <w:sz w:val="32"/>
          <w:szCs w:val="36"/>
          <w:lang w:eastAsia="zh-CN"/>
        </w:rPr>
        <w:t>、</w:t>
      </w:r>
      <w:r>
        <w:rPr>
          <w:rFonts w:hint="eastAsia" w:ascii="仿宋_GB2312" w:hAnsi="仿宋" w:eastAsia="仿宋_GB2312"/>
          <w:sz w:val="32"/>
          <w:szCs w:val="36"/>
        </w:rPr>
        <w:t>《</w:t>
      </w:r>
      <w:r>
        <w:rPr>
          <w:rFonts w:hint="eastAsia" w:ascii="仿宋_GB2312" w:hAnsi="仿宋" w:eastAsia="仿宋_GB2312" w:cs="Times New Roman"/>
          <w:kern w:val="2"/>
          <w:sz w:val="32"/>
          <w:szCs w:val="36"/>
          <w:lang w:val="en-US" w:eastAsia="zh-CN" w:bidi="ar-SA"/>
        </w:rPr>
        <w:t>广东省财政厅关于清算中央财政2017年城市公交车成品油价格补助资金的通知</w:t>
      </w:r>
      <w:r>
        <w:rPr>
          <w:rFonts w:hint="eastAsia" w:ascii="仿宋_GB2312" w:hAnsi="仿宋" w:eastAsia="仿宋_GB2312"/>
          <w:sz w:val="32"/>
          <w:szCs w:val="36"/>
        </w:rPr>
        <w:t>》（</w:t>
      </w:r>
      <w:r>
        <w:rPr>
          <w:rFonts w:hint="eastAsia" w:ascii="仿宋_GB2312" w:hAnsi="仿宋" w:eastAsia="仿宋_GB2312"/>
          <w:sz w:val="32"/>
          <w:szCs w:val="36"/>
          <w:lang w:eastAsia="zh-CN"/>
        </w:rPr>
        <w:t>粤</w:t>
      </w:r>
      <w:r>
        <w:rPr>
          <w:rFonts w:hint="eastAsia" w:ascii="仿宋_GB2312" w:hAnsi="宋体" w:eastAsia="仿宋_GB2312"/>
          <w:sz w:val="32"/>
          <w:szCs w:val="32"/>
        </w:rPr>
        <w:t>财综〔202</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sz w:val="32"/>
          <w:szCs w:val="32"/>
          <w:lang w:val="en-US" w:eastAsia="zh-CN"/>
        </w:rPr>
        <w:t>64</w:t>
      </w:r>
      <w:r>
        <w:rPr>
          <w:rFonts w:hint="eastAsia" w:ascii="仿宋_GB2312" w:hAnsi="仿宋" w:eastAsia="仿宋_GB2312"/>
          <w:sz w:val="32"/>
          <w:szCs w:val="36"/>
        </w:rPr>
        <w:t>号）</w:t>
      </w:r>
      <w:r>
        <w:rPr>
          <w:rFonts w:hint="eastAsia" w:ascii="仿宋_GB2312" w:hAnsi="仿宋" w:eastAsia="仿宋_GB2312"/>
          <w:sz w:val="32"/>
          <w:szCs w:val="36"/>
          <w:lang w:eastAsia="zh-CN"/>
        </w:rPr>
        <w:t>、</w:t>
      </w:r>
      <w:r>
        <w:rPr>
          <w:rFonts w:hint="eastAsia" w:ascii="仿宋_GB2312" w:hAnsi="仿宋" w:eastAsia="仿宋_GB2312"/>
          <w:sz w:val="32"/>
          <w:szCs w:val="36"/>
        </w:rPr>
        <w:t>《</w:t>
      </w:r>
      <w:r>
        <w:rPr>
          <w:rFonts w:hint="eastAsia" w:ascii="仿宋_GB2312" w:hAnsi="仿宋" w:eastAsia="仿宋_GB2312" w:cs="Times New Roman"/>
          <w:kern w:val="2"/>
          <w:sz w:val="32"/>
          <w:szCs w:val="36"/>
          <w:lang w:val="en-US" w:eastAsia="zh-CN" w:bidi="ar-SA"/>
        </w:rPr>
        <w:t>广东省财政厅关于清算中央财政2018年城市公交车成品油价格补助资金的通知</w:t>
      </w:r>
      <w:r>
        <w:rPr>
          <w:rFonts w:hint="eastAsia" w:ascii="仿宋_GB2312" w:hAnsi="仿宋" w:eastAsia="仿宋_GB2312"/>
          <w:sz w:val="32"/>
          <w:szCs w:val="36"/>
        </w:rPr>
        <w:t>》（</w:t>
      </w:r>
      <w:r>
        <w:rPr>
          <w:rFonts w:hint="eastAsia" w:ascii="仿宋_GB2312" w:hAnsi="仿宋" w:eastAsia="仿宋_GB2312"/>
          <w:sz w:val="32"/>
          <w:szCs w:val="36"/>
          <w:lang w:eastAsia="zh-CN"/>
        </w:rPr>
        <w:t>粤</w:t>
      </w:r>
      <w:r>
        <w:rPr>
          <w:rFonts w:hint="eastAsia" w:ascii="仿宋_GB2312" w:hAnsi="宋体" w:eastAsia="仿宋_GB2312"/>
          <w:sz w:val="32"/>
          <w:szCs w:val="32"/>
        </w:rPr>
        <w:t>财综〔202</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sz w:val="32"/>
          <w:szCs w:val="32"/>
          <w:lang w:val="en-US" w:eastAsia="zh-CN"/>
        </w:rPr>
        <w:t>65</w:t>
      </w:r>
      <w:r>
        <w:rPr>
          <w:rFonts w:hint="eastAsia" w:ascii="仿宋_GB2312" w:hAnsi="仿宋" w:eastAsia="仿宋_GB2312"/>
          <w:sz w:val="32"/>
          <w:szCs w:val="36"/>
        </w:rPr>
        <w:t>号）</w:t>
      </w:r>
      <w:r>
        <w:rPr>
          <w:rFonts w:hint="eastAsia" w:ascii="仿宋_GB2312" w:hAnsi="仿宋" w:eastAsia="仿宋_GB2312"/>
          <w:sz w:val="32"/>
          <w:szCs w:val="36"/>
          <w:lang w:eastAsia="zh-CN"/>
        </w:rPr>
        <w:t>、</w:t>
      </w:r>
      <w:r>
        <w:rPr>
          <w:rFonts w:hint="eastAsia" w:ascii="仿宋_GB2312" w:hAnsi="仿宋" w:eastAsia="仿宋_GB2312"/>
          <w:sz w:val="32"/>
          <w:szCs w:val="36"/>
        </w:rPr>
        <w:t>《</w:t>
      </w:r>
      <w:r>
        <w:rPr>
          <w:rFonts w:hint="eastAsia" w:ascii="仿宋_GB2312" w:hAnsi="仿宋" w:eastAsia="仿宋_GB2312" w:cs="Times New Roman"/>
          <w:kern w:val="2"/>
          <w:sz w:val="32"/>
          <w:szCs w:val="36"/>
          <w:lang w:val="en-US" w:eastAsia="zh-CN" w:bidi="ar-SA"/>
        </w:rPr>
        <w:t>广东省财政厅关于清算中央财政2019年城市公交车成品油价格补助资金的通知</w:t>
      </w:r>
      <w:r>
        <w:rPr>
          <w:rFonts w:hint="eastAsia" w:ascii="仿宋_GB2312" w:hAnsi="仿宋" w:eastAsia="仿宋_GB2312"/>
          <w:sz w:val="32"/>
          <w:szCs w:val="36"/>
        </w:rPr>
        <w:t>》（</w:t>
      </w:r>
      <w:r>
        <w:rPr>
          <w:rFonts w:hint="eastAsia" w:ascii="仿宋_GB2312" w:hAnsi="仿宋" w:eastAsia="仿宋_GB2312"/>
          <w:sz w:val="32"/>
          <w:szCs w:val="36"/>
          <w:lang w:eastAsia="zh-CN"/>
        </w:rPr>
        <w:t>粤</w:t>
      </w:r>
      <w:r>
        <w:rPr>
          <w:rFonts w:hint="eastAsia" w:ascii="仿宋_GB2312" w:hAnsi="宋体" w:eastAsia="仿宋_GB2312"/>
          <w:sz w:val="32"/>
          <w:szCs w:val="32"/>
        </w:rPr>
        <w:t>财综〔202</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sz w:val="32"/>
          <w:szCs w:val="32"/>
          <w:lang w:val="en-US" w:eastAsia="zh-CN"/>
        </w:rPr>
        <w:t>66</w:t>
      </w:r>
      <w:r>
        <w:rPr>
          <w:rFonts w:hint="eastAsia" w:ascii="仿宋_GB2312" w:hAnsi="仿宋" w:eastAsia="仿宋_GB2312"/>
          <w:sz w:val="32"/>
          <w:szCs w:val="36"/>
        </w:rPr>
        <w:t>号），</w:t>
      </w:r>
      <w:r>
        <w:rPr>
          <w:rFonts w:hint="eastAsia" w:ascii="仿宋_GB2312" w:hAnsi="仿宋" w:eastAsia="仿宋_GB2312"/>
          <w:sz w:val="32"/>
          <w:szCs w:val="36"/>
          <w:lang w:eastAsia="zh-CN"/>
        </w:rPr>
        <w:t>结合《广东省交通运输厅关于</w:t>
      </w:r>
      <w:r>
        <w:rPr>
          <w:rFonts w:hint="eastAsia" w:ascii="仿宋_GB2312" w:hAnsi="仿宋" w:eastAsia="仿宋_GB2312"/>
          <w:sz w:val="32"/>
          <w:szCs w:val="36"/>
          <w:lang w:val="en-US" w:eastAsia="zh-CN"/>
        </w:rPr>
        <w:t>2015-2019年度城市燃油公交车辆中央财政成品油价格补助资金清算方案的函</w:t>
      </w:r>
      <w:r>
        <w:rPr>
          <w:rFonts w:hint="eastAsia" w:ascii="仿宋_GB2312" w:hAnsi="仿宋" w:eastAsia="仿宋_GB2312"/>
          <w:sz w:val="32"/>
          <w:szCs w:val="36"/>
          <w:lang w:eastAsia="zh-CN"/>
        </w:rPr>
        <w:t>》</w:t>
      </w:r>
      <w:r>
        <w:rPr>
          <w:rFonts w:hint="eastAsia" w:ascii="仿宋_GB2312" w:hAnsi="仿宋" w:eastAsia="仿宋_GB2312"/>
          <w:sz w:val="32"/>
          <w:szCs w:val="36"/>
        </w:rPr>
        <w:t>（</w:t>
      </w:r>
      <w:r>
        <w:rPr>
          <w:rFonts w:hint="eastAsia" w:ascii="仿宋_GB2312" w:hAnsi="仿宋" w:eastAsia="仿宋_GB2312"/>
          <w:sz w:val="32"/>
          <w:szCs w:val="36"/>
          <w:lang w:eastAsia="zh-CN"/>
        </w:rPr>
        <w:t>粤交综运字</w:t>
      </w: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hint="eastAsia" w:ascii="仿宋_GB2312" w:hAnsi="宋体" w:eastAsia="仿宋_GB2312"/>
          <w:sz w:val="32"/>
          <w:szCs w:val="32"/>
          <w:lang w:val="en-US" w:eastAsia="zh-CN"/>
        </w:rPr>
        <w:t>512</w:t>
      </w:r>
      <w:r>
        <w:rPr>
          <w:rFonts w:hint="eastAsia" w:ascii="仿宋_GB2312" w:hAnsi="仿宋" w:eastAsia="仿宋_GB2312"/>
          <w:sz w:val="32"/>
          <w:szCs w:val="36"/>
        </w:rPr>
        <w:t>号）</w:t>
      </w:r>
      <w:r>
        <w:rPr>
          <w:rFonts w:hint="eastAsia" w:ascii="仿宋_GB2312" w:hAnsi="仿宋" w:eastAsia="仿宋_GB2312"/>
          <w:sz w:val="32"/>
          <w:szCs w:val="36"/>
          <w:lang w:eastAsia="zh-CN"/>
        </w:rPr>
        <w:t>，</w:t>
      </w:r>
      <w:r>
        <w:rPr>
          <w:rFonts w:hint="eastAsia" w:ascii="仿宋_GB2312" w:hAnsi="仿宋" w:eastAsia="仿宋_GB2312"/>
          <w:sz w:val="32"/>
          <w:szCs w:val="36"/>
        </w:rPr>
        <w:t>制定湛江市</w:t>
      </w:r>
      <w:r>
        <w:rPr>
          <w:rFonts w:hint="eastAsia" w:ascii="仿宋_GB2312" w:hAnsi="仿宋" w:eastAsia="仿宋_GB2312"/>
          <w:sz w:val="32"/>
          <w:szCs w:val="36"/>
          <w:lang w:val="en-US" w:eastAsia="zh-CN"/>
        </w:rPr>
        <w:t>2015-2019年度城市公交车中央财政成品油价格补助清算分配</w:t>
      </w:r>
      <w:r>
        <w:rPr>
          <w:rFonts w:hint="eastAsia" w:ascii="仿宋_GB2312" w:hAnsi="仿宋" w:eastAsia="仿宋_GB2312"/>
          <w:sz w:val="32"/>
          <w:szCs w:val="36"/>
        </w:rPr>
        <w:t>方案如下：</w:t>
      </w:r>
    </w:p>
    <w:p>
      <w:pPr>
        <w:pStyle w:val="9"/>
        <w:spacing w:line="600" w:lineRule="exact"/>
        <w:ind w:firstLine="640" w:firstLineChars="200"/>
        <w:rPr>
          <w:rFonts w:ascii="黑体" w:hAnsi="仿宋" w:eastAsia="黑体"/>
          <w:bCs/>
          <w:sz w:val="32"/>
          <w:szCs w:val="36"/>
        </w:rPr>
      </w:pPr>
      <w:r>
        <w:rPr>
          <w:rFonts w:hint="eastAsia" w:ascii="黑体" w:hAnsi="仿宋" w:eastAsia="黑体"/>
          <w:bCs/>
          <w:sz w:val="32"/>
          <w:szCs w:val="36"/>
        </w:rPr>
        <w:t>一、分配原则</w:t>
      </w:r>
    </w:p>
    <w:p>
      <w:pPr>
        <w:pStyle w:val="9"/>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根据《广东省城市公交车成品油价格补助和新能源公交车运营补助实施细则》（粤交运〔2017〕332号，以下简称《细则》）第三条规定，城市公交车成品油价格补助和新能源公交车运营补助资金的申报、发放和管理遵循科学规范、公开透明、统筹兼顾、奖惩结合的原则。鼓励市（县）政府通过增加财政补助、调整运价等方式保障公共交通行业健康稳定发展。</w:t>
      </w:r>
    </w:p>
    <w:p>
      <w:pPr>
        <w:pStyle w:val="9"/>
        <w:spacing w:line="600" w:lineRule="exact"/>
        <w:ind w:firstLine="640" w:firstLineChars="200"/>
        <w:rPr>
          <w:rFonts w:ascii="黑体" w:hAnsi="仿宋" w:eastAsia="黑体"/>
          <w:bCs/>
          <w:sz w:val="32"/>
          <w:szCs w:val="36"/>
        </w:rPr>
      </w:pPr>
      <w:r>
        <w:rPr>
          <w:rFonts w:hint="eastAsia" w:ascii="黑体" w:hAnsi="仿宋" w:eastAsia="黑体"/>
          <w:bCs/>
          <w:sz w:val="32"/>
          <w:szCs w:val="36"/>
        </w:rPr>
        <w:t>二、方案说明</w:t>
      </w:r>
    </w:p>
    <w:p>
      <w:pPr>
        <w:pStyle w:val="9"/>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w:t>
      </w:r>
      <w:r>
        <w:rPr>
          <w:rFonts w:hint="eastAsia" w:ascii="仿宋_GB2312" w:hAnsi="宋体" w:eastAsia="仿宋_GB2312"/>
          <w:sz w:val="32"/>
          <w:szCs w:val="32"/>
          <w:lang w:eastAsia="zh-CN"/>
        </w:rPr>
        <w:t>清算</w:t>
      </w:r>
      <w:r>
        <w:rPr>
          <w:rFonts w:hint="eastAsia" w:ascii="仿宋_GB2312" w:hAnsi="宋体" w:eastAsia="仿宋_GB2312"/>
          <w:sz w:val="32"/>
          <w:szCs w:val="32"/>
        </w:rPr>
        <w:t>资金的年份及范围。此次</w:t>
      </w:r>
      <w:r>
        <w:rPr>
          <w:rFonts w:hint="eastAsia" w:ascii="仿宋_GB2312" w:hAnsi="宋体" w:eastAsia="仿宋_GB2312"/>
          <w:sz w:val="32"/>
          <w:szCs w:val="32"/>
          <w:lang w:eastAsia="zh-CN"/>
        </w:rPr>
        <w:t>清算</w:t>
      </w:r>
      <w:r>
        <w:rPr>
          <w:rFonts w:hint="eastAsia" w:ascii="仿宋_GB2312" w:hAnsi="宋体" w:eastAsia="仿宋_GB2312"/>
          <w:sz w:val="32"/>
          <w:szCs w:val="32"/>
        </w:rPr>
        <w:t>的</w:t>
      </w:r>
      <w:r>
        <w:rPr>
          <w:rFonts w:hint="eastAsia" w:ascii="仿宋_GB2312" w:hAnsi="宋体" w:eastAsia="仿宋_GB2312"/>
          <w:sz w:val="32"/>
          <w:szCs w:val="32"/>
          <w:lang w:eastAsia="zh-CN"/>
        </w:rPr>
        <w:t>为全市（含省直管县）</w:t>
      </w:r>
      <w:r>
        <w:rPr>
          <w:rFonts w:hint="eastAsia" w:ascii="仿宋_GB2312" w:hAnsi="宋体" w:eastAsia="仿宋_GB2312"/>
          <w:sz w:val="32"/>
          <w:szCs w:val="32"/>
          <w:lang w:val="en-US" w:eastAsia="zh-CN"/>
        </w:rPr>
        <w:t>2015至2019年度</w:t>
      </w:r>
      <w:r>
        <w:rPr>
          <w:rFonts w:hint="eastAsia" w:ascii="仿宋_GB2312" w:hAnsi="宋体" w:eastAsia="仿宋_GB2312"/>
          <w:sz w:val="32"/>
          <w:szCs w:val="32"/>
        </w:rPr>
        <w:t>城市公交车</w:t>
      </w:r>
      <w:r>
        <w:rPr>
          <w:rFonts w:hint="eastAsia" w:ascii="仿宋_GB2312" w:hAnsi="宋体" w:eastAsia="仿宋_GB2312"/>
          <w:sz w:val="32"/>
          <w:szCs w:val="32"/>
          <w:lang w:eastAsia="zh-CN"/>
        </w:rPr>
        <w:t>中央财政</w:t>
      </w:r>
      <w:r>
        <w:rPr>
          <w:rFonts w:hint="eastAsia" w:ascii="仿宋_GB2312" w:hAnsi="宋体" w:eastAsia="仿宋_GB2312"/>
          <w:sz w:val="32"/>
          <w:szCs w:val="32"/>
        </w:rPr>
        <w:t>成品油价格补助资金</w:t>
      </w:r>
      <w:r>
        <w:rPr>
          <w:rFonts w:hint="eastAsia" w:ascii="仿宋_GB2312" w:hAnsi="宋体" w:eastAsia="仿宋_GB2312"/>
          <w:sz w:val="32"/>
          <w:szCs w:val="32"/>
          <w:lang w:eastAsia="zh-CN"/>
        </w:rPr>
        <w:t>，</w:t>
      </w:r>
      <w:r>
        <w:rPr>
          <w:rFonts w:hint="eastAsia" w:ascii="仿宋_GB2312" w:hAnsi="宋体" w:eastAsia="仿宋_GB2312"/>
          <w:sz w:val="32"/>
          <w:szCs w:val="32"/>
        </w:rPr>
        <w:t>此次城市公交车成品油价格补助资金未将LNG公交车纳入</w:t>
      </w:r>
      <w:r>
        <w:rPr>
          <w:rFonts w:hint="eastAsia" w:ascii="仿宋_GB2312" w:hAnsi="宋体" w:eastAsia="仿宋_GB2312"/>
          <w:sz w:val="32"/>
          <w:szCs w:val="32"/>
          <w:lang w:eastAsia="zh-CN"/>
        </w:rPr>
        <w:t>清算</w:t>
      </w:r>
      <w:r>
        <w:rPr>
          <w:rFonts w:hint="eastAsia" w:ascii="仿宋_GB2312" w:hAnsi="宋体" w:eastAsia="仿宋_GB2312"/>
          <w:sz w:val="32"/>
          <w:szCs w:val="32"/>
        </w:rPr>
        <w:t>范围。</w:t>
      </w:r>
    </w:p>
    <w:p>
      <w:pPr>
        <w:spacing w:line="60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Cs w:val="32"/>
          <w:lang w:eastAsia="zh-CN"/>
        </w:rPr>
        <w:t>（二）清算资金金额。本次</w:t>
      </w:r>
      <w:r>
        <w:rPr>
          <w:rFonts w:hint="eastAsia" w:ascii="仿宋_GB2312" w:hAnsi="宋体" w:eastAsia="仿宋_GB2312"/>
          <w:szCs w:val="32"/>
          <w:lang w:val="en-US" w:eastAsia="zh-CN"/>
        </w:rPr>
        <w:t>2015至2019年度城市公交车中央财政成品油价格补助资金清算金额总数为1983.88万元，其中燃油公交车补助清算金额为1686.298万元，新能源公交车统筹清算金额为297.582万元。年度</w:t>
      </w:r>
      <w:r>
        <w:rPr>
          <w:rFonts w:hint="eastAsia" w:ascii="仿宋_GB2312" w:hAnsi="宋体" w:eastAsia="仿宋_GB2312"/>
          <w:sz w:val="32"/>
          <w:szCs w:val="32"/>
          <w:lang w:eastAsia="zh-CN"/>
        </w:rPr>
        <w:t>清算资金额度为：</w:t>
      </w:r>
      <w:r>
        <w:rPr>
          <w:rFonts w:hint="eastAsia" w:ascii="仿宋_GB2312" w:hAnsi="宋体" w:eastAsia="仿宋_GB2312"/>
          <w:sz w:val="32"/>
          <w:szCs w:val="32"/>
          <w:lang w:val="en-US" w:eastAsia="zh-CN"/>
        </w:rPr>
        <w:t>2015年清算补贴3.48万元，2016年清算补贴205.46万元，2017年清算补贴542.29万元，2018年清算退回646.76万元，2019年清算补贴1879.41万元。</w:t>
      </w:r>
    </w:p>
    <w:p>
      <w:pPr>
        <w:spacing w:line="600" w:lineRule="exact"/>
        <w:ind w:firstLine="640" w:firstLineChars="200"/>
        <w:rPr>
          <w:rFonts w:hint="eastAsia" w:ascii="仿宋_GB2312" w:eastAsia="仿宋_GB2312"/>
          <w:szCs w:val="32"/>
        </w:rPr>
      </w:pPr>
      <w:r>
        <w:rPr>
          <w:rFonts w:hint="eastAsia" w:ascii="仿宋_GB2312" w:eastAsia="仿宋_GB2312"/>
          <w:szCs w:val="32"/>
        </w:rPr>
        <w:t>（</w:t>
      </w:r>
      <w:r>
        <w:rPr>
          <w:rFonts w:hint="eastAsia" w:ascii="仿宋_GB2312" w:eastAsia="仿宋_GB2312"/>
          <w:szCs w:val="32"/>
          <w:lang w:eastAsia="zh-CN"/>
        </w:rPr>
        <w:t>三</w:t>
      </w:r>
      <w:r>
        <w:rPr>
          <w:rFonts w:hint="eastAsia" w:ascii="仿宋_GB2312" w:eastAsia="仿宋_GB2312"/>
          <w:szCs w:val="32"/>
        </w:rPr>
        <w:t>）</w:t>
      </w:r>
      <w:r>
        <w:rPr>
          <w:rFonts w:hint="eastAsia" w:ascii="仿宋_GB2312" w:eastAsia="仿宋_GB2312"/>
          <w:szCs w:val="32"/>
          <w:lang w:eastAsia="zh-CN"/>
        </w:rPr>
        <w:t>新能源公交车统筹资金问题。</w:t>
      </w:r>
      <w:r>
        <w:rPr>
          <w:rFonts w:hint="eastAsia" w:ascii="仿宋_GB2312" w:eastAsia="仿宋_GB2312"/>
          <w:szCs w:val="32"/>
        </w:rPr>
        <w:t>根据</w:t>
      </w:r>
      <w:r>
        <w:rPr>
          <w:rFonts w:hint="eastAsia" w:ascii="仿宋_GB2312" w:hAnsi="宋体" w:eastAsia="仿宋_GB2312"/>
          <w:szCs w:val="32"/>
        </w:rPr>
        <w:t>《细则》</w:t>
      </w:r>
      <w:r>
        <w:rPr>
          <w:rFonts w:hint="eastAsia" w:ascii="仿宋_GB2312" w:eastAsia="仿宋_GB2312"/>
          <w:szCs w:val="32"/>
        </w:rPr>
        <w:t>第十条：“燃油公交车成品油涨价补助资金除综合考虑上述指标外，并结合各地市新能源公交车推广应用目标完成情况统筹分配”。</w:t>
      </w:r>
    </w:p>
    <w:p>
      <w:pPr>
        <w:spacing w:line="600" w:lineRule="exact"/>
        <w:ind w:firstLine="640" w:firstLineChars="200"/>
        <w:rPr>
          <w:rFonts w:hint="eastAsia" w:ascii="仿宋_GB2312" w:hAnsi="宋体" w:eastAsia="仿宋_GB2312"/>
          <w:szCs w:val="32"/>
        </w:rPr>
      </w:pPr>
      <w:r>
        <w:rPr>
          <w:rFonts w:hint="eastAsia" w:ascii="仿宋_GB2312" w:hAnsi="宋体" w:eastAsia="仿宋_GB2312"/>
          <w:szCs w:val="32"/>
        </w:rPr>
        <w:t>为保障我市公交行业稳定，促进新能源公交车的发展，</w:t>
      </w:r>
      <w:r>
        <w:rPr>
          <w:rFonts w:hint="eastAsia" w:ascii="仿宋_GB2312" w:hAnsi="宋体" w:eastAsia="仿宋_GB2312"/>
          <w:szCs w:val="32"/>
          <w:lang w:eastAsia="zh-CN"/>
        </w:rPr>
        <w:t>自</w:t>
      </w:r>
      <w:r>
        <w:rPr>
          <w:rFonts w:hint="eastAsia" w:ascii="仿宋_GB2312" w:hAnsi="宋体" w:eastAsia="仿宋_GB2312"/>
          <w:szCs w:val="32"/>
          <w:lang w:val="en-US" w:eastAsia="zh-CN"/>
        </w:rPr>
        <w:t>2015年度城市</w:t>
      </w:r>
      <w:r>
        <w:rPr>
          <w:rFonts w:hint="eastAsia" w:ascii="仿宋_GB2312" w:hAnsi="宋体" w:eastAsia="仿宋_GB2312"/>
          <w:szCs w:val="32"/>
        </w:rPr>
        <w:t>公交车</w:t>
      </w:r>
      <w:r>
        <w:rPr>
          <w:rFonts w:hint="eastAsia" w:ascii="仿宋_GB2312" w:hAnsi="宋体" w:eastAsia="仿宋_GB2312"/>
          <w:szCs w:val="32"/>
          <w:lang w:eastAsia="zh-CN"/>
        </w:rPr>
        <w:t>成品油价格补助</w:t>
      </w:r>
      <w:r>
        <w:rPr>
          <w:rFonts w:hint="eastAsia" w:ascii="仿宋_GB2312" w:hAnsi="宋体" w:eastAsia="仿宋_GB2312"/>
          <w:szCs w:val="32"/>
        </w:rPr>
        <w:t>资金</w:t>
      </w:r>
      <w:r>
        <w:rPr>
          <w:rFonts w:hint="eastAsia" w:ascii="仿宋_GB2312" w:hAnsi="宋体" w:eastAsia="仿宋_GB2312"/>
          <w:szCs w:val="32"/>
          <w:lang w:eastAsia="zh-CN"/>
        </w:rPr>
        <w:t>分配开始</w:t>
      </w:r>
      <w:r>
        <w:rPr>
          <w:rFonts w:hint="eastAsia" w:ascii="仿宋_GB2312" w:hAnsi="宋体" w:eastAsia="仿宋_GB2312"/>
          <w:szCs w:val="32"/>
        </w:rPr>
        <w:t>，我</w:t>
      </w:r>
      <w:r>
        <w:rPr>
          <w:rFonts w:hint="eastAsia" w:ascii="仿宋_GB2312" w:hAnsi="宋体" w:eastAsia="仿宋_GB2312"/>
          <w:szCs w:val="32"/>
          <w:lang w:eastAsia="zh-CN"/>
        </w:rPr>
        <w:t>市均</w:t>
      </w:r>
      <w:r>
        <w:rPr>
          <w:rFonts w:hint="eastAsia" w:ascii="仿宋_GB2312" w:hAnsi="宋体" w:eastAsia="仿宋_GB2312"/>
          <w:szCs w:val="32"/>
        </w:rPr>
        <w:t>统筹分配了</w:t>
      </w:r>
      <w:r>
        <w:rPr>
          <w:rFonts w:hint="eastAsia" w:ascii="仿宋_GB2312" w:hAnsi="宋体" w:eastAsia="仿宋_GB2312"/>
          <w:szCs w:val="32"/>
          <w:lang w:val="en-US" w:eastAsia="zh-CN"/>
        </w:rPr>
        <w:t>城市</w:t>
      </w:r>
      <w:r>
        <w:rPr>
          <w:rFonts w:hint="eastAsia" w:ascii="仿宋_GB2312" w:hAnsi="宋体" w:eastAsia="仿宋_GB2312"/>
          <w:szCs w:val="32"/>
        </w:rPr>
        <w:t>公交车</w:t>
      </w:r>
      <w:r>
        <w:rPr>
          <w:rFonts w:hint="eastAsia" w:ascii="仿宋_GB2312" w:hAnsi="宋体" w:eastAsia="仿宋_GB2312"/>
          <w:szCs w:val="32"/>
          <w:lang w:eastAsia="zh-CN"/>
        </w:rPr>
        <w:t>成品油价格补助</w:t>
      </w:r>
      <w:r>
        <w:rPr>
          <w:rFonts w:hint="eastAsia" w:ascii="仿宋_GB2312" w:hAnsi="宋体" w:eastAsia="仿宋_GB2312"/>
          <w:szCs w:val="32"/>
        </w:rPr>
        <w:t>资金</w:t>
      </w:r>
      <w:r>
        <w:rPr>
          <w:rFonts w:hint="eastAsia" w:ascii="仿宋_GB2312" w:hAnsi="宋体" w:eastAsia="仿宋_GB2312"/>
          <w:szCs w:val="32"/>
          <w:lang w:eastAsia="zh-CN"/>
        </w:rPr>
        <w:t>的</w:t>
      </w:r>
      <w:r>
        <w:rPr>
          <w:rFonts w:hint="eastAsia" w:ascii="仿宋_GB2312" w:hAnsi="宋体" w:eastAsia="仿宋_GB2312"/>
          <w:szCs w:val="32"/>
        </w:rPr>
        <w:t>15%至新能源</w:t>
      </w:r>
      <w:r>
        <w:rPr>
          <w:rFonts w:hint="eastAsia" w:ascii="仿宋_GB2312" w:hAnsi="宋体" w:eastAsia="仿宋_GB2312"/>
          <w:szCs w:val="32"/>
          <w:lang w:eastAsia="zh-CN"/>
        </w:rPr>
        <w:t>公交车运营补助</w:t>
      </w:r>
      <w:r>
        <w:rPr>
          <w:rFonts w:hint="eastAsia" w:ascii="仿宋_GB2312" w:hAnsi="宋体" w:eastAsia="仿宋_GB2312"/>
          <w:szCs w:val="32"/>
        </w:rPr>
        <w:t>。故</w:t>
      </w:r>
      <w:r>
        <w:rPr>
          <w:rFonts w:hint="eastAsia" w:ascii="仿宋_GB2312" w:hAnsi="宋体" w:eastAsia="仿宋_GB2312"/>
          <w:szCs w:val="32"/>
          <w:lang w:eastAsia="zh-CN"/>
        </w:rPr>
        <w:t>此次城市</w:t>
      </w:r>
      <w:r>
        <w:rPr>
          <w:rFonts w:hint="eastAsia" w:ascii="仿宋_GB2312" w:hAnsi="宋体" w:eastAsia="仿宋_GB2312"/>
          <w:szCs w:val="32"/>
        </w:rPr>
        <w:t>公交车</w:t>
      </w:r>
      <w:r>
        <w:rPr>
          <w:rFonts w:hint="eastAsia" w:ascii="仿宋_GB2312" w:hAnsi="宋体" w:eastAsia="仿宋_GB2312"/>
          <w:szCs w:val="32"/>
          <w:lang w:eastAsia="zh-CN"/>
        </w:rPr>
        <w:t>成品油价格补助</w:t>
      </w:r>
      <w:r>
        <w:rPr>
          <w:rFonts w:hint="eastAsia" w:ascii="仿宋_GB2312" w:hAnsi="宋体" w:eastAsia="仿宋_GB2312"/>
          <w:szCs w:val="32"/>
        </w:rPr>
        <w:t>资金</w:t>
      </w:r>
      <w:r>
        <w:rPr>
          <w:rFonts w:hint="eastAsia" w:ascii="仿宋_GB2312" w:hAnsi="宋体" w:eastAsia="仿宋_GB2312"/>
          <w:szCs w:val="32"/>
          <w:lang w:eastAsia="zh-CN"/>
        </w:rPr>
        <w:t>清算</w:t>
      </w:r>
      <w:r>
        <w:rPr>
          <w:rFonts w:hint="eastAsia" w:ascii="仿宋_GB2312" w:hAnsi="宋体" w:eastAsia="仿宋_GB2312"/>
          <w:szCs w:val="32"/>
        </w:rPr>
        <w:t>，</w:t>
      </w:r>
      <w:r>
        <w:rPr>
          <w:rFonts w:hint="eastAsia" w:ascii="仿宋_GB2312" w:hAnsi="宋体" w:eastAsia="仿宋_GB2312"/>
          <w:szCs w:val="32"/>
          <w:lang w:eastAsia="zh-CN"/>
        </w:rPr>
        <w:t>也按照</w:t>
      </w:r>
      <w:r>
        <w:rPr>
          <w:rFonts w:hint="eastAsia" w:ascii="仿宋_GB2312" w:hAnsi="宋体" w:eastAsia="仿宋_GB2312"/>
          <w:szCs w:val="32"/>
        </w:rPr>
        <w:t>15%的资金</w:t>
      </w:r>
      <w:r>
        <w:rPr>
          <w:rFonts w:hint="eastAsia" w:ascii="仿宋_GB2312" w:hAnsi="宋体" w:eastAsia="仿宋_GB2312"/>
          <w:szCs w:val="32"/>
          <w:lang w:eastAsia="zh-CN"/>
        </w:rPr>
        <w:t>额度</w:t>
      </w:r>
      <w:r>
        <w:rPr>
          <w:rFonts w:hint="eastAsia" w:ascii="仿宋_GB2312" w:hAnsi="宋体" w:eastAsia="仿宋_GB2312"/>
          <w:szCs w:val="32"/>
        </w:rPr>
        <w:t>统筹分配到全市的新能源车辆</w:t>
      </w:r>
      <w:r>
        <w:rPr>
          <w:rFonts w:hint="eastAsia" w:ascii="仿宋_GB2312" w:hAnsi="宋体" w:eastAsia="仿宋_GB2312"/>
          <w:szCs w:val="32"/>
          <w:lang w:eastAsia="zh-CN"/>
        </w:rPr>
        <w:t>运营补助</w:t>
      </w:r>
      <w:r>
        <w:rPr>
          <w:rFonts w:hint="eastAsia" w:ascii="仿宋_GB2312" w:hAnsi="宋体" w:eastAsia="仿宋_GB2312"/>
          <w:szCs w:val="32"/>
        </w:rPr>
        <w:t>。</w:t>
      </w:r>
    </w:p>
    <w:p>
      <w:pPr>
        <w:spacing w:line="600" w:lineRule="exact"/>
        <w:ind w:firstLine="640" w:firstLineChars="200"/>
        <w:rPr>
          <w:rFonts w:hint="eastAsia" w:ascii="仿宋_GB2312" w:hAnsi="宋体" w:eastAsia="仿宋_GB2312"/>
          <w:szCs w:val="32"/>
          <w:lang w:eastAsia="zh-CN"/>
        </w:rPr>
      </w:pPr>
      <w:r>
        <w:rPr>
          <w:rFonts w:hint="eastAsia" w:ascii="仿宋_GB2312" w:hAnsi="宋体" w:eastAsia="仿宋_GB2312"/>
          <w:szCs w:val="32"/>
          <w:lang w:eastAsia="zh-CN"/>
        </w:rPr>
        <w:t>（四）资金清算计算方式。</w:t>
      </w:r>
      <w:r>
        <w:rPr>
          <w:rFonts w:hint="eastAsia" w:ascii="仿宋_GB2312" w:hAnsi="宋体" w:eastAsia="仿宋_GB2312"/>
          <w:szCs w:val="32"/>
        </w:rPr>
        <w:t>根据《细则》第十条：</w:t>
      </w:r>
      <w:r>
        <w:rPr>
          <w:rFonts w:hint="eastAsia" w:ascii="仿宋_GB2312" w:hAnsi="宋体" w:eastAsia="仿宋_GB2312"/>
          <w:szCs w:val="32"/>
          <w:lang w:eastAsia="zh-CN"/>
        </w:rPr>
        <w:t>“</w:t>
      </w:r>
      <w:r>
        <w:rPr>
          <w:rFonts w:hint="eastAsia" w:ascii="仿宋_GB2312" w:hAnsi="宋体" w:eastAsia="仿宋_GB2312"/>
          <w:szCs w:val="32"/>
        </w:rPr>
        <w:t>燃油公交车成品油费改税补助资金根据各地市燃油公交车标台数、实际运营里程等指标统筹分配</w:t>
      </w:r>
      <w:r>
        <w:rPr>
          <w:rFonts w:hint="eastAsia" w:ascii="仿宋_GB2312" w:hAnsi="宋体" w:eastAsia="仿宋_GB2312"/>
          <w:szCs w:val="32"/>
          <w:lang w:eastAsia="zh-CN"/>
        </w:rPr>
        <w:t>；新能源公交车运营补助资金根据节能与新能源公交车车辆数、车辆类型、车辆长度、实际运营时间和里程等指标统筹分配”</w:t>
      </w:r>
      <w:r>
        <w:rPr>
          <w:rFonts w:hint="eastAsia" w:ascii="仿宋_GB2312" w:hAnsi="宋体" w:eastAsia="仿宋_GB2312"/>
          <w:szCs w:val="32"/>
        </w:rPr>
        <w:t>。《细则》第</w:t>
      </w:r>
      <w:r>
        <w:rPr>
          <w:rFonts w:hint="eastAsia" w:ascii="仿宋_GB2312" w:hAnsi="宋体" w:eastAsia="仿宋_GB2312"/>
          <w:szCs w:val="32"/>
          <w:lang w:eastAsia="zh-CN"/>
        </w:rPr>
        <w:t>六</w:t>
      </w:r>
      <w:r>
        <w:rPr>
          <w:rFonts w:hint="eastAsia" w:ascii="仿宋_GB2312" w:hAnsi="宋体" w:eastAsia="仿宋_GB2312"/>
          <w:szCs w:val="32"/>
        </w:rPr>
        <w:t>条：</w:t>
      </w:r>
      <w:r>
        <w:rPr>
          <w:rFonts w:hint="eastAsia" w:ascii="仿宋_GB2312" w:hAnsi="宋体" w:eastAsia="仿宋_GB2312"/>
          <w:szCs w:val="32"/>
          <w:lang w:eastAsia="zh-CN"/>
        </w:rPr>
        <w:t>“全年正常运营的节能与新能源公交车申请运营补助资金的，年度运营里程应当不低于</w:t>
      </w:r>
      <w:r>
        <w:rPr>
          <w:rFonts w:hint="eastAsia" w:ascii="仿宋_GB2312" w:hAnsi="宋体" w:eastAsia="仿宋_GB2312"/>
          <w:szCs w:val="32"/>
          <w:lang w:val="en-US" w:eastAsia="zh-CN"/>
        </w:rPr>
        <w:t>3万公里</w:t>
      </w:r>
      <w:r>
        <w:rPr>
          <w:rFonts w:hint="eastAsia" w:ascii="仿宋_GB2312" w:hAnsi="宋体" w:eastAsia="仿宋_GB2312"/>
          <w:szCs w:val="32"/>
          <w:lang w:eastAsia="zh-CN"/>
        </w:rPr>
        <w:t>”。为保障资金分配计算方式的连续性，结合《细则》工作要求，此次清算资金分配计算方式与原当年度补助资金分配方式保持一致。</w:t>
      </w:r>
    </w:p>
    <w:p>
      <w:pPr>
        <w:spacing w:line="600" w:lineRule="exact"/>
        <w:ind w:firstLine="640" w:firstLineChars="200"/>
        <w:rPr>
          <w:rFonts w:hint="eastAsia" w:ascii="仿宋_GB2312" w:hAnsi="宋体" w:eastAsia="仿宋_GB2312"/>
          <w:szCs w:val="32"/>
          <w:lang w:eastAsia="zh-CN"/>
        </w:rPr>
      </w:pPr>
      <w:r>
        <w:rPr>
          <w:rFonts w:hint="eastAsia" w:ascii="仿宋_GB2312" w:hAnsi="宋体" w:eastAsia="仿宋_GB2312"/>
          <w:szCs w:val="32"/>
        </w:rPr>
        <w:t>201</w:t>
      </w:r>
      <w:r>
        <w:rPr>
          <w:rFonts w:hint="eastAsia" w:ascii="仿宋_GB2312" w:hAnsi="宋体" w:eastAsia="仿宋_GB2312"/>
          <w:szCs w:val="32"/>
          <w:lang w:val="en-US" w:eastAsia="zh-CN"/>
        </w:rPr>
        <w:t>5至2017</w:t>
      </w:r>
      <w:r>
        <w:rPr>
          <w:rFonts w:hint="eastAsia" w:ascii="仿宋_GB2312" w:hAnsi="宋体" w:eastAsia="仿宋_GB2312"/>
          <w:szCs w:val="32"/>
        </w:rPr>
        <w:t>年度的</w:t>
      </w:r>
      <w:r>
        <w:rPr>
          <w:rFonts w:hint="eastAsia" w:ascii="仿宋_GB2312" w:hAnsi="宋体" w:eastAsia="仿宋_GB2312"/>
          <w:szCs w:val="32"/>
          <w:lang w:eastAsia="zh-CN"/>
        </w:rPr>
        <w:t>燃油</w:t>
      </w:r>
      <w:r>
        <w:rPr>
          <w:rFonts w:hint="eastAsia" w:ascii="仿宋_GB2312" w:hAnsi="宋体" w:eastAsia="仿宋_GB2312"/>
          <w:szCs w:val="32"/>
        </w:rPr>
        <w:t>公交车成品油价格补助</w:t>
      </w:r>
      <w:r>
        <w:rPr>
          <w:rFonts w:hint="eastAsia" w:ascii="仿宋_GB2312" w:hAnsi="宋体" w:eastAsia="仿宋_GB2312"/>
          <w:szCs w:val="32"/>
          <w:lang w:eastAsia="zh-CN"/>
        </w:rPr>
        <w:t>清算</w:t>
      </w:r>
      <w:r>
        <w:rPr>
          <w:rFonts w:hint="eastAsia" w:ascii="仿宋_GB2312" w:hAnsi="宋体" w:eastAsia="仿宋_GB2312"/>
          <w:szCs w:val="32"/>
        </w:rPr>
        <w:t>资金按照燃油公交车标台数和运营月数计算分配</w:t>
      </w:r>
      <w:r>
        <w:rPr>
          <w:rFonts w:hint="eastAsia" w:ascii="仿宋_GB2312" w:hAnsi="宋体" w:eastAsia="仿宋_GB2312"/>
          <w:szCs w:val="32"/>
          <w:lang w:eastAsia="zh-CN"/>
        </w:rPr>
        <w:t>，即按各辖区实际计算标台总数（</w:t>
      </w:r>
      <w:r>
        <w:rPr>
          <w:rFonts w:hint="eastAsia" w:ascii="仿宋_GB2312" w:hAnsi="宋体" w:eastAsia="仿宋_GB2312"/>
          <w:szCs w:val="32"/>
          <w:lang w:val="en-US" w:eastAsia="zh-CN"/>
        </w:rPr>
        <w:t>∑单车标台*营运月数/12</w:t>
      </w:r>
      <w:r>
        <w:rPr>
          <w:rFonts w:hint="eastAsia" w:ascii="仿宋_GB2312" w:hAnsi="宋体" w:eastAsia="仿宋_GB2312"/>
          <w:szCs w:val="32"/>
          <w:lang w:eastAsia="zh-CN"/>
        </w:rPr>
        <w:t>）所占全市比例进行分配；统筹清算</w:t>
      </w:r>
      <w:r>
        <w:rPr>
          <w:rFonts w:hint="eastAsia" w:ascii="仿宋_GB2312" w:hAnsi="宋体" w:eastAsia="仿宋_GB2312"/>
          <w:szCs w:val="32"/>
        </w:rPr>
        <w:t>资金按</w:t>
      </w:r>
      <w:r>
        <w:rPr>
          <w:rFonts w:hint="eastAsia" w:ascii="仿宋_GB2312" w:hAnsi="宋体" w:eastAsia="仿宋_GB2312"/>
          <w:szCs w:val="32"/>
          <w:lang w:eastAsia="zh-CN"/>
        </w:rPr>
        <w:t>月均里程达到</w:t>
      </w:r>
      <w:r>
        <w:rPr>
          <w:rFonts w:hint="eastAsia" w:ascii="仿宋_GB2312" w:hAnsi="宋体" w:eastAsia="仿宋_GB2312"/>
          <w:szCs w:val="32"/>
          <w:lang w:val="en-US" w:eastAsia="zh-CN"/>
        </w:rPr>
        <w:t>2500公里的</w:t>
      </w:r>
      <w:r>
        <w:rPr>
          <w:rFonts w:hint="eastAsia" w:ascii="仿宋_GB2312" w:hAnsi="宋体" w:eastAsia="仿宋_GB2312"/>
          <w:szCs w:val="32"/>
        </w:rPr>
        <w:t>新能源公交车标台数和运营月数计算分配</w:t>
      </w:r>
      <w:r>
        <w:rPr>
          <w:rFonts w:hint="eastAsia" w:ascii="仿宋_GB2312" w:hAnsi="宋体" w:eastAsia="仿宋_GB2312"/>
          <w:szCs w:val="32"/>
          <w:lang w:eastAsia="zh-CN"/>
        </w:rPr>
        <w:t>，即按各辖区新能源公交车实际计算标台总数（</w:t>
      </w:r>
      <w:r>
        <w:rPr>
          <w:rFonts w:hint="eastAsia" w:ascii="仿宋_GB2312" w:hAnsi="宋体" w:eastAsia="仿宋_GB2312"/>
          <w:szCs w:val="32"/>
          <w:lang w:val="en-US" w:eastAsia="zh-CN"/>
        </w:rPr>
        <w:t>∑单车标台*营运月数/12</w:t>
      </w:r>
      <w:r>
        <w:rPr>
          <w:rFonts w:hint="eastAsia" w:ascii="仿宋_GB2312" w:hAnsi="宋体" w:eastAsia="仿宋_GB2312"/>
          <w:szCs w:val="32"/>
          <w:lang w:eastAsia="zh-CN"/>
        </w:rPr>
        <w:t>）所占全市比例进行分配。</w:t>
      </w:r>
    </w:p>
    <w:p>
      <w:pPr>
        <w:spacing w:line="600" w:lineRule="exact"/>
        <w:ind w:firstLine="640" w:firstLineChars="200"/>
        <w:rPr>
          <w:rFonts w:hint="eastAsia" w:ascii="仿宋_GB2312" w:hAnsi="宋体" w:eastAsia="仿宋_GB2312"/>
          <w:szCs w:val="32"/>
          <w:lang w:eastAsia="zh-CN"/>
        </w:rPr>
      </w:pPr>
      <w:r>
        <w:rPr>
          <w:rFonts w:hint="eastAsia" w:ascii="仿宋_GB2312" w:hAnsi="宋体" w:eastAsia="仿宋_GB2312"/>
          <w:szCs w:val="32"/>
        </w:rPr>
        <w:t>2018</w:t>
      </w:r>
      <w:r>
        <w:rPr>
          <w:rFonts w:hint="eastAsia" w:ascii="仿宋_GB2312" w:hAnsi="宋体" w:eastAsia="仿宋_GB2312"/>
          <w:szCs w:val="32"/>
          <w:lang w:eastAsia="zh-CN"/>
        </w:rPr>
        <w:t>至</w:t>
      </w:r>
      <w:r>
        <w:rPr>
          <w:rFonts w:hint="eastAsia" w:ascii="仿宋_GB2312" w:hAnsi="宋体" w:eastAsia="仿宋_GB2312"/>
          <w:szCs w:val="32"/>
          <w:lang w:val="en-US" w:eastAsia="zh-CN"/>
        </w:rPr>
        <w:t>2019</w:t>
      </w:r>
      <w:r>
        <w:rPr>
          <w:rFonts w:hint="eastAsia" w:ascii="仿宋_GB2312" w:hAnsi="宋体" w:eastAsia="仿宋_GB2312"/>
          <w:szCs w:val="32"/>
        </w:rPr>
        <w:t>年度</w:t>
      </w:r>
      <w:r>
        <w:rPr>
          <w:rFonts w:hint="eastAsia" w:ascii="仿宋_GB2312" w:hAnsi="宋体" w:eastAsia="仿宋_GB2312"/>
          <w:szCs w:val="32"/>
          <w:lang w:eastAsia="zh-CN"/>
        </w:rPr>
        <w:t>燃油</w:t>
      </w:r>
      <w:r>
        <w:rPr>
          <w:rFonts w:hint="eastAsia" w:ascii="仿宋_GB2312" w:hAnsi="宋体" w:eastAsia="仿宋_GB2312"/>
          <w:szCs w:val="32"/>
        </w:rPr>
        <w:t>公交车成品油价格补助</w:t>
      </w:r>
      <w:r>
        <w:rPr>
          <w:rFonts w:hint="eastAsia" w:ascii="仿宋_GB2312" w:hAnsi="宋体" w:eastAsia="仿宋_GB2312"/>
          <w:szCs w:val="32"/>
          <w:lang w:eastAsia="zh-CN"/>
        </w:rPr>
        <w:t>清算</w:t>
      </w:r>
      <w:r>
        <w:rPr>
          <w:rFonts w:hint="eastAsia" w:ascii="仿宋_GB2312" w:hAnsi="宋体" w:eastAsia="仿宋_GB2312"/>
          <w:szCs w:val="32"/>
        </w:rPr>
        <w:t>资金按照燃油公交车标台数、实际运营里程计算分配</w:t>
      </w:r>
      <w:r>
        <w:rPr>
          <w:rFonts w:hint="eastAsia" w:ascii="仿宋_GB2312" w:hAnsi="宋体" w:eastAsia="仿宋_GB2312"/>
          <w:szCs w:val="32"/>
          <w:lang w:eastAsia="zh-CN"/>
        </w:rPr>
        <w:t>，即按各辖区总标台里程数（</w:t>
      </w:r>
      <w:r>
        <w:rPr>
          <w:rFonts w:hint="eastAsia" w:ascii="仿宋_GB2312" w:hAnsi="宋体" w:eastAsia="仿宋_GB2312"/>
          <w:szCs w:val="32"/>
          <w:lang w:val="en-US" w:eastAsia="zh-CN"/>
        </w:rPr>
        <w:t>∑单车标台*公里</w:t>
      </w:r>
      <w:r>
        <w:rPr>
          <w:rFonts w:hint="eastAsia" w:ascii="仿宋_GB2312" w:hAnsi="宋体" w:eastAsia="仿宋_GB2312"/>
          <w:szCs w:val="32"/>
          <w:lang w:eastAsia="zh-CN"/>
        </w:rPr>
        <w:t>）所占全市比例进行分配；统筹清算</w:t>
      </w:r>
      <w:r>
        <w:rPr>
          <w:rFonts w:hint="eastAsia" w:ascii="仿宋_GB2312" w:hAnsi="宋体" w:eastAsia="仿宋_GB2312"/>
          <w:szCs w:val="32"/>
        </w:rPr>
        <w:t>资金按</w:t>
      </w:r>
      <w:r>
        <w:rPr>
          <w:rFonts w:hint="eastAsia" w:ascii="仿宋_GB2312" w:hAnsi="宋体" w:eastAsia="仿宋_GB2312"/>
          <w:szCs w:val="32"/>
          <w:lang w:eastAsia="zh-CN"/>
        </w:rPr>
        <w:t>月均里程达到</w:t>
      </w:r>
      <w:r>
        <w:rPr>
          <w:rFonts w:hint="eastAsia" w:ascii="仿宋_GB2312" w:hAnsi="宋体" w:eastAsia="仿宋_GB2312"/>
          <w:szCs w:val="32"/>
          <w:lang w:val="en-US" w:eastAsia="zh-CN"/>
        </w:rPr>
        <w:t>2500公里的</w:t>
      </w:r>
      <w:r>
        <w:rPr>
          <w:rFonts w:hint="eastAsia" w:ascii="仿宋_GB2312" w:hAnsi="宋体" w:eastAsia="仿宋_GB2312"/>
          <w:szCs w:val="32"/>
        </w:rPr>
        <w:t>新能源公交车</w:t>
      </w:r>
      <w:r>
        <w:rPr>
          <w:rFonts w:hint="eastAsia" w:ascii="仿宋_GB2312" w:hAnsi="宋体" w:eastAsia="仿宋_GB2312"/>
          <w:szCs w:val="32"/>
          <w:lang w:eastAsia="zh-CN"/>
        </w:rPr>
        <w:t>实际营运月数</w:t>
      </w:r>
      <w:r>
        <w:rPr>
          <w:rFonts w:hint="eastAsia" w:ascii="仿宋_GB2312" w:hAnsi="宋体" w:eastAsia="仿宋_GB2312"/>
          <w:szCs w:val="32"/>
        </w:rPr>
        <w:t>比例分配</w:t>
      </w:r>
      <w:r>
        <w:rPr>
          <w:rFonts w:hint="eastAsia" w:ascii="仿宋_GB2312" w:hAnsi="宋体" w:eastAsia="仿宋_GB2312"/>
          <w:szCs w:val="32"/>
          <w:lang w:eastAsia="zh-CN"/>
        </w:rPr>
        <w:t>，即按各辖区新能源公交车总运营月数（</w:t>
      </w:r>
      <w:r>
        <w:rPr>
          <w:rFonts w:hint="eastAsia" w:ascii="仿宋_GB2312" w:hAnsi="宋体" w:eastAsia="仿宋_GB2312"/>
          <w:szCs w:val="32"/>
          <w:lang w:val="en-US" w:eastAsia="zh-CN"/>
        </w:rPr>
        <w:t>∑单车运营月数</w:t>
      </w:r>
      <w:r>
        <w:rPr>
          <w:rFonts w:hint="eastAsia" w:ascii="仿宋_GB2312" w:hAnsi="宋体" w:eastAsia="仿宋_GB2312"/>
          <w:szCs w:val="32"/>
          <w:lang w:eastAsia="zh-CN"/>
        </w:rPr>
        <w:t>）所占全市比例进行分配。</w:t>
      </w:r>
    </w:p>
    <w:p>
      <w:pPr>
        <w:spacing w:line="600" w:lineRule="exact"/>
        <w:ind w:firstLine="640" w:firstLineChars="200"/>
        <w:rPr>
          <w:rFonts w:hint="eastAsia" w:ascii="仿宋_GB2312" w:hAnsi="宋体" w:eastAsia="仿宋_GB2312"/>
          <w:szCs w:val="32"/>
          <w:lang w:eastAsia="zh-CN"/>
        </w:rPr>
      </w:pPr>
      <w:r>
        <w:rPr>
          <w:rFonts w:hint="eastAsia" w:ascii="仿宋_GB2312" w:hAnsi="宋体" w:eastAsia="仿宋_GB2312"/>
          <w:szCs w:val="32"/>
        </w:rPr>
        <w:t>（</w:t>
      </w:r>
      <w:r>
        <w:rPr>
          <w:rFonts w:hint="eastAsia" w:ascii="仿宋_GB2312" w:hAnsi="宋体" w:eastAsia="仿宋_GB2312"/>
          <w:szCs w:val="32"/>
          <w:lang w:eastAsia="zh-CN"/>
        </w:rPr>
        <w:t>五</w:t>
      </w:r>
      <w:r>
        <w:rPr>
          <w:rFonts w:hint="eastAsia" w:ascii="仿宋_GB2312" w:hAnsi="宋体" w:eastAsia="仿宋_GB2312"/>
          <w:szCs w:val="32"/>
        </w:rPr>
        <w:t>）</w:t>
      </w:r>
      <w:r>
        <w:rPr>
          <w:rFonts w:hint="eastAsia" w:ascii="仿宋_GB2312" w:hAnsi="宋体" w:eastAsia="仿宋_GB2312"/>
          <w:szCs w:val="32"/>
          <w:lang w:eastAsia="zh-CN"/>
        </w:rPr>
        <w:t>清算数据来源。基于广东省综合运输管理信息平台油补数据，</w:t>
      </w:r>
      <w:r>
        <w:rPr>
          <w:rFonts w:hint="eastAsia" w:ascii="仿宋_GB2312" w:hAnsi="宋体" w:eastAsia="仿宋_GB2312"/>
          <w:szCs w:val="32"/>
          <w:lang w:val="en-US" w:eastAsia="zh-CN"/>
        </w:rPr>
        <w:t>经各县（市、区）交通运输管理部门核准后上报的数据。</w:t>
      </w:r>
    </w:p>
    <w:p>
      <w:pPr>
        <w:pStyle w:val="9"/>
        <w:spacing w:line="600" w:lineRule="exact"/>
        <w:ind w:firstLine="640" w:firstLineChars="200"/>
        <w:rPr>
          <w:rFonts w:ascii="黑体" w:hAnsi="黑体" w:eastAsia="黑体"/>
          <w:bCs/>
          <w:sz w:val="32"/>
          <w:szCs w:val="32"/>
        </w:rPr>
      </w:pPr>
      <w:r>
        <w:rPr>
          <w:rFonts w:hint="eastAsia" w:ascii="黑体" w:hAnsi="黑体" w:eastAsia="黑体"/>
          <w:bCs/>
          <w:sz w:val="32"/>
          <w:szCs w:val="32"/>
        </w:rPr>
        <w:t>三、</w:t>
      </w:r>
      <w:r>
        <w:rPr>
          <w:rFonts w:hint="eastAsia" w:ascii="黑体" w:hAnsi="黑体" w:eastAsia="黑体"/>
          <w:bCs/>
          <w:sz w:val="32"/>
          <w:szCs w:val="32"/>
          <w:lang w:eastAsia="zh-CN"/>
        </w:rPr>
        <w:t>补助清算资金</w:t>
      </w:r>
      <w:r>
        <w:rPr>
          <w:rFonts w:hint="eastAsia" w:ascii="黑体" w:hAnsi="黑体" w:eastAsia="黑体"/>
          <w:bCs/>
          <w:sz w:val="32"/>
          <w:szCs w:val="32"/>
        </w:rPr>
        <w:t>拨付方式</w:t>
      </w:r>
    </w:p>
    <w:p>
      <w:pPr>
        <w:pStyle w:val="9"/>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市公共交通集团有限公司补助</w:t>
      </w:r>
      <w:r>
        <w:rPr>
          <w:rFonts w:hint="eastAsia" w:ascii="仿宋_GB2312" w:hAnsi="宋体" w:eastAsia="仿宋_GB2312"/>
          <w:bCs/>
          <w:sz w:val="32"/>
          <w:szCs w:val="32"/>
          <w:lang w:eastAsia="zh-CN"/>
        </w:rPr>
        <w:t>清算</w:t>
      </w:r>
      <w:r>
        <w:rPr>
          <w:rFonts w:hint="eastAsia" w:ascii="仿宋_GB2312" w:hAnsi="宋体" w:eastAsia="仿宋_GB2312"/>
          <w:bCs/>
          <w:sz w:val="32"/>
          <w:szCs w:val="32"/>
        </w:rPr>
        <w:t>资金由市财政局</w:t>
      </w:r>
      <w:r>
        <w:rPr>
          <w:rFonts w:hint="eastAsia" w:ascii="仿宋_GB2312" w:hAnsi="宋体" w:eastAsia="仿宋_GB2312"/>
          <w:bCs/>
          <w:sz w:val="32"/>
          <w:szCs w:val="32"/>
          <w:lang w:eastAsia="zh-CN"/>
        </w:rPr>
        <w:t>直接拨付；</w:t>
      </w:r>
      <w:r>
        <w:rPr>
          <w:rFonts w:hint="eastAsia" w:ascii="仿宋_GB2312" w:hAnsi="宋体" w:eastAsia="仿宋_GB2312"/>
          <w:bCs/>
          <w:sz w:val="32"/>
          <w:szCs w:val="32"/>
        </w:rPr>
        <w:t>县（市、区）</w:t>
      </w:r>
      <w:r>
        <w:rPr>
          <w:rFonts w:hint="eastAsia" w:ascii="仿宋_GB2312" w:hAnsi="宋体" w:eastAsia="仿宋_GB2312"/>
          <w:bCs/>
          <w:sz w:val="32"/>
          <w:szCs w:val="32"/>
          <w:lang w:eastAsia="zh-CN"/>
        </w:rPr>
        <w:t>属</w:t>
      </w:r>
      <w:r>
        <w:rPr>
          <w:rFonts w:hint="eastAsia" w:ascii="仿宋_GB2312" w:hAnsi="宋体" w:eastAsia="仿宋_GB2312"/>
          <w:bCs/>
          <w:sz w:val="32"/>
          <w:szCs w:val="32"/>
        </w:rPr>
        <w:t>公交车补助</w:t>
      </w:r>
      <w:r>
        <w:rPr>
          <w:rFonts w:hint="eastAsia" w:ascii="仿宋_GB2312" w:hAnsi="宋体" w:eastAsia="仿宋_GB2312"/>
          <w:bCs/>
          <w:sz w:val="32"/>
          <w:szCs w:val="32"/>
          <w:lang w:eastAsia="zh-CN"/>
        </w:rPr>
        <w:t>清算</w:t>
      </w:r>
      <w:r>
        <w:rPr>
          <w:rFonts w:hint="eastAsia" w:ascii="仿宋_GB2312" w:hAnsi="宋体" w:eastAsia="仿宋_GB2312"/>
          <w:bCs/>
          <w:sz w:val="32"/>
          <w:szCs w:val="32"/>
        </w:rPr>
        <w:t>资金由市财政局下拨到县（市、区）财政局</w:t>
      </w:r>
      <w:r>
        <w:rPr>
          <w:rFonts w:hint="eastAsia" w:ascii="仿宋_GB2312" w:hAnsi="宋体" w:eastAsia="仿宋_GB2312"/>
          <w:bCs/>
          <w:sz w:val="32"/>
          <w:szCs w:val="32"/>
          <w:lang w:eastAsia="zh-CN"/>
        </w:rPr>
        <w:t>，县（市、区）交通运输局制定分配方案后</w:t>
      </w:r>
      <w:r>
        <w:rPr>
          <w:rFonts w:hint="eastAsia" w:ascii="仿宋_GB2312" w:hAnsi="宋体" w:eastAsia="仿宋_GB2312"/>
          <w:bCs/>
          <w:sz w:val="32"/>
          <w:szCs w:val="32"/>
        </w:rPr>
        <w:t>再</w:t>
      </w:r>
      <w:r>
        <w:rPr>
          <w:rFonts w:hint="eastAsia" w:ascii="仿宋_GB2312" w:hAnsi="宋体" w:eastAsia="仿宋_GB2312"/>
          <w:bCs/>
          <w:sz w:val="32"/>
          <w:szCs w:val="32"/>
          <w:lang w:eastAsia="zh-CN"/>
        </w:rPr>
        <w:t>拨付给</w:t>
      </w:r>
      <w:r>
        <w:rPr>
          <w:rFonts w:hint="eastAsia" w:ascii="仿宋_GB2312" w:hAnsi="宋体" w:eastAsia="仿宋_GB2312"/>
          <w:bCs/>
          <w:sz w:val="32"/>
          <w:szCs w:val="32"/>
        </w:rPr>
        <w:t>企业（具体分配金额详见附件）。</w:t>
      </w:r>
    </w:p>
    <w:p>
      <w:pPr>
        <w:pStyle w:val="9"/>
        <w:spacing w:line="600" w:lineRule="exact"/>
        <w:ind w:firstLine="640" w:firstLineChars="200"/>
        <w:rPr>
          <w:rFonts w:ascii="黑体" w:hAnsi="黑体" w:eastAsia="黑体"/>
          <w:bCs/>
          <w:sz w:val="32"/>
          <w:szCs w:val="32"/>
        </w:rPr>
      </w:pPr>
      <w:r>
        <w:rPr>
          <w:rFonts w:hint="eastAsia" w:ascii="黑体" w:hAnsi="黑体" w:eastAsia="黑体"/>
          <w:bCs/>
          <w:sz w:val="32"/>
          <w:szCs w:val="32"/>
        </w:rPr>
        <w:t>四、</w:t>
      </w:r>
      <w:r>
        <w:rPr>
          <w:rFonts w:hint="eastAsia" w:ascii="黑体" w:hAnsi="黑体" w:eastAsia="黑体"/>
          <w:bCs/>
          <w:sz w:val="32"/>
          <w:szCs w:val="32"/>
          <w:lang w:eastAsia="zh-CN"/>
        </w:rPr>
        <w:t>补助清算</w:t>
      </w:r>
      <w:r>
        <w:rPr>
          <w:rFonts w:hint="eastAsia" w:ascii="黑体" w:hAnsi="黑体" w:eastAsia="黑体"/>
          <w:bCs/>
          <w:sz w:val="32"/>
          <w:szCs w:val="32"/>
        </w:rPr>
        <w:t>资金发放要求</w:t>
      </w:r>
    </w:p>
    <w:p>
      <w:pPr>
        <w:pStyle w:val="9"/>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各县（市、区）交通运输局</w:t>
      </w:r>
      <w:r>
        <w:rPr>
          <w:rFonts w:hint="eastAsia" w:ascii="仿宋_GB2312" w:hAnsi="宋体" w:eastAsia="仿宋_GB2312"/>
          <w:bCs/>
          <w:sz w:val="32"/>
          <w:szCs w:val="32"/>
          <w:lang w:eastAsia="zh-CN"/>
        </w:rPr>
        <w:t>要审核后，及时将补助对象、补助标准和补助程序等内容进行公示，审核无误、公示无异议后方可执行</w:t>
      </w:r>
      <w:r>
        <w:rPr>
          <w:rFonts w:hint="eastAsia" w:ascii="仿宋_GB2312" w:hAnsi="宋体" w:eastAsia="仿宋_GB2312"/>
          <w:bCs/>
          <w:sz w:val="32"/>
          <w:szCs w:val="32"/>
        </w:rPr>
        <w:t>。</w:t>
      </w:r>
      <w:r>
        <w:rPr>
          <w:rFonts w:hint="eastAsia" w:ascii="仿宋_GB2312" w:hAnsi="宋体" w:eastAsia="仿宋_GB2312"/>
          <w:bCs/>
          <w:sz w:val="32"/>
          <w:szCs w:val="32"/>
          <w:lang w:eastAsia="zh-CN"/>
        </w:rPr>
        <w:t>补助清算</w:t>
      </w:r>
      <w:r>
        <w:rPr>
          <w:rFonts w:hint="eastAsia" w:ascii="仿宋_GB2312" w:hAnsi="宋体" w:eastAsia="仿宋_GB2312"/>
          <w:bCs/>
          <w:sz w:val="32"/>
          <w:szCs w:val="32"/>
        </w:rPr>
        <w:t>资金不得滞留、挤占、截留和挪用，确保</w:t>
      </w:r>
      <w:r>
        <w:rPr>
          <w:rFonts w:hint="eastAsia" w:ascii="仿宋_GB2312" w:hAnsi="宋体" w:eastAsia="仿宋_GB2312"/>
          <w:bCs/>
          <w:sz w:val="32"/>
          <w:szCs w:val="32"/>
          <w:lang w:eastAsia="zh-CN"/>
        </w:rPr>
        <w:t>补助</w:t>
      </w:r>
      <w:r>
        <w:rPr>
          <w:rFonts w:hint="eastAsia" w:ascii="仿宋_GB2312" w:hAnsi="宋体" w:eastAsia="仿宋_GB2312"/>
          <w:bCs/>
          <w:sz w:val="32"/>
          <w:szCs w:val="32"/>
        </w:rPr>
        <w:t>资金专款专用</w:t>
      </w:r>
      <w:r>
        <w:rPr>
          <w:rFonts w:hint="eastAsia" w:ascii="仿宋_GB2312" w:hAnsi="宋体" w:eastAsia="仿宋_GB2312"/>
          <w:bCs/>
          <w:sz w:val="32"/>
          <w:szCs w:val="32"/>
          <w:lang w:eastAsia="zh-CN"/>
        </w:rPr>
        <w:t>。</w:t>
      </w:r>
      <w:r>
        <w:rPr>
          <w:rFonts w:hint="eastAsia" w:ascii="仿宋_GB2312" w:hAnsi="宋体" w:eastAsia="仿宋_GB2312"/>
          <w:bCs/>
          <w:sz w:val="32"/>
          <w:szCs w:val="32"/>
        </w:rPr>
        <w:t>各县（市、区）交通运输局、市</w:t>
      </w:r>
      <w:r>
        <w:rPr>
          <w:rFonts w:hint="eastAsia" w:ascii="仿宋_GB2312" w:hAnsi="宋体" w:eastAsia="仿宋_GB2312"/>
          <w:bCs/>
          <w:sz w:val="32"/>
          <w:szCs w:val="32"/>
          <w:lang w:eastAsia="zh-CN"/>
        </w:rPr>
        <w:t>道路运输事务中心</w:t>
      </w:r>
      <w:r>
        <w:rPr>
          <w:rFonts w:hint="eastAsia" w:ascii="仿宋_GB2312" w:hAnsi="宋体" w:eastAsia="仿宋_GB2312"/>
          <w:bCs/>
          <w:sz w:val="32"/>
          <w:szCs w:val="32"/>
        </w:rPr>
        <w:t>要将此</w:t>
      </w:r>
      <w:r>
        <w:rPr>
          <w:rFonts w:hint="eastAsia" w:ascii="仿宋_GB2312" w:hAnsi="宋体" w:eastAsia="仿宋_GB2312"/>
          <w:bCs/>
          <w:sz w:val="32"/>
          <w:szCs w:val="32"/>
          <w:lang w:eastAsia="zh-CN"/>
        </w:rPr>
        <w:t>次城市公交车成品油价格补助清算资金发放</w:t>
      </w:r>
      <w:r>
        <w:rPr>
          <w:rFonts w:hint="eastAsia" w:ascii="仿宋_GB2312" w:hAnsi="宋体" w:eastAsia="仿宋_GB2312"/>
          <w:bCs/>
          <w:sz w:val="32"/>
          <w:szCs w:val="32"/>
        </w:rPr>
        <w:t>情况及时报市交通运输局。</w:t>
      </w:r>
    </w:p>
    <w:p>
      <w:pPr>
        <w:spacing w:line="560" w:lineRule="exact"/>
        <w:ind w:left="1440" w:leftChars="200" w:hanging="800" w:hangingChars="250"/>
        <w:rPr>
          <w:rFonts w:hint="eastAsia" w:ascii="仿宋_GB2312" w:hAnsi="宋体" w:eastAsia="仿宋_GB2312"/>
          <w:szCs w:val="32"/>
        </w:rPr>
      </w:pPr>
    </w:p>
    <w:p>
      <w:pPr>
        <w:spacing w:line="560" w:lineRule="exact"/>
        <w:ind w:left="1600" w:leftChars="200" w:hanging="960" w:hangingChars="300"/>
        <w:rPr>
          <w:rFonts w:hint="eastAsia" w:ascii="仿宋_GB2312" w:eastAsia="仿宋_GB2312"/>
          <w:szCs w:val="32"/>
        </w:rPr>
      </w:pPr>
      <w:r>
        <w:rPr>
          <w:rFonts w:hint="eastAsia" w:ascii="仿宋_GB2312" w:hAnsi="宋体" w:eastAsia="仿宋_GB2312"/>
          <w:szCs w:val="32"/>
        </w:rPr>
        <w:t>附件：</w:t>
      </w:r>
      <w:r>
        <w:rPr>
          <w:rFonts w:hint="eastAsia" w:ascii="仿宋_GB2312" w:hAnsi="仿宋" w:eastAsia="仿宋_GB2312"/>
          <w:szCs w:val="32"/>
        </w:rPr>
        <w:t>2015-2019年度城市公交车补助资金清算汇总表</w:t>
      </w:r>
    </w:p>
    <w:p>
      <w:pPr>
        <w:pStyle w:val="9"/>
        <w:wordWrap w:val="0"/>
        <w:spacing w:line="560" w:lineRule="exact"/>
        <w:ind w:left="1600" w:leftChars="200" w:right="800" w:hanging="960" w:hangingChars="300"/>
        <w:rPr>
          <w:rFonts w:ascii="仿宋_GB2312" w:hAnsi="仿宋" w:eastAsia="仿宋_GB2312"/>
          <w:sz w:val="32"/>
          <w:szCs w:val="32"/>
        </w:rPr>
      </w:pPr>
      <w:r>
        <w:rPr>
          <w:rFonts w:hint="eastAsia" w:ascii="仿宋_GB2312" w:hAnsi="宋体" w:eastAsia="仿宋_GB2312"/>
          <w:sz w:val="32"/>
          <w:szCs w:val="32"/>
        </w:rPr>
        <w:t xml:space="preserve">    </w:t>
      </w:r>
      <w:r>
        <w:rPr>
          <w:rFonts w:hint="eastAsia" w:ascii="仿宋_GB2312" w:hAnsi="仿宋" w:eastAsia="仿宋_GB2312"/>
          <w:sz w:val="32"/>
          <w:szCs w:val="32"/>
        </w:rPr>
        <w:t xml:space="preserve">  </w:t>
      </w:r>
    </w:p>
    <w:p>
      <w:pPr>
        <w:widowControl/>
        <w:rPr>
          <w:rFonts w:ascii="仿宋_GB2312"/>
          <w:sz w:val="20"/>
          <w:szCs w:val="20"/>
        </w:rPr>
      </w:pPr>
      <w:r>
        <w:rPr>
          <w:rFonts w:ascii="仿宋_GB2312" w:hAnsi="仿宋"/>
          <w:szCs w:val="32"/>
        </w:rPr>
        <w:br w:type="page"/>
      </w:r>
    </w:p>
    <w:p>
      <w:pPr>
        <w:rPr>
          <w:rFonts w:hint="eastAsia" w:ascii="仿宋_GB2312" w:hAnsi="宋体" w:eastAsia="仿宋_GB2312" w:cs="Times New Roman"/>
          <w:b/>
          <w:bCs w:val="0"/>
          <w:kern w:val="2"/>
          <w:sz w:val="32"/>
          <w:szCs w:val="32"/>
          <w:lang w:val="en-US" w:eastAsia="zh-CN" w:bidi="ar-SA"/>
        </w:rPr>
      </w:pPr>
      <w:r>
        <w:rPr>
          <w:rFonts w:hint="eastAsia" w:ascii="仿宋_GB2312" w:hAnsi="宋体" w:eastAsia="仿宋_GB2312" w:cs="Times New Roman"/>
          <w:b/>
          <w:bCs w:val="0"/>
          <w:kern w:val="2"/>
          <w:sz w:val="32"/>
          <w:szCs w:val="32"/>
          <w:lang w:val="en-US" w:eastAsia="zh-CN" w:bidi="ar-SA"/>
        </w:rPr>
        <w:t>附件</w:t>
      </w:r>
    </w:p>
    <w:p>
      <w:pPr>
        <w:jc w:val="center"/>
        <w:rPr>
          <w:rFonts w:hint="eastAsia"/>
          <w:b/>
          <w:bCs/>
          <w:sz w:val="32"/>
          <w:szCs w:val="32"/>
          <w:lang w:eastAsia="zh-CN"/>
        </w:rPr>
      </w:pPr>
      <w:r>
        <w:rPr>
          <w:rFonts w:hint="eastAsia"/>
          <w:b/>
          <w:bCs/>
          <w:sz w:val="32"/>
          <w:szCs w:val="32"/>
          <w:lang w:eastAsia="zh-CN"/>
        </w:rPr>
        <w:t>2015-2019年度城市公交车补助资金清算汇总表</w:t>
      </w: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586"/>
        <w:gridCol w:w="1890"/>
        <w:gridCol w:w="1999"/>
        <w:gridCol w:w="2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5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辖区</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2015-2019年燃油公交车补助资金（元）</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2015-2019年新能源公交车统筹资金（元）</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2015-2019年城市公交车补助资金清算合计（元）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4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栏次关系</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242"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全市合计</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16862980</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2975820</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19838800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吴川市</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583253</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64891</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648144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遂溪县</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607570</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607570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廉江市</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1523251</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1523251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雷州市</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6413112</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6413112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徐闻县</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4446094</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4446094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5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坡头区</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1178931</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289317</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1468248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5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开发区</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1870892</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106458</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1977350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8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rPr>
            </w:pPr>
            <w:r>
              <w:rPr>
                <w:rFonts w:hint="default" w:ascii="仿宋_GB2312" w:hAnsi="宋体" w:eastAsia="仿宋_GB2312" w:cs="仿宋_GB2312"/>
                <w:i w:val="0"/>
                <w:color w:val="000000"/>
                <w:kern w:val="0"/>
                <w:sz w:val="22"/>
                <w:szCs w:val="22"/>
                <w:u w:val="none"/>
                <w:lang w:val="en-US" w:eastAsia="zh-CN" w:bidi="ar"/>
              </w:rPr>
              <w:t>市公共交通集团有限公司</w:t>
            </w:r>
          </w:p>
        </w:tc>
        <w:tc>
          <w:tcPr>
            <w:tcW w:w="18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239877</w:t>
            </w:r>
          </w:p>
        </w:tc>
        <w:tc>
          <w:tcPr>
            <w:tcW w:w="199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2515154</w:t>
            </w:r>
          </w:p>
        </w:tc>
        <w:tc>
          <w:tcPr>
            <w:tcW w:w="217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2755031</w:t>
            </w:r>
          </w:p>
        </w:tc>
      </w:tr>
    </w:tbl>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备注：2015年清算补贴3.48万元，2016年清算补贴205.46万元，2017年清算补贴542.29万元，2018年清算退回646.76万元，2019年清算补贴1879.41万元。</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7902D0"/>
    <w:rsid w:val="001F36B8"/>
    <w:rsid w:val="002F70B1"/>
    <w:rsid w:val="00323B43"/>
    <w:rsid w:val="00354524"/>
    <w:rsid w:val="00397E08"/>
    <w:rsid w:val="003D37D8"/>
    <w:rsid w:val="004358AB"/>
    <w:rsid w:val="00470EF4"/>
    <w:rsid w:val="005B0B08"/>
    <w:rsid w:val="007548D1"/>
    <w:rsid w:val="007902D0"/>
    <w:rsid w:val="008B7726"/>
    <w:rsid w:val="00B53976"/>
    <w:rsid w:val="00CA26DA"/>
    <w:rsid w:val="00CA555A"/>
    <w:rsid w:val="00CE10EC"/>
    <w:rsid w:val="00D81CC4"/>
    <w:rsid w:val="00F717D1"/>
    <w:rsid w:val="00FB7683"/>
    <w:rsid w:val="1CFB8171"/>
    <w:rsid w:val="36FFEE05"/>
    <w:rsid w:val="37B7335B"/>
    <w:rsid w:val="7EFB3989"/>
    <w:rsid w:val="AFB37872"/>
    <w:rsid w:val="CBEEF2A1"/>
    <w:rsid w:val="DBFF46C9"/>
    <w:rsid w:val="FC8E73A4"/>
    <w:rsid w:val="FF7EAE5A"/>
    <w:rsid w:val="FFBF0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widowControl/>
      <w:tabs>
        <w:tab w:val="center" w:pos="4153"/>
        <w:tab w:val="right" w:pos="8306"/>
      </w:tabs>
      <w:adjustRightInd w:val="0"/>
      <w:snapToGrid w:val="0"/>
      <w:jc w:val="left"/>
    </w:pPr>
    <w:rPr>
      <w:rFonts w:ascii="Tahoma" w:hAnsi="Tahoma" w:eastAsia="微软雅黑" w:cstheme="minorBidi"/>
      <w:kern w:val="0"/>
      <w:sz w:val="18"/>
      <w:szCs w:val="18"/>
    </w:rPr>
  </w:style>
  <w:style w:type="paragraph" w:styleId="3">
    <w:name w:val="header"/>
    <w:basedOn w:val="1"/>
    <w:link w:val="7"/>
    <w:unhideWhenUsed/>
    <w:qFormat/>
    <w:uiPriority w:val="99"/>
    <w:pPr>
      <w:widowControl/>
      <w:tabs>
        <w:tab w:val="center" w:pos="4153"/>
        <w:tab w:val="right" w:pos="8306"/>
      </w:tabs>
      <w:adjustRightInd w:val="0"/>
      <w:snapToGrid w:val="0"/>
      <w:jc w:val="center"/>
    </w:pPr>
    <w:rPr>
      <w:rFonts w:ascii="Tahoma" w:hAnsi="Tahoma" w:eastAsiaTheme="majorEastAsia" w:cstheme="minorBidi"/>
      <w:kern w:val="0"/>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99"/>
    <w:rPr>
      <w:rFonts w:ascii="Tahoma" w:hAnsi="Tahoma" w:eastAsiaTheme="majorEastAsia"/>
      <w:sz w:val="18"/>
      <w:szCs w:val="18"/>
    </w:rPr>
  </w:style>
  <w:style w:type="character" w:customStyle="1" w:styleId="8">
    <w:name w:val="页脚 Char"/>
    <w:basedOn w:val="6"/>
    <w:link w:val="2"/>
    <w:semiHidden/>
    <w:qFormat/>
    <w:uiPriority w:val="99"/>
    <w:rPr>
      <w:rFonts w:ascii="Tahoma" w:hAnsi="Tahoma"/>
      <w:sz w:val="18"/>
      <w:szCs w:val="18"/>
    </w:rPr>
  </w:style>
  <w:style w:type="paragraph" w:customStyle="1" w:styleId="9">
    <w:name w:val="正文 New"/>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395</Words>
  <Characters>2258</Characters>
  <Lines>18</Lines>
  <Paragraphs>5</Paragraphs>
  <TotalTime>1</TotalTime>
  <ScaleCrop>false</ScaleCrop>
  <LinksUpToDate>false</LinksUpToDate>
  <CharactersWithSpaces>2648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2019-05-03T09:03:00Z</dcterms:created>
  <dc:creator>田学汉</dc:creator>
  <cp:lastModifiedBy>田学汉</cp:lastModifiedBy>
  <dcterms:modified xsi:type="dcterms:W3CDTF">2023-05-19T16:55:38Z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