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《湛江市利用非居住存量房屋改建为保障性租赁住房受理流程》政策解读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 w:firstLineChars="200"/>
        <w:jc w:val="left"/>
        <w:rPr>
          <w:rFonts w:hint="default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为规范非居住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  <w:lang w:eastAsia="zh-CN"/>
        </w:rPr>
        <w:t>存量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房屋改建为保障性租赁住房（以下简称“非居改保”）行为，切实增加保障性租赁住房供给，有效缓解新市民、青年人的阶段性住房困难，根据《国务院办公厅关于加快发展保障性租赁住房的意见》(国办发〔2021〕22号，以下简称国办22号文)、《广东省人民政府办公厅关于加快发展保障性租赁住房的实施意见》（粤府办〔2021〕39号，以下简称省府办39号文）及《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  <w:lang w:eastAsia="zh-CN"/>
        </w:rPr>
        <w:t>湛江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市人民政府办公厅关于加快发展保障性租赁住房的实施意见》（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  <w:lang w:eastAsia="zh-CN"/>
        </w:rPr>
        <w:t>湛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府办函〔2022〕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3号，以下简称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  <w:lang w:eastAsia="zh-CN"/>
        </w:rPr>
        <w:t>湛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府办函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3号文）等文件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  <w:lang w:eastAsia="zh-CN"/>
        </w:rPr>
        <w:t>精神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，市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  <w:lang w:eastAsia="zh-CN"/>
        </w:rPr>
        <w:t>住房和城乡建设局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制定了《湛江市利用非居住存量房屋改建为保障性租赁住房受理流程》（以下简称《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  <w:lang w:eastAsia="zh-CN"/>
        </w:rPr>
        <w:t>受理流程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》），相关政策解读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  <w:lang w:eastAsia="zh-CN"/>
        </w:rPr>
        <w:t>如下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040404"/>
          <w:spacing w:val="0"/>
          <w:sz w:val="32"/>
          <w:szCs w:val="32"/>
        </w:rPr>
      </w:pPr>
      <w:r>
        <w:rPr>
          <w:rStyle w:val="8"/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　　</w:t>
      </w:r>
      <w:r>
        <w:rPr>
          <w:rStyle w:val="8"/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040404"/>
          <w:spacing w:val="0"/>
          <w:sz w:val="32"/>
          <w:szCs w:val="32"/>
          <w:shd w:val="clear" w:fill="FFFFFF"/>
        </w:rPr>
        <w:t>一、政策起草背景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default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　　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40404"/>
          <w:spacing w:val="0"/>
          <w:sz w:val="32"/>
          <w:szCs w:val="32"/>
          <w:shd w:val="clear" w:fill="FFFFFF"/>
        </w:rPr>
        <w:t>（一）贯彻落实国家、省、市工作部署的需要。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国办22号文允许将闲置和低效利用的商业办公、旅馆、厂房、仓储、科研教育等非居住存量房屋改建为保障性租赁住房。省府办39号文要求各地出台“非居改保”具体工作指引及激励措施。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  <w:lang w:eastAsia="zh-CN"/>
        </w:rPr>
        <w:t>湛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府办函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3号文提出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  <w:lang w:eastAsia="zh-CN"/>
        </w:rPr>
        <w:t>支持非居住存量房屋建设为保障性租赁住房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，加大保障性租赁住房房源供给。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　　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40404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val="en-US" w:eastAsia="zh-CN"/>
        </w:rPr>
        <w:t>满足青年人、新市民租赁需求的重要举措。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近年来，随着重点企业的进驻，新市民、青年人持续流入，此类人群收入较高，已超越公租房的保障条件；但大部分人又达不到人才公寓保障条件，新市民、青年人群体住房困难问题比较突出。制定本《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  <w:lang w:eastAsia="zh-CN"/>
        </w:rPr>
        <w:t>受理流程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》，引导闲置和低效利用的存量非居住房屋改造成保障性租赁住房，有利于进一步拓宽我市保障性租赁住房供应渠道，满足新市民、青年人等群体的住房租赁需求。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lang w:eastAsia="zh-CN"/>
        </w:rPr>
      </w:pPr>
      <w:r>
        <w:rPr>
          <w:rStyle w:val="8"/>
          <w:rFonts w:hint="eastAsia" w:ascii="CESI仿宋-GB2312" w:hAnsi="CESI仿宋-GB2312" w:eastAsia="CESI仿宋-GB2312" w:cs="CESI仿宋-GB2312"/>
          <w:i w:val="0"/>
          <w:caps w:val="0"/>
          <w:color w:val="040404"/>
          <w:spacing w:val="0"/>
          <w:sz w:val="32"/>
          <w:szCs w:val="32"/>
          <w:shd w:val="clear" w:fill="FFFFFF"/>
        </w:rPr>
        <w:t>　　</w:t>
      </w:r>
      <w:r>
        <w:rPr>
          <w:rStyle w:val="8"/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040404"/>
          <w:spacing w:val="0"/>
          <w:sz w:val="32"/>
          <w:szCs w:val="32"/>
          <w:shd w:val="clear" w:fill="FFFFFF"/>
        </w:rPr>
        <w:t>二、</w:t>
      </w:r>
      <w:r>
        <w:rPr>
          <w:rStyle w:val="8"/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040404"/>
          <w:spacing w:val="0"/>
          <w:sz w:val="32"/>
          <w:szCs w:val="32"/>
          <w:shd w:val="clear" w:fill="FFFFFF"/>
          <w:lang w:eastAsia="zh-CN"/>
        </w:rPr>
        <w:t>政策适用范围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全市已合法建成并办理不动产权登记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闲置和低效利用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商业、办公、旅馆、厂房、仓储、科研教育等非居住存量房屋。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房屋权属清晰，结构安全，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房屋不存在查封登记或违建等限制交易情况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，房屋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未被纳入征收计划。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改建规模不少于 50 套（间）且项目总建筑面积不少于 2000 平方米。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left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在三类工业用地、三类物流仓储用地上的房屋不得改建为保障性租赁住房。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left"/>
        <w:rPr>
          <w:rFonts w:hint="eastAsia" w:ascii="CESI黑体-GB2312" w:hAnsi="CESI黑体-GB2312" w:eastAsia="CESI黑体-GB2312" w:cs="CESI黑体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auto"/>
          <w:kern w:val="2"/>
          <w:sz w:val="32"/>
          <w:szCs w:val="32"/>
          <w:lang w:val="en-US" w:eastAsia="zh-CN" w:bidi="ar-SA"/>
        </w:rPr>
        <w:t>申请材料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书面申请、房屋权属证、实施单位的营业执照、房屋安全鉴定报告、资质公司提供的项目改造前后设计图、改造项目他项权益人同意改造的书面意见、存在租赁关系的，提供租赁合同。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kern w:val="2"/>
          <w:sz w:val="32"/>
          <w:szCs w:val="32"/>
          <w:lang w:val="en-US" w:eastAsia="zh-CN" w:bidi="ar-SA"/>
        </w:rPr>
        <w:t>认定流程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各县（市）辖区内的项目，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实施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单位向项目所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住建主管部门提出申请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属地政府开展联合审查并出具《初审意见书》报市住建局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市区辖区内的项目，实施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单位向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市住建局提出申请，市住建局牵头开展联合审查并出具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《初审意见书》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。市住建局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汇总《初审意见书》后报市政府审定，由市政府授权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市住建局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出具《保障性租赁住房项目认定书》。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40" w:leftChars="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  <w:t>五、建设和使用安全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项目需取得《建设工程施工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许</w:t>
      </w: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可证》后方可开展施工。</w:t>
      </w: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改建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项目需通过竣工验收备案方可投入使用。</w:t>
      </w: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三是</w:t>
      </w: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项目用作保障性租赁住房期间，按照我市保障性租赁住房管理相关规定进行管理。</w:t>
      </w: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四是</w:t>
      </w: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宿舍型租赁住房和改建住宅型租赁住房，按照《住房和城乡建设部关于集中式租赁住房适用标准的通知》</w:t>
      </w:r>
      <w:bookmarkStart w:id="0" w:name="_GoBack"/>
      <w:bookmarkEnd w:id="0"/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相关规定执行。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F73BE2"/>
    <w:multiLevelType w:val="singleLevel"/>
    <w:tmpl w:val="E9F73BE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F81A4"/>
    <w:rsid w:val="CBFFDA35"/>
    <w:rsid w:val="FBED8AB6"/>
    <w:rsid w:val="FEBF8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2023-02-09T03:17:00Z</dcterms:created>
  <dc:creator>廖烈清</dc:creator>
  <cp:lastModifiedBy>廖烈清</cp:lastModifiedBy>
  <dcterms:modified xsi:type="dcterms:W3CDTF">2023-05-04T11:28:07Z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