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wordWrap/>
        <w:overflowPunct/>
        <w:topLinePunct w:val="0"/>
        <w:autoSpaceDE/>
        <w:autoSpaceDN/>
        <w:bidi w:val="0"/>
        <w:spacing w:line="510" w:lineRule="exact"/>
        <w:jc w:val="both"/>
        <w:textAlignment w:val="auto"/>
        <w:rPr>
          <w:rFonts w:ascii="黑体" w:hAnsi="黑体" w:eastAsia="黑体" w:cs="Times New Roman"/>
          <w:b/>
          <w:bCs/>
          <w:sz w:val="36"/>
          <w:szCs w:val="36"/>
        </w:rPr>
      </w:pPr>
      <w:r>
        <w:rPr>
          <w:rFonts w:hint="eastAsia" w:ascii="黑体" w:hAnsi="黑体" w:eastAsia="黑体" w:cs="Times New Roman"/>
          <w:b w:val="0"/>
          <w:bCs w:val="0"/>
          <w:sz w:val="32"/>
          <w:szCs w:val="32"/>
          <w:lang w:eastAsia="zh-CN"/>
        </w:rPr>
        <w:t>附件</w:t>
      </w:r>
    </w:p>
    <w:p>
      <w:pPr>
        <w:keepNext w:val="0"/>
        <w:keepLines w:val="0"/>
        <w:pageBreakBefore w:val="0"/>
        <w:widowControl w:val="0"/>
        <w:kinsoku/>
        <w:wordWrap/>
        <w:overflowPunct/>
        <w:topLinePunct w:val="0"/>
        <w:autoSpaceDE/>
        <w:autoSpaceDN/>
        <w:bidi w:val="0"/>
        <w:adjustRightInd/>
        <w:snapToGrid w:val="0"/>
        <w:spacing w:line="510" w:lineRule="exact"/>
        <w:jc w:val="center"/>
        <w:textAlignment w:val="auto"/>
        <w:rPr>
          <w:rFonts w:hint="eastAsia" w:ascii="CESI小标宋-GB2312" w:hAnsi="CESI小标宋-GB2312" w:eastAsia="CESI小标宋-GB2312" w:cs="CESI小标宋-GB2312"/>
          <w:sz w:val="44"/>
          <w:szCs w:val="44"/>
        </w:rPr>
      </w:pPr>
    </w:p>
    <w:p>
      <w:pPr>
        <w:keepNext w:val="0"/>
        <w:keepLines w:val="0"/>
        <w:pageBreakBefore w:val="0"/>
        <w:widowControl w:val="0"/>
        <w:kinsoku/>
        <w:wordWrap/>
        <w:overflowPunct/>
        <w:topLinePunct w:val="0"/>
        <w:autoSpaceDE/>
        <w:autoSpaceDN/>
        <w:bidi w:val="0"/>
        <w:adjustRightInd/>
        <w:snapToGrid w:val="0"/>
        <w:spacing w:line="510" w:lineRule="exact"/>
        <w:jc w:val="center"/>
        <w:textAlignment w:val="auto"/>
        <w:rPr>
          <w:rFonts w:hint="eastAsia" w:ascii="CESI小标宋-GB2312" w:hAnsi="CESI小标宋-GB2312" w:eastAsia="CESI小标宋-GB2312" w:cs="CESI小标宋-GB2312"/>
          <w:sz w:val="44"/>
          <w:szCs w:val="44"/>
        </w:rPr>
      </w:pPr>
      <w:r>
        <w:rPr>
          <w:rFonts w:hint="eastAsia" w:ascii="CESI小标宋-GB2312" w:hAnsi="CESI小标宋-GB2312" w:eastAsia="CESI小标宋-GB2312" w:cs="CESI小标宋-GB2312"/>
          <w:sz w:val="44"/>
          <w:szCs w:val="44"/>
        </w:rPr>
        <w:t>湛江市民政局关于印发202</w:t>
      </w:r>
      <w:r>
        <w:rPr>
          <w:rFonts w:hint="eastAsia" w:ascii="CESI小标宋-GB2312" w:hAnsi="CESI小标宋-GB2312" w:eastAsia="CESI小标宋-GB2312" w:cs="CESI小标宋-GB2312"/>
          <w:sz w:val="44"/>
          <w:szCs w:val="44"/>
          <w:lang w:val="en-US" w:eastAsia="zh-CN"/>
        </w:rPr>
        <w:t>3</w:t>
      </w:r>
      <w:r>
        <w:rPr>
          <w:rFonts w:hint="eastAsia" w:ascii="CESI小标宋-GB2312" w:hAnsi="CESI小标宋-GB2312" w:eastAsia="CESI小标宋-GB2312" w:cs="CESI小标宋-GB2312"/>
          <w:sz w:val="44"/>
          <w:szCs w:val="44"/>
        </w:rPr>
        <w:t>年湛江市</w:t>
      </w:r>
    </w:p>
    <w:p>
      <w:pPr>
        <w:keepNext w:val="0"/>
        <w:keepLines w:val="0"/>
        <w:pageBreakBefore w:val="0"/>
        <w:widowControl w:val="0"/>
        <w:kinsoku/>
        <w:wordWrap/>
        <w:overflowPunct/>
        <w:topLinePunct w:val="0"/>
        <w:autoSpaceDE/>
        <w:autoSpaceDN/>
        <w:bidi w:val="0"/>
        <w:adjustRightInd/>
        <w:snapToGrid w:val="0"/>
        <w:spacing w:line="510" w:lineRule="exact"/>
        <w:jc w:val="center"/>
        <w:textAlignment w:val="auto"/>
        <w:rPr>
          <w:rFonts w:hint="eastAsia" w:ascii="CESI小标宋-GB2312" w:hAnsi="CESI小标宋-GB2312" w:eastAsia="CESI小标宋-GB2312" w:cs="CESI小标宋-GB2312"/>
          <w:sz w:val="44"/>
          <w:szCs w:val="44"/>
        </w:rPr>
      </w:pPr>
      <w:r>
        <w:rPr>
          <w:rFonts w:hint="eastAsia" w:ascii="CESI小标宋-GB2312" w:hAnsi="CESI小标宋-GB2312" w:eastAsia="CESI小标宋-GB2312" w:cs="CESI小标宋-GB2312"/>
          <w:sz w:val="44"/>
          <w:szCs w:val="44"/>
        </w:rPr>
        <w:t>城乡低保标准及特困人员基本</w:t>
      </w:r>
    </w:p>
    <w:p>
      <w:pPr>
        <w:keepNext w:val="0"/>
        <w:keepLines w:val="0"/>
        <w:pageBreakBefore w:val="0"/>
        <w:widowControl w:val="0"/>
        <w:kinsoku/>
        <w:wordWrap/>
        <w:overflowPunct/>
        <w:topLinePunct w:val="0"/>
        <w:autoSpaceDE/>
        <w:autoSpaceDN/>
        <w:bidi w:val="0"/>
        <w:adjustRightInd/>
        <w:snapToGrid w:val="0"/>
        <w:spacing w:line="510" w:lineRule="exact"/>
        <w:jc w:val="center"/>
        <w:textAlignment w:val="auto"/>
        <w:rPr>
          <w:rFonts w:hint="eastAsia" w:ascii="CESI小标宋-GB2312" w:hAnsi="CESI小标宋-GB2312" w:eastAsia="CESI小标宋-GB2312" w:cs="CESI小标宋-GB2312"/>
          <w:sz w:val="44"/>
          <w:szCs w:val="44"/>
        </w:rPr>
      </w:pPr>
      <w:r>
        <w:rPr>
          <w:rFonts w:hint="eastAsia" w:ascii="CESI小标宋-GB2312" w:hAnsi="CESI小标宋-GB2312" w:eastAsia="CESI小标宋-GB2312" w:cs="CESI小标宋-GB2312"/>
          <w:sz w:val="44"/>
          <w:szCs w:val="44"/>
        </w:rPr>
        <w:t>生活供养标准的通知</w:t>
      </w:r>
    </w:p>
    <w:p>
      <w:pPr>
        <w:keepNext w:val="0"/>
        <w:keepLines w:val="0"/>
        <w:pageBreakBefore w:val="0"/>
        <w:kinsoku/>
        <w:wordWrap/>
        <w:overflowPunct/>
        <w:topLinePunct w:val="0"/>
        <w:autoSpaceDE/>
        <w:autoSpaceDN/>
        <w:bidi w:val="0"/>
        <w:snapToGrid w:val="0"/>
        <w:spacing w:line="510" w:lineRule="exact"/>
        <w:ind w:firstLine="3200" w:firstLineChars="10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（征求意见稿）</w:t>
      </w:r>
    </w:p>
    <w:p>
      <w:pPr>
        <w:keepNext w:val="0"/>
        <w:keepLines w:val="0"/>
        <w:pageBreakBefore w:val="0"/>
        <w:kinsoku/>
        <w:wordWrap/>
        <w:overflowPunct/>
        <w:topLinePunct w:val="0"/>
        <w:autoSpaceDE/>
        <w:autoSpaceDN/>
        <w:bidi w:val="0"/>
        <w:snapToGrid w:val="0"/>
        <w:spacing w:line="510" w:lineRule="exact"/>
        <w:jc w:val="center"/>
        <w:textAlignment w:val="auto"/>
        <w:rPr>
          <w:rFonts w:hint="eastAsia" w:ascii="CESI仿宋-GB2312" w:hAnsi="CESI仿宋-GB2312" w:eastAsia="CESI仿宋-GB2312" w:cs="CESI仿宋-GB2312"/>
          <w:sz w:val="32"/>
          <w:szCs w:val="32"/>
        </w:rPr>
      </w:pPr>
    </w:p>
    <w:p>
      <w:pPr>
        <w:keepNext w:val="0"/>
        <w:keepLines w:val="0"/>
        <w:pageBreakBefore w:val="0"/>
        <w:kinsoku/>
        <w:wordWrap/>
        <w:overflowPunct/>
        <w:topLinePunct w:val="0"/>
        <w:autoSpaceDE/>
        <w:autoSpaceDN/>
        <w:bidi w:val="0"/>
        <w:snapToGrid w:val="0"/>
        <w:spacing w:line="510" w:lineRule="exact"/>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各县（市、区）人民政府（管委会），市直有关单位：</w:t>
      </w:r>
    </w:p>
    <w:p>
      <w:pPr>
        <w:keepNext w:val="0"/>
        <w:keepLines w:val="0"/>
        <w:pageBreakBefore w:val="0"/>
        <w:widowControl/>
        <w:kinsoku/>
        <w:wordWrap/>
        <w:overflowPunct/>
        <w:topLinePunct w:val="0"/>
        <w:autoSpaceDE/>
        <w:autoSpaceDN/>
        <w:bidi w:val="0"/>
        <w:adjustRightInd w:val="0"/>
        <w:snapToGrid w:val="0"/>
        <w:spacing w:line="51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根据《广东省民政厅关于印发202</w:t>
      </w: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rPr>
        <w:t>年全省城乡低保最低标准的通知》（粤民发〔202</w:t>
      </w: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rPr>
        <w:t>〕</w:t>
      </w:r>
      <w:r>
        <w:rPr>
          <w:rFonts w:hint="eastAsia" w:ascii="CESI仿宋-GB2312" w:hAnsi="CESI仿宋-GB2312" w:eastAsia="CESI仿宋-GB2312" w:cs="CESI仿宋-GB2312"/>
          <w:sz w:val="32"/>
          <w:szCs w:val="32"/>
          <w:lang w:val="en-US" w:eastAsia="zh-CN"/>
        </w:rPr>
        <w:t>44</w:t>
      </w:r>
      <w:r>
        <w:rPr>
          <w:rFonts w:hint="eastAsia" w:ascii="CESI仿宋-GB2312" w:hAnsi="CESI仿宋-GB2312" w:eastAsia="CESI仿宋-GB2312" w:cs="CESI仿宋-GB2312"/>
          <w:sz w:val="32"/>
          <w:szCs w:val="32"/>
        </w:rPr>
        <w:t>号）和</w:t>
      </w:r>
      <w:r>
        <w:rPr>
          <w:rFonts w:hint="eastAsia" w:ascii="CESI仿宋-GB2312" w:hAnsi="CESI仿宋-GB2312" w:eastAsia="CESI仿宋-GB2312" w:cs="CESI仿宋-GB2312"/>
          <w:b w:val="0"/>
          <w:bCs w:val="0"/>
          <w:color w:val="auto"/>
          <w:sz w:val="32"/>
          <w:szCs w:val="32"/>
        </w:rPr>
        <w:t>《广东省民政厅关于</w:t>
      </w:r>
      <w:r>
        <w:rPr>
          <w:rFonts w:hint="eastAsia" w:ascii="CESI仿宋-GB2312" w:hAnsi="CESI仿宋-GB2312" w:eastAsia="CESI仿宋-GB2312" w:cs="CESI仿宋-GB2312"/>
          <w:b w:val="0"/>
          <w:bCs w:val="0"/>
          <w:color w:val="auto"/>
          <w:sz w:val="32"/>
          <w:szCs w:val="32"/>
          <w:lang w:eastAsia="zh-CN"/>
        </w:rPr>
        <w:t>提高</w:t>
      </w:r>
      <w:bookmarkStart w:id="0" w:name="_GoBack"/>
      <w:bookmarkEnd w:id="0"/>
      <w:r>
        <w:rPr>
          <w:rFonts w:hint="eastAsia" w:ascii="CESI仿宋-GB2312" w:hAnsi="CESI仿宋-GB2312" w:eastAsia="CESI仿宋-GB2312" w:cs="CESI仿宋-GB2312"/>
          <w:b w:val="0"/>
          <w:bCs w:val="0"/>
          <w:color w:val="auto"/>
          <w:sz w:val="32"/>
          <w:szCs w:val="32"/>
        </w:rPr>
        <w:t>特困人员基本生活供养标准的通知》（粤民函〔202</w:t>
      </w:r>
      <w:r>
        <w:rPr>
          <w:rFonts w:hint="eastAsia" w:ascii="CESI仿宋-GB2312" w:hAnsi="CESI仿宋-GB2312" w:eastAsia="CESI仿宋-GB2312" w:cs="CESI仿宋-GB2312"/>
          <w:b w:val="0"/>
          <w:bCs w:val="0"/>
          <w:color w:val="auto"/>
          <w:sz w:val="32"/>
          <w:szCs w:val="32"/>
          <w:lang w:val="en-US" w:eastAsia="zh-CN"/>
        </w:rPr>
        <w:t>3</w:t>
      </w:r>
      <w:r>
        <w:rPr>
          <w:rFonts w:hint="eastAsia" w:ascii="CESI仿宋-GB2312" w:hAnsi="CESI仿宋-GB2312" w:eastAsia="CESI仿宋-GB2312" w:cs="CESI仿宋-GB2312"/>
          <w:b w:val="0"/>
          <w:bCs w:val="0"/>
          <w:color w:val="auto"/>
          <w:sz w:val="32"/>
          <w:szCs w:val="32"/>
        </w:rPr>
        <w:t>〕</w:t>
      </w:r>
      <w:r>
        <w:rPr>
          <w:rFonts w:hint="eastAsia" w:ascii="CESI仿宋-GB2312" w:hAnsi="CESI仿宋-GB2312" w:eastAsia="CESI仿宋-GB2312" w:cs="CESI仿宋-GB2312"/>
          <w:b w:val="0"/>
          <w:bCs w:val="0"/>
          <w:color w:val="auto"/>
          <w:sz w:val="32"/>
          <w:szCs w:val="32"/>
          <w:lang w:val="en-US" w:eastAsia="zh-CN"/>
        </w:rPr>
        <w:t>117</w:t>
      </w:r>
      <w:r>
        <w:rPr>
          <w:rFonts w:hint="eastAsia" w:ascii="CESI仿宋-GB2312" w:hAnsi="CESI仿宋-GB2312" w:eastAsia="CESI仿宋-GB2312" w:cs="CESI仿宋-GB2312"/>
          <w:b w:val="0"/>
          <w:bCs w:val="0"/>
          <w:color w:val="auto"/>
          <w:sz w:val="32"/>
          <w:szCs w:val="32"/>
        </w:rPr>
        <w:t>号）要求，为落实省、市“十件民生实事”目</w:t>
      </w:r>
      <w:r>
        <w:rPr>
          <w:rFonts w:hint="eastAsia" w:ascii="CESI仿宋-GB2312" w:hAnsi="CESI仿宋-GB2312" w:eastAsia="CESI仿宋-GB2312" w:cs="CESI仿宋-GB2312"/>
          <w:sz w:val="32"/>
          <w:szCs w:val="32"/>
        </w:rPr>
        <w:t>标任务，经市人民政府同意，现将202</w:t>
      </w: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rPr>
        <w:t>年我市城乡低保标准及特困人员供养标准印发给你们，并提出以下意见，请一并贯彻执行。</w:t>
      </w:r>
    </w:p>
    <w:p>
      <w:pPr>
        <w:keepNext w:val="0"/>
        <w:keepLines w:val="0"/>
        <w:pageBreakBefore w:val="0"/>
        <w:kinsoku/>
        <w:wordWrap/>
        <w:overflowPunct/>
        <w:topLinePunct w:val="0"/>
        <w:autoSpaceDE/>
        <w:autoSpaceDN/>
        <w:bidi w:val="0"/>
        <w:snapToGrid w:val="0"/>
        <w:spacing w:line="51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黑体-GB13000" w:hAnsi="CESI黑体-GB13000" w:eastAsia="CESI黑体-GB13000" w:cs="CESI黑体-GB13000"/>
          <w:sz w:val="32"/>
          <w:szCs w:val="32"/>
        </w:rPr>
        <w:t>一、提高</w:t>
      </w:r>
      <w:r>
        <w:rPr>
          <w:rFonts w:hint="eastAsia" w:ascii="CESI黑体-GB13000" w:hAnsi="CESI黑体-GB13000" w:eastAsia="CESI黑体-GB13000" w:cs="CESI黑体-GB13000"/>
          <w:sz w:val="32"/>
          <w:szCs w:val="32"/>
          <w:lang w:eastAsia="zh-CN"/>
        </w:rPr>
        <w:t>全市</w:t>
      </w:r>
      <w:r>
        <w:rPr>
          <w:rFonts w:hint="eastAsia" w:ascii="CESI黑体-GB13000" w:hAnsi="CESI黑体-GB13000" w:eastAsia="CESI黑体-GB13000" w:cs="CESI黑体-GB13000"/>
          <w:sz w:val="32"/>
          <w:szCs w:val="32"/>
        </w:rPr>
        <w:t>城乡低保标准。</w:t>
      </w:r>
      <w:r>
        <w:rPr>
          <w:rFonts w:hint="eastAsia" w:ascii="CESI仿宋-GB2312" w:hAnsi="CESI仿宋-GB2312" w:eastAsia="CESI仿宋-GB2312" w:cs="CESI仿宋-GB2312"/>
          <w:sz w:val="32"/>
          <w:szCs w:val="32"/>
        </w:rPr>
        <w:t>从202</w:t>
      </w: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rPr>
        <w:t>年1月1日开始，我市城镇低保标准提高到</w:t>
      </w:r>
      <w:r>
        <w:rPr>
          <w:rFonts w:hint="eastAsia" w:ascii="CESI仿宋-GB2312" w:hAnsi="CESI仿宋-GB2312" w:eastAsia="CESI仿宋-GB2312" w:cs="CESI仿宋-GB2312"/>
          <w:sz w:val="32"/>
          <w:szCs w:val="32"/>
          <w:lang w:val="en-US" w:eastAsia="zh-CN"/>
        </w:rPr>
        <w:t>857</w:t>
      </w:r>
      <w:r>
        <w:rPr>
          <w:rFonts w:hint="eastAsia" w:ascii="CESI仿宋-GB2312" w:hAnsi="CESI仿宋-GB2312" w:eastAsia="CESI仿宋-GB2312" w:cs="CESI仿宋-GB2312"/>
          <w:sz w:val="32"/>
          <w:szCs w:val="32"/>
        </w:rPr>
        <w:t>元/人月、补差水平提高到</w:t>
      </w:r>
      <w:r>
        <w:rPr>
          <w:rFonts w:hint="eastAsia" w:ascii="CESI仿宋-GB2312" w:hAnsi="CESI仿宋-GB2312" w:eastAsia="CESI仿宋-GB2312" w:cs="CESI仿宋-GB2312"/>
          <w:sz w:val="32"/>
          <w:szCs w:val="32"/>
          <w:lang w:val="en-US" w:eastAsia="zh-CN"/>
        </w:rPr>
        <w:t>676</w:t>
      </w:r>
      <w:r>
        <w:rPr>
          <w:rFonts w:hint="eastAsia" w:ascii="CESI仿宋-GB2312" w:hAnsi="CESI仿宋-GB2312" w:eastAsia="CESI仿宋-GB2312" w:cs="CESI仿宋-GB2312"/>
          <w:sz w:val="32"/>
          <w:szCs w:val="32"/>
        </w:rPr>
        <w:t>元/人月；农村低保标准提高到</w:t>
      </w:r>
      <w:r>
        <w:rPr>
          <w:rFonts w:hint="eastAsia" w:ascii="CESI仿宋-GB2312" w:hAnsi="CESI仿宋-GB2312" w:eastAsia="CESI仿宋-GB2312" w:cs="CESI仿宋-GB2312"/>
          <w:sz w:val="32"/>
          <w:szCs w:val="32"/>
          <w:lang w:val="en-US" w:eastAsia="zh-CN"/>
        </w:rPr>
        <w:t>600</w:t>
      </w:r>
      <w:r>
        <w:rPr>
          <w:rFonts w:hint="eastAsia" w:ascii="CESI仿宋-GB2312" w:hAnsi="CESI仿宋-GB2312" w:eastAsia="CESI仿宋-GB2312" w:cs="CESI仿宋-GB2312"/>
          <w:sz w:val="32"/>
          <w:szCs w:val="32"/>
        </w:rPr>
        <w:t>元/人月、补差水平提高到</w:t>
      </w:r>
      <w:r>
        <w:rPr>
          <w:rFonts w:hint="eastAsia" w:ascii="CESI仿宋-GB2312" w:hAnsi="CESI仿宋-GB2312" w:eastAsia="CESI仿宋-GB2312" w:cs="CESI仿宋-GB2312"/>
          <w:b w:val="0"/>
          <w:bCs w:val="0"/>
          <w:color w:val="auto"/>
          <w:sz w:val="32"/>
          <w:szCs w:val="32"/>
          <w:lang w:val="en-US" w:eastAsia="zh-CN"/>
        </w:rPr>
        <w:t>326</w:t>
      </w:r>
      <w:r>
        <w:rPr>
          <w:rFonts w:hint="eastAsia" w:ascii="CESI仿宋-GB2312" w:hAnsi="CESI仿宋-GB2312" w:eastAsia="CESI仿宋-GB2312" w:cs="CESI仿宋-GB2312"/>
          <w:sz w:val="32"/>
          <w:szCs w:val="32"/>
        </w:rPr>
        <w:t>元/人月。（具体标准见附件1）</w:t>
      </w:r>
    </w:p>
    <w:p>
      <w:pPr>
        <w:keepNext w:val="0"/>
        <w:keepLines w:val="0"/>
        <w:pageBreakBefore w:val="0"/>
        <w:kinsoku/>
        <w:wordWrap/>
        <w:overflowPunct/>
        <w:topLinePunct w:val="0"/>
        <w:autoSpaceDE/>
        <w:autoSpaceDN/>
        <w:bidi w:val="0"/>
        <w:snapToGrid w:val="0"/>
        <w:spacing w:line="510" w:lineRule="exact"/>
        <w:ind w:firstLine="640" w:firstLineChars="200"/>
        <w:jc w:val="left"/>
        <w:textAlignment w:val="auto"/>
        <w:rPr>
          <w:rFonts w:hint="eastAsia" w:ascii="CESI仿宋-GB2312" w:hAnsi="CESI仿宋-GB2312" w:eastAsia="CESI仿宋-GB2312" w:cs="CESI仿宋-GB2312"/>
          <w:sz w:val="32"/>
          <w:szCs w:val="32"/>
        </w:rPr>
      </w:pPr>
      <w:r>
        <w:rPr>
          <w:rFonts w:hint="eastAsia" w:ascii="CESI黑体-GB13000" w:hAnsi="CESI黑体-GB13000" w:eastAsia="CESI黑体-GB13000" w:cs="CESI黑体-GB13000"/>
          <w:sz w:val="32"/>
          <w:szCs w:val="32"/>
        </w:rPr>
        <w:t>二、提高特困人员供养标准。</w:t>
      </w:r>
      <w:r>
        <w:rPr>
          <w:rFonts w:hint="eastAsia" w:ascii="CESI仿宋-GB2312" w:hAnsi="CESI仿宋-GB2312" w:eastAsia="CESI仿宋-GB2312" w:cs="CESI仿宋-GB2312"/>
          <w:sz w:val="32"/>
          <w:szCs w:val="32"/>
        </w:rPr>
        <w:t>从202</w:t>
      </w: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rPr>
        <w:t>年1月1日开始，我市城乡特困人员基本生活供养标准分别按不低于当地城乡最低生活保障标准的1.6倍</w:t>
      </w:r>
      <w:r>
        <w:rPr>
          <w:rFonts w:hint="eastAsia" w:ascii="CESI仿宋-GB2312" w:hAnsi="CESI仿宋-GB2312" w:eastAsia="CESI仿宋-GB2312" w:cs="CESI仿宋-GB2312"/>
          <w:sz w:val="32"/>
          <w:szCs w:val="32"/>
          <w:lang w:eastAsia="zh-CN"/>
        </w:rPr>
        <w:t>、且不低于当地现行特困人员基本生活标准确定，集中和分散供养特困人员基本生活标准相统一</w:t>
      </w:r>
      <w:r>
        <w:rPr>
          <w:rFonts w:hint="eastAsia" w:ascii="CESI仿宋-GB2312" w:hAnsi="CESI仿宋-GB2312" w:eastAsia="CESI仿宋-GB2312" w:cs="CESI仿宋-GB2312"/>
          <w:sz w:val="32"/>
          <w:szCs w:val="32"/>
        </w:rPr>
        <w:t>。（具体标准见附件2）</w:t>
      </w:r>
    </w:p>
    <w:p>
      <w:pPr>
        <w:keepNext w:val="0"/>
        <w:keepLines w:val="0"/>
        <w:pageBreakBefore w:val="0"/>
        <w:kinsoku/>
        <w:wordWrap/>
        <w:overflowPunct/>
        <w:topLinePunct w:val="0"/>
        <w:autoSpaceDE/>
        <w:autoSpaceDN/>
        <w:bidi w:val="0"/>
        <w:snapToGrid w:val="0"/>
        <w:spacing w:line="510" w:lineRule="exact"/>
        <w:ind w:firstLine="640" w:firstLineChars="200"/>
        <w:jc w:val="left"/>
        <w:textAlignment w:val="auto"/>
        <w:rPr>
          <w:rFonts w:hint="eastAsia" w:ascii="CESI仿宋-GB2312" w:hAnsi="CESI仿宋-GB2312" w:eastAsia="CESI仿宋-GB2312" w:cs="CESI仿宋-GB2312"/>
          <w:color w:val="auto"/>
          <w:sz w:val="32"/>
          <w:szCs w:val="32"/>
        </w:rPr>
      </w:pPr>
      <w:r>
        <w:rPr>
          <w:rFonts w:hint="eastAsia" w:ascii="CESI黑体-GB13000" w:hAnsi="CESI黑体-GB13000" w:eastAsia="CESI黑体-GB13000" w:cs="CESI黑体-GB13000"/>
          <w:sz w:val="32"/>
          <w:szCs w:val="32"/>
        </w:rPr>
        <w:t>三、严格落实提标要求。</w:t>
      </w:r>
      <w:r>
        <w:rPr>
          <w:rFonts w:hint="eastAsia" w:ascii="CESI仿宋-GB2312" w:hAnsi="CESI仿宋-GB2312" w:eastAsia="CESI仿宋-GB2312" w:cs="CESI仿宋-GB2312"/>
          <w:sz w:val="32"/>
          <w:szCs w:val="32"/>
          <w:lang w:eastAsia="zh-CN"/>
        </w:rPr>
        <w:t>各</w:t>
      </w:r>
      <w:r>
        <w:rPr>
          <w:rFonts w:hint="eastAsia" w:ascii="CESI仿宋-GB2312" w:hAnsi="CESI仿宋-GB2312" w:eastAsia="CESI仿宋-GB2312" w:cs="CESI仿宋-GB2312"/>
          <w:sz w:val="32"/>
          <w:szCs w:val="32"/>
        </w:rPr>
        <w:t>县（市、区）要严格执行全市城乡低保标准和特困人员</w:t>
      </w:r>
      <w:r>
        <w:rPr>
          <w:rFonts w:hint="eastAsia" w:ascii="CESI仿宋-GB2312" w:hAnsi="CESI仿宋-GB2312" w:eastAsia="CESI仿宋-GB2312" w:cs="CESI仿宋-GB2312"/>
          <w:sz w:val="32"/>
          <w:szCs w:val="32"/>
          <w:lang w:eastAsia="zh-CN"/>
        </w:rPr>
        <w:t>基本生活</w:t>
      </w:r>
      <w:r>
        <w:rPr>
          <w:rFonts w:hint="eastAsia" w:ascii="CESI仿宋-GB2312" w:hAnsi="CESI仿宋-GB2312" w:eastAsia="CESI仿宋-GB2312" w:cs="CESI仿宋-GB2312"/>
          <w:sz w:val="32"/>
          <w:szCs w:val="32"/>
        </w:rPr>
        <w:t>供养标准，有条件的县（市、区）可适当提高，但不得低于市制订的标准和当地现行标准，</w:t>
      </w:r>
      <w:r>
        <w:rPr>
          <w:rFonts w:hint="eastAsia" w:ascii="CESI仿宋-GB2312" w:hAnsi="CESI仿宋-GB2312" w:eastAsia="CESI仿宋-GB2312" w:cs="CESI仿宋-GB2312"/>
          <w:sz w:val="32"/>
          <w:szCs w:val="32"/>
          <w:lang w:eastAsia="zh-CN"/>
        </w:rPr>
        <w:t>逐步缩小城乡差距，</w:t>
      </w:r>
      <w:r>
        <w:rPr>
          <w:rFonts w:hint="eastAsia" w:ascii="CESI仿宋-GB2312" w:hAnsi="CESI仿宋-GB2312" w:eastAsia="CESI仿宋-GB2312" w:cs="CESI仿宋-GB2312"/>
          <w:sz w:val="32"/>
          <w:szCs w:val="32"/>
        </w:rPr>
        <w:t>并报市民政局备案。</w:t>
      </w:r>
      <w:r>
        <w:rPr>
          <w:rFonts w:hint="eastAsia" w:ascii="CESI仿宋-GB2312" w:hAnsi="CESI仿宋-GB2312" w:eastAsia="CESI仿宋-GB2312" w:cs="CESI仿宋-GB2312"/>
          <w:color w:val="auto"/>
          <w:sz w:val="32"/>
          <w:szCs w:val="32"/>
          <w:lang w:eastAsia="zh-CN"/>
        </w:rPr>
        <w:t>加强低保标准与价格补贴联动机制政策衔接，统筹保障好困难群众基本生活。</w:t>
      </w:r>
    </w:p>
    <w:p>
      <w:pPr>
        <w:keepNext w:val="0"/>
        <w:keepLines w:val="0"/>
        <w:pageBreakBefore w:val="0"/>
        <w:kinsoku/>
        <w:wordWrap/>
        <w:overflowPunct/>
        <w:topLinePunct w:val="0"/>
        <w:autoSpaceDE/>
        <w:autoSpaceDN/>
        <w:bidi w:val="0"/>
        <w:snapToGrid w:val="0"/>
        <w:spacing w:line="510"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黑体-GB13000" w:hAnsi="CESI黑体-GB13000" w:eastAsia="CESI黑体-GB13000" w:cs="CESI黑体-GB13000"/>
          <w:sz w:val="32"/>
          <w:szCs w:val="32"/>
        </w:rPr>
        <w:t>四、及时发放</w:t>
      </w:r>
      <w:r>
        <w:rPr>
          <w:rFonts w:hint="eastAsia" w:ascii="CESI黑体-GB13000" w:hAnsi="CESI黑体-GB13000" w:eastAsia="CESI黑体-GB13000" w:cs="CESI黑体-GB13000"/>
          <w:sz w:val="32"/>
          <w:szCs w:val="32"/>
          <w:lang w:eastAsia="zh-CN"/>
        </w:rPr>
        <w:t>救助</w:t>
      </w:r>
      <w:r>
        <w:rPr>
          <w:rFonts w:hint="eastAsia" w:ascii="CESI黑体-GB13000" w:hAnsi="CESI黑体-GB13000" w:eastAsia="CESI黑体-GB13000" w:cs="CESI黑体-GB13000"/>
          <w:sz w:val="32"/>
          <w:szCs w:val="32"/>
        </w:rPr>
        <w:t>资金。</w:t>
      </w:r>
      <w:r>
        <w:rPr>
          <w:rFonts w:hint="eastAsia" w:ascii="CESI仿宋-GB2312" w:hAnsi="CESI仿宋-GB2312" w:eastAsia="CESI仿宋-GB2312" w:cs="CESI仿宋-GB2312"/>
          <w:sz w:val="32"/>
          <w:szCs w:val="32"/>
          <w:lang w:eastAsia="zh-CN"/>
        </w:rPr>
        <w:t>新标准从</w:t>
      </w:r>
      <w:r>
        <w:rPr>
          <w:rFonts w:hint="eastAsia" w:ascii="CESI仿宋-GB2312" w:hAnsi="CESI仿宋-GB2312" w:eastAsia="CESI仿宋-GB2312" w:cs="CESI仿宋-GB2312"/>
          <w:sz w:val="32"/>
          <w:szCs w:val="32"/>
          <w:lang w:val="en-US" w:eastAsia="zh-CN"/>
        </w:rPr>
        <w:t>2023年1月1日起实施，</w:t>
      </w:r>
      <w:r>
        <w:rPr>
          <w:rFonts w:hint="eastAsia" w:ascii="CESI仿宋-GB2312" w:hAnsi="CESI仿宋-GB2312" w:eastAsia="CESI仿宋-GB2312" w:cs="CESI仿宋-GB2312"/>
          <w:sz w:val="32"/>
          <w:szCs w:val="32"/>
          <w:lang w:eastAsia="zh-CN"/>
        </w:rPr>
        <w:t>各</w:t>
      </w:r>
      <w:r>
        <w:rPr>
          <w:rFonts w:hint="eastAsia" w:ascii="CESI仿宋-GB2312" w:hAnsi="CESI仿宋-GB2312" w:eastAsia="CESI仿宋-GB2312" w:cs="CESI仿宋-GB2312"/>
          <w:sz w:val="32"/>
          <w:szCs w:val="32"/>
        </w:rPr>
        <w:t>县（市、区）</w:t>
      </w:r>
      <w:r>
        <w:rPr>
          <w:rFonts w:hint="eastAsia" w:ascii="CESI仿宋-GB2312" w:hAnsi="CESI仿宋-GB2312" w:eastAsia="CESI仿宋-GB2312" w:cs="CESI仿宋-GB2312"/>
          <w:sz w:val="32"/>
          <w:szCs w:val="32"/>
          <w:lang w:eastAsia="zh-CN"/>
        </w:rPr>
        <w:t>要按实施新标准当月的对象名册</w:t>
      </w:r>
      <w:r>
        <w:rPr>
          <w:rFonts w:hint="eastAsia" w:ascii="CESI仿宋-GB2312" w:hAnsi="CESI仿宋-GB2312" w:eastAsia="CESI仿宋-GB2312" w:cs="CESI仿宋-GB2312"/>
          <w:sz w:val="32"/>
          <w:szCs w:val="32"/>
        </w:rPr>
        <w:t>对202</w:t>
      </w: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rPr>
        <w:t>年未达标的月份予以补发，</w:t>
      </w:r>
      <w:r>
        <w:rPr>
          <w:rFonts w:hint="eastAsia" w:ascii="CESI仿宋-GB2312" w:hAnsi="CESI仿宋-GB2312" w:eastAsia="CESI仿宋-GB2312" w:cs="CESI仿宋-GB2312"/>
          <w:sz w:val="32"/>
          <w:szCs w:val="32"/>
          <w:lang w:eastAsia="zh-CN"/>
        </w:rPr>
        <w:t>对</w:t>
      </w: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rPr>
        <w:t>年新纳入的对象按实际批准月份计补</w:t>
      </w:r>
      <w:r>
        <w:rPr>
          <w:rFonts w:hint="eastAsia" w:ascii="CESI仿宋-GB2312" w:hAnsi="CESI仿宋-GB2312" w:eastAsia="CESI仿宋-GB2312" w:cs="CESI仿宋-GB2312"/>
          <w:sz w:val="32"/>
          <w:szCs w:val="32"/>
          <w:lang w:eastAsia="zh-CN"/>
        </w:rPr>
        <w:t>发</w:t>
      </w:r>
      <w:r>
        <w:rPr>
          <w:rFonts w:hint="eastAsia" w:ascii="CESI仿宋-GB2312" w:hAnsi="CESI仿宋-GB2312" w:eastAsia="CESI仿宋-GB2312" w:cs="CESI仿宋-GB2312"/>
          <w:sz w:val="32"/>
          <w:szCs w:val="32"/>
        </w:rPr>
        <w:t>，在收到本通知之日起60日内完成补发工作。</w:t>
      </w:r>
      <w:r>
        <w:rPr>
          <w:rFonts w:hint="eastAsia" w:ascii="CESI仿宋-GB2312" w:hAnsi="CESI仿宋-GB2312" w:eastAsia="CESI仿宋-GB2312" w:cs="CESI仿宋-GB2312"/>
          <w:sz w:val="32"/>
          <w:szCs w:val="32"/>
          <w:lang w:eastAsia="zh-CN"/>
        </w:rPr>
        <w:t>各</w:t>
      </w:r>
      <w:r>
        <w:rPr>
          <w:rFonts w:hint="eastAsia" w:ascii="CESI仿宋-GB2312" w:hAnsi="CESI仿宋-GB2312" w:eastAsia="CESI仿宋-GB2312" w:cs="CESI仿宋-GB2312"/>
          <w:sz w:val="32"/>
          <w:szCs w:val="32"/>
        </w:rPr>
        <w:t>县（市、区）每月20日前将低保补助金、分散供养特困人员基本生活供养金发放至个人</w:t>
      </w:r>
      <w:r>
        <w:rPr>
          <w:rFonts w:hint="eastAsia" w:ascii="CESI仿宋-GB2312" w:hAnsi="CESI仿宋-GB2312" w:eastAsia="CESI仿宋-GB2312" w:cs="CESI仿宋-GB2312"/>
          <w:sz w:val="32"/>
          <w:szCs w:val="32"/>
          <w:lang w:eastAsia="zh-CN"/>
        </w:rPr>
        <w:t>社保卡</w:t>
      </w:r>
      <w:r>
        <w:rPr>
          <w:rFonts w:hint="eastAsia" w:ascii="CESI仿宋-GB2312" w:hAnsi="CESI仿宋-GB2312" w:eastAsia="CESI仿宋-GB2312" w:cs="CESI仿宋-GB2312"/>
          <w:sz w:val="32"/>
          <w:szCs w:val="32"/>
        </w:rPr>
        <w:t>账户，将集中供养特困人员基本生活供养金拨付至供养服务机构账户</w:t>
      </w:r>
      <w:r>
        <w:rPr>
          <w:rFonts w:hint="eastAsia" w:ascii="CESI仿宋-GB2312" w:hAnsi="CESI仿宋-GB2312" w:eastAsia="CESI仿宋-GB2312" w:cs="CESI仿宋-GB2312"/>
          <w:sz w:val="32"/>
          <w:szCs w:val="32"/>
          <w:lang w:eastAsia="zh-CN"/>
        </w:rPr>
        <w:t>，切实保障其基本生活。</w:t>
      </w:r>
    </w:p>
    <w:p>
      <w:pPr>
        <w:keepNext w:val="0"/>
        <w:keepLines w:val="0"/>
        <w:pageBreakBefore w:val="0"/>
        <w:kinsoku/>
        <w:wordWrap/>
        <w:overflowPunct/>
        <w:topLinePunct w:val="0"/>
        <w:autoSpaceDE/>
        <w:autoSpaceDN/>
        <w:bidi w:val="0"/>
        <w:snapToGrid w:val="0"/>
        <w:spacing w:line="510" w:lineRule="exact"/>
        <w:ind w:firstLine="640" w:firstLineChars="200"/>
        <w:jc w:val="left"/>
        <w:textAlignment w:val="auto"/>
        <w:rPr>
          <w:rFonts w:hint="eastAsia" w:ascii="CESI黑体-GB13000" w:hAnsi="CESI黑体-GB13000" w:eastAsia="CESI仿宋-GB2312" w:cs="CESI黑体-GB13000"/>
          <w:sz w:val="32"/>
          <w:szCs w:val="32"/>
          <w:lang w:eastAsia="zh-CN"/>
        </w:rPr>
      </w:pPr>
      <w:r>
        <w:rPr>
          <w:rFonts w:hint="eastAsia" w:ascii="CESI黑体-GB13000" w:hAnsi="CESI黑体-GB13000" w:eastAsia="CESI黑体-GB13000" w:cs="CESI黑体-GB13000"/>
          <w:sz w:val="32"/>
          <w:szCs w:val="32"/>
        </w:rPr>
        <w:t>五、</w:t>
      </w:r>
      <w:r>
        <w:rPr>
          <w:rFonts w:hint="eastAsia" w:ascii="CESI黑体-GB13000" w:hAnsi="CESI黑体-GB13000" w:eastAsia="CESI黑体-GB13000" w:cs="CESI黑体-GB13000"/>
          <w:sz w:val="32"/>
          <w:szCs w:val="32"/>
          <w:lang w:eastAsia="zh-CN"/>
        </w:rPr>
        <w:t>全面摸排集中供养需求。</w:t>
      </w:r>
      <w:r>
        <w:rPr>
          <w:rFonts w:hint="eastAsia" w:ascii="CESI仿宋-GB2312" w:hAnsi="CESI仿宋-GB2312" w:eastAsia="CESI仿宋-GB2312" w:cs="CESI仿宋-GB2312"/>
          <w:sz w:val="32"/>
          <w:szCs w:val="32"/>
          <w:lang w:eastAsia="zh-CN"/>
        </w:rPr>
        <w:t>各</w:t>
      </w:r>
      <w:r>
        <w:rPr>
          <w:rFonts w:hint="eastAsia" w:ascii="CESI仿宋-GB2312" w:hAnsi="CESI仿宋-GB2312" w:eastAsia="CESI仿宋-GB2312" w:cs="CESI仿宋-GB2312"/>
          <w:sz w:val="32"/>
          <w:szCs w:val="32"/>
        </w:rPr>
        <w:t>县（市、区）</w:t>
      </w:r>
      <w:r>
        <w:rPr>
          <w:rFonts w:hint="eastAsia" w:ascii="CESI仿宋-GB2312" w:hAnsi="CESI仿宋-GB2312" w:eastAsia="CESI仿宋-GB2312" w:cs="CESI仿宋-GB2312"/>
          <w:sz w:val="32"/>
          <w:szCs w:val="32"/>
          <w:lang w:eastAsia="zh-CN"/>
        </w:rPr>
        <w:t>要全面摸排特困人员集中供养需求，逐人逐户深入分散供养特困人员家中，详细了解他们的基本情况和集中供养意愿。对于无法准确表达自己意愿的分散供养特困人员，应当征求其照料护理人意见，并结合其生活自理能力和照料护理落实情况，综合评估其集中供养需求。对有集中供养需求的生活不能自理特困供养人员要及时安置到位，</w:t>
      </w:r>
      <w:r>
        <w:rPr>
          <w:rFonts w:hint="eastAsia" w:ascii="CESI仿宋-GB2312" w:hAnsi="CESI仿宋-GB2312" w:eastAsia="CESI仿宋-GB2312" w:cs="CESI仿宋-GB2312"/>
          <w:color w:val="auto"/>
          <w:sz w:val="32"/>
          <w:szCs w:val="32"/>
          <w:lang w:eastAsia="zh-CN"/>
        </w:rPr>
        <w:t>确保不漏一人。</w:t>
      </w:r>
    </w:p>
    <w:p>
      <w:pPr>
        <w:keepNext w:val="0"/>
        <w:keepLines w:val="0"/>
        <w:pageBreakBefore w:val="0"/>
        <w:kinsoku/>
        <w:wordWrap/>
        <w:overflowPunct/>
        <w:topLinePunct w:val="0"/>
        <w:autoSpaceDE/>
        <w:autoSpaceDN/>
        <w:bidi w:val="0"/>
        <w:snapToGrid w:val="0"/>
        <w:spacing w:line="510" w:lineRule="exact"/>
        <w:ind w:firstLine="640" w:firstLineChars="200"/>
        <w:jc w:val="left"/>
        <w:textAlignment w:val="auto"/>
        <w:rPr>
          <w:rFonts w:hint="eastAsia" w:ascii="CESI仿宋-GB2312" w:hAnsi="CESI仿宋-GB2312" w:eastAsia="CESI仿宋-GB2312" w:cs="CESI仿宋-GB2312"/>
          <w:sz w:val="32"/>
          <w:szCs w:val="32"/>
          <w:lang w:eastAsia="zh-CN"/>
        </w:rPr>
      </w:pPr>
      <w:r>
        <w:rPr>
          <w:rFonts w:hint="eastAsia" w:ascii="CESI黑体-GB13000" w:hAnsi="CESI黑体-GB13000" w:eastAsia="CESI黑体-GB13000" w:cs="CESI黑体-GB13000"/>
          <w:sz w:val="32"/>
          <w:szCs w:val="32"/>
          <w:lang w:eastAsia="zh-CN"/>
        </w:rPr>
        <w:t>六、</w:t>
      </w:r>
      <w:r>
        <w:rPr>
          <w:rFonts w:hint="eastAsia" w:ascii="CESI黑体-GB13000" w:hAnsi="CESI黑体-GB13000" w:eastAsia="CESI黑体-GB13000" w:cs="CESI黑体-GB13000"/>
          <w:sz w:val="32"/>
          <w:szCs w:val="32"/>
        </w:rPr>
        <w:t>切实加强资金监管。</w:t>
      </w:r>
      <w:r>
        <w:rPr>
          <w:rFonts w:hint="eastAsia" w:ascii="CESI仿宋-GB2312" w:hAnsi="CESI仿宋-GB2312" w:eastAsia="CESI仿宋-GB2312" w:cs="CESI仿宋-GB2312"/>
          <w:sz w:val="32"/>
          <w:szCs w:val="32"/>
          <w:lang w:eastAsia="zh-CN"/>
        </w:rPr>
        <w:t>各</w:t>
      </w:r>
      <w:r>
        <w:rPr>
          <w:rFonts w:hint="eastAsia" w:ascii="CESI仿宋-GB2312" w:hAnsi="CESI仿宋-GB2312" w:eastAsia="CESI仿宋-GB2312" w:cs="CESI仿宋-GB2312"/>
          <w:sz w:val="32"/>
          <w:szCs w:val="32"/>
        </w:rPr>
        <w:t>县（市、区）要全面推进信息化核对和管理，运用信息系统，健全资金发放台账，完善资金监管机制</w:t>
      </w:r>
      <w:r>
        <w:rPr>
          <w:rFonts w:hint="eastAsia" w:ascii="CESI仿宋-GB2312" w:hAnsi="CESI仿宋-GB2312" w:eastAsia="CESI仿宋-GB2312" w:cs="CESI仿宋-GB2312"/>
          <w:sz w:val="32"/>
          <w:szCs w:val="32"/>
          <w:lang w:eastAsia="zh-CN"/>
        </w:rPr>
        <w:t>，</w:t>
      </w:r>
      <w:r>
        <w:rPr>
          <w:rFonts w:hint="eastAsia" w:ascii="CESI仿宋-GB2312" w:hAnsi="CESI仿宋-GB2312" w:eastAsia="CESI仿宋-GB2312" w:cs="CESI仿宋-GB2312"/>
          <w:sz w:val="32"/>
          <w:szCs w:val="32"/>
        </w:rPr>
        <w:t>对资金发放情况进行公示，接受社会监督。</w:t>
      </w:r>
    </w:p>
    <w:p>
      <w:pPr>
        <w:keepNext w:val="0"/>
        <w:keepLines w:val="0"/>
        <w:pageBreakBefore w:val="0"/>
        <w:widowControl/>
        <w:kinsoku/>
        <w:wordWrap/>
        <w:overflowPunct/>
        <w:topLinePunct w:val="0"/>
        <w:autoSpaceDE/>
        <w:autoSpaceDN/>
        <w:bidi w:val="0"/>
        <w:adjustRightInd w:val="0"/>
        <w:snapToGrid w:val="0"/>
        <w:spacing w:after="0" w:line="510" w:lineRule="exact"/>
        <w:ind w:firstLine="640" w:firstLineChars="200"/>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本通知自</w:t>
      </w:r>
      <w:r>
        <w:rPr>
          <w:rFonts w:hint="eastAsia" w:ascii="CESI仿宋-GB2312" w:hAnsi="CESI仿宋-GB2312" w:eastAsia="CESI仿宋-GB2312" w:cs="CESI仿宋-GB2312"/>
          <w:sz w:val="32"/>
          <w:szCs w:val="32"/>
          <w:lang w:val="en-US" w:eastAsia="zh-CN"/>
        </w:rPr>
        <w:t>印发之日起实施</w:t>
      </w:r>
      <w:r>
        <w:rPr>
          <w:rFonts w:hint="eastAsia" w:ascii="CESI仿宋-GB2312" w:hAnsi="CESI仿宋-GB2312" w:eastAsia="CESI仿宋-GB2312" w:cs="CESI仿宋-GB2312"/>
          <w:sz w:val="32"/>
          <w:szCs w:val="32"/>
        </w:rPr>
        <w:t>，由市民政局负责解释，有效期一年。</w:t>
      </w:r>
    </w:p>
    <w:p>
      <w:pPr>
        <w:keepNext w:val="0"/>
        <w:keepLines w:val="0"/>
        <w:pageBreakBefore w:val="0"/>
        <w:kinsoku/>
        <w:wordWrap/>
        <w:overflowPunct/>
        <w:topLinePunct w:val="0"/>
        <w:autoSpaceDE/>
        <w:autoSpaceDN/>
        <w:bidi w:val="0"/>
        <w:snapToGrid w:val="0"/>
        <w:spacing w:line="510" w:lineRule="exact"/>
        <w:jc w:val="left"/>
        <w:textAlignment w:val="auto"/>
        <w:rPr>
          <w:rFonts w:hint="eastAsia" w:ascii="CESI仿宋-GB2312" w:hAnsi="CESI仿宋-GB2312" w:eastAsia="CESI仿宋-GB2312" w:cs="CESI仿宋-GB2312"/>
          <w:sz w:val="32"/>
          <w:szCs w:val="32"/>
        </w:rPr>
      </w:pPr>
    </w:p>
    <w:p>
      <w:pPr>
        <w:keepNext w:val="0"/>
        <w:keepLines w:val="0"/>
        <w:pageBreakBefore w:val="0"/>
        <w:kinsoku/>
        <w:wordWrap/>
        <w:overflowPunct/>
        <w:topLinePunct w:val="0"/>
        <w:autoSpaceDE/>
        <w:autoSpaceDN/>
        <w:bidi w:val="0"/>
        <w:snapToGrid w:val="0"/>
        <w:spacing w:line="510" w:lineRule="exact"/>
        <w:jc w:val="left"/>
        <w:textAlignment w:val="auto"/>
        <w:rPr>
          <w:rFonts w:hint="eastAsia" w:ascii="CESI仿宋-GB2312" w:hAnsi="CESI仿宋-GB2312" w:eastAsia="CESI仿宋-GB2312" w:cs="CESI仿宋-GB2312"/>
          <w:w w:val="98"/>
          <w:sz w:val="32"/>
          <w:szCs w:val="32"/>
        </w:rPr>
      </w:pPr>
      <w:r>
        <w:rPr>
          <w:rFonts w:hint="eastAsia" w:ascii="CESI仿宋-GB2312" w:hAnsi="CESI仿宋-GB2312" w:eastAsia="CESI仿宋-GB2312" w:cs="CESI仿宋-GB2312"/>
          <w:sz w:val="32"/>
          <w:szCs w:val="32"/>
        </w:rPr>
        <w:t xml:space="preserve">    附件：</w:t>
      </w:r>
      <w:r>
        <w:rPr>
          <w:rFonts w:hint="eastAsia" w:ascii="CESI仿宋-GB2312" w:hAnsi="CESI仿宋-GB2312" w:eastAsia="CESI仿宋-GB2312" w:cs="CESI仿宋-GB2312"/>
          <w:w w:val="100"/>
          <w:sz w:val="32"/>
          <w:szCs w:val="32"/>
        </w:rPr>
        <w:t>1.湛江市202</w:t>
      </w:r>
      <w:r>
        <w:rPr>
          <w:rFonts w:hint="eastAsia" w:ascii="CESI仿宋-GB2312" w:hAnsi="CESI仿宋-GB2312" w:eastAsia="CESI仿宋-GB2312" w:cs="CESI仿宋-GB2312"/>
          <w:w w:val="100"/>
          <w:sz w:val="32"/>
          <w:szCs w:val="32"/>
          <w:lang w:val="en-US" w:eastAsia="zh-CN"/>
        </w:rPr>
        <w:t>3</w:t>
      </w:r>
      <w:r>
        <w:rPr>
          <w:rFonts w:hint="eastAsia" w:ascii="CESI仿宋-GB2312" w:hAnsi="CESI仿宋-GB2312" w:eastAsia="CESI仿宋-GB2312" w:cs="CESI仿宋-GB2312"/>
          <w:w w:val="100"/>
          <w:sz w:val="32"/>
          <w:szCs w:val="32"/>
        </w:rPr>
        <w:t>年城乡</w:t>
      </w:r>
      <w:r>
        <w:rPr>
          <w:rFonts w:hint="eastAsia" w:ascii="CESI仿宋-GB2312" w:hAnsi="CESI仿宋-GB2312" w:eastAsia="CESI仿宋-GB2312" w:cs="CESI仿宋-GB2312"/>
          <w:w w:val="100"/>
          <w:sz w:val="32"/>
          <w:szCs w:val="32"/>
          <w:lang w:val="en-US" w:eastAsia="zh-CN"/>
        </w:rPr>
        <w:t>低保</w:t>
      </w:r>
      <w:r>
        <w:rPr>
          <w:rFonts w:hint="eastAsia" w:ascii="CESI仿宋-GB2312" w:hAnsi="CESI仿宋-GB2312" w:eastAsia="CESI仿宋-GB2312" w:cs="CESI仿宋-GB2312"/>
          <w:w w:val="100"/>
          <w:sz w:val="32"/>
          <w:szCs w:val="32"/>
        </w:rPr>
        <w:t>标准和补差水平表</w:t>
      </w:r>
    </w:p>
    <w:p>
      <w:pPr>
        <w:keepNext w:val="0"/>
        <w:keepLines w:val="0"/>
        <w:pageBreakBefore w:val="0"/>
        <w:kinsoku/>
        <w:wordWrap/>
        <w:overflowPunct/>
        <w:topLinePunct w:val="0"/>
        <w:autoSpaceDE/>
        <w:autoSpaceDN/>
        <w:bidi w:val="0"/>
        <w:snapToGrid w:val="0"/>
        <w:spacing w:line="510" w:lineRule="exact"/>
        <w:ind w:firstLine="1600" w:firstLineChars="5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2.湛江市202</w:t>
      </w: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rPr>
        <w:t>年特困人员</w:t>
      </w:r>
      <w:r>
        <w:rPr>
          <w:rFonts w:hint="eastAsia" w:ascii="CESI仿宋-GB2312" w:hAnsi="CESI仿宋-GB2312" w:eastAsia="CESI仿宋-GB2312" w:cs="CESI仿宋-GB2312"/>
          <w:sz w:val="32"/>
          <w:szCs w:val="32"/>
          <w:lang w:val="en-US" w:eastAsia="zh-CN"/>
        </w:rPr>
        <w:t>基本生活</w:t>
      </w:r>
      <w:r>
        <w:rPr>
          <w:rFonts w:hint="eastAsia" w:ascii="CESI仿宋-GB2312" w:hAnsi="CESI仿宋-GB2312" w:eastAsia="CESI仿宋-GB2312" w:cs="CESI仿宋-GB2312"/>
          <w:sz w:val="32"/>
          <w:szCs w:val="32"/>
        </w:rPr>
        <w:t xml:space="preserve">供养标准表                            </w:t>
      </w:r>
    </w:p>
    <w:p>
      <w:pPr>
        <w:keepNext w:val="0"/>
        <w:keepLines w:val="0"/>
        <w:pageBreakBefore w:val="0"/>
        <w:kinsoku/>
        <w:wordWrap/>
        <w:overflowPunct/>
        <w:topLinePunct w:val="0"/>
        <w:autoSpaceDE/>
        <w:autoSpaceDN/>
        <w:bidi w:val="0"/>
        <w:snapToGrid w:val="0"/>
        <w:spacing w:line="510" w:lineRule="exact"/>
        <w:jc w:val="left"/>
        <w:textAlignment w:val="auto"/>
        <w:rPr>
          <w:rFonts w:hint="eastAsia" w:ascii="CESI仿宋-GB2312" w:hAnsi="CESI仿宋-GB2312" w:eastAsia="CESI仿宋-GB2312" w:cs="CESI仿宋-GB2312"/>
          <w:sz w:val="32"/>
          <w:szCs w:val="32"/>
        </w:rPr>
      </w:pPr>
    </w:p>
    <w:p>
      <w:pPr>
        <w:keepNext w:val="0"/>
        <w:keepLines w:val="0"/>
        <w:pageBreakBefore w:val="0"/>
        <w:kinsoku/>
        <w:wordWrap/>
        <w:overflowPunct/>
        <w:topLinePunct w:val="0"/>
        <w:autoSpaceDE/>
        <w:autoSpaceDN/>
        <w:bidi w:val="0"/>
        <w:snapToGrid w:val="0"/>
        <w:spacing w:line="510" w:lineRule="exact"/>
        <w:ind w:firstLine="5760" w:firstLineChars="1800"/>
        <w:jc w:val="left"/>
        <w:textAlignment w:val="auto"/>
        <w:rPr>
          <w:rFonts w:hint="eastAsia" w:ascii="CESI仿宋-GB2312" w:hAnsi="CESI仿宋-GB2312" w:eastAsia="CESI仿宋-GB2312" w:cs="CESI仿宋-GB2312"/>
          <w:sz w:val="32"/>
          <w:szCs w:val="32"/>
        </w:rPr>
      </w:pPr>
      <w:r>
        <w:rPr>
          <w:rFonts w:hint="eastAsia" w:ascii="CESI仿宋-GB2312" w:hAnsi="CESI仿宋-GB2312" w:eastAsia="CESI仿宋-GB2312" w:cs="CESI仿宋-GB2312"/>
          <w:sz w:val="32"/>
          <w:szCs w:val="32"/>
        </w:rPr>
        <w:t>湛江市民政局</w:t>
      </w:r>
    </w:p>
    <w:p>
      <w:pPr>
        <w:keepNext w:val="0"/>
        <w:keepLines w:val="0"/>
        <w:pageBreakBefore w:val="0"/>
        <w:kinsoku/>
        <w:wordWrap/>
        <w:overflowPunct/>
        <w:topLinePunct w:val="0"/>
        <w:autoSpaceDE/>
        <w:autoSpaceDN/>
        <w:bidi w:val="0"/>
        <w:snapToGrid w:val="0"/>
        <w:spacing w:line="510" w:lineRule="exact"/>
        <w:ind w:firstLine="5760" w:firstLineChars="1800"/>
        <w:jc w:val="left"/>
        <w:textAlignment w:val="auto"/>
        <w:rPr>
          <w:rFonts w:cs="Times New Roman"/>
        </w:rPr>
      </w:pPr>
      <w:r>
        <w:rPr>
          <w:rFonts w:hint="eastAsia" w:ascii="CESI仿宋-GB2312" w:hAnsi="CESI仿宋-GB2312" w:eastAsia="CESI仿宋-GB2312" w:cs="CESI仿宋-GB2312"/>
          <w:sz w:val="32"/>
          <w:szCs w:val="32"/>
        </w:rPr>
        <w:t>202</w:t>
      </w:r>
      <w:r>
        <w:rPr>
          <w:rFonts w:hint="eastAsia" w:ascii="CESI仿宋-GB2312" w:hAnsi="CESI仿宋-GB2312" w:eastAsia="CESI仿宋-GB2312" w:cs="CESI仿宋-GB2312"/>
          <w:sz w:val="32"/>
          <w:szCs w:val="32"/>
          <w:lang w:val="en-US" w:eastAsia="zh-CN"/>
        </w:rPr>
        <w:t>3</w:t>
      </w:r>
      <w:r>
        <w:rPr>
          <w:rFonts w:hint="eastAsia" w:ascii="CESI仿宋-GB2312" w:hAnsi="CESI仿宋-GB2312" w:eastAsia="CESI仿宋-GB2312" w:cs="CESI仿宋-GB2312"/>
          <w:sz w:val="32"/>
          <w:szCs w:val="32"/>
        </w:rPr>
        <w:t>年</w:t>
      </w:r>
      <w:r>
        <w:rPr>
          <w:rFonts w:hint="eastAsia" w:ascii="CESI仿宋-GB2312" w:hAnsi="CESI仿宋-GB2312" w:eastAsia="CESI仿宋-GB2312" w:cs="CESI仿宋-GB2312"/>
          <w:sz w:val="32"/>
          <w:szCs w:val="32"/>
          <w:lang w:val="en-US" w:eastAsia="zh-CN"/>
        </w:rPr>
        <w:t>5</w:t>
      </w:r>
      <w:r>
        <w:rPr>
          <w:rFonts w:hint="eastAsia" w:ascii="CESI仿宋-GB2312" w:hAnsi="CESI仿宋-GB2312" w:eastAsia="CESI仿宋-GB2312" w:cs="CESI仿宋-GB2312"/>
          <w:sz w:val="32"/>
          <w:szCs w:val="32"/>
        </w:rPr>
        <w:t xml:space="preserve">月 日    </w:t>
      </w:r>
      <w:r>
        <w:rPr>
          <w:rFonts w:ascii="仿宋_GB2312" w:hAnsi="仿宋_GB2312" w:eastAsia="仿宋_GB2312" w:cs="仿宋_GB2312"/>
          <w:sz w:val="32"/>
          <w:szCs w:val="32"/>
        </w:rPr>
        <w:t xml:space="preserve">  </w:t>
      </w:r>
    </w:p>
    <w:p>
      <w:pPr>
        <w:keepNext w:val="0"/>
        <w:keepLines w:val="0"/>
        <w:pageBreakBefore w:val="0"/>
        <w:tabs>
          <w:tab w:val="left" w:pos="7020"/>
          <w:tab w:val="left" w:pos="7200"/>
        </w:tabs>
        <w:kinsoku/>
        <w:wordWrap/>
        <w:overflowPunct/>
        <w:topLinePunct w:val="0"/>
        <w:autoSpaceDE/>
        <w:autoSpaceDN/>
        <w:bidi w:val="0"/>
        <w:spacing w:beforeLines="50" w:line="510" w:lineRule="exact"/>
        <w:jc w:val="left"/>
        <w:textAlignment w:val="auto"/>
        <w:rPr>
          <w:rFonts w:cs="Times New Roman"/>
        </w:rPr>
        <w:sectPr>
          <w:footerReference r:id="rId3" w:type="default"/>
          <w:footerReference r:id="rId4" w:type="even"/>
          <w:pgSz w:w="11850" w:h="16783"/>
          <w:pgMar w:top="1502" w:right="1502" w:bottom="1502" w:left="1701" w:header="851" w:footer="992" w:gutter="0"/>
          <w:pgNumType w:fmt="numberInDash" w:start="1"/>
          <w:cols w:space="0" w:num="1"/>
          <w:rtlGutter w:val="0"/>
          <w:docGrid w:type="lines" w:linePitch="579" w:charSpace="0"/>
        </w:sectPr>
      </w:pPr>
    </w:p>
    <w:p>
      <w:pPr>
        <w:tabs>
          <w:tab w:val="left" w:pos="7020"/>
          <w:tab w:val="left" w:pos="7200"/>
        </w:tabs>
        <w:spacing w:beforeLines="50" w:line="40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1</w:t>
      </w:r>
    </w:p>
    <w:p>
      <w:pPr>
        <w:keepNext w:val="0"/>
        <w:keepLines w:val="0"/>
        <w:pageBreakBefore w:val="0"/>
        <w:widowControl w:val="0"/>
        <w:tabs>
          <w:tab w:val="left" w:pos="7020"/>
          <w:tab w:val="left" w:pos="7200"/>
        </w:tabs>
        <w:kinsoku/>
        <w:wordWrap/>
        <w:overflowPunct/>
        <w:topLinePunct w:val="0"/>
        <w:autoSpaceDE/>
        <w:autoSpaceDN/>
        <w:bidi w:val="0"/>
        <w:adjustRightInd/>
        <w:snapToGrid/>
        <w:spacing w:beforeLines="50" w:after="292" w:afterLines="50" w:line="4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湛江市</w:t>
      </w:r>
      <w:r>
        <w:rPr>
          <w:rFonts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年城乡</w:t>
      </w:r>
      <w:r>
        <w:rPr>
          <w:rFonts w:hint="eastAsia" w:ascii="方正小标宋简体" w:hAnsi="方正小标宋简体" w:eastAsia="方正小标宋简体" w:cs="方正小标宋简体"/>
          <w:sz w:val="44"/>
          <w:szCs w:val="44"/>
          <w:lang w:val="en-US" w:eastAsia="zh-CN"/>
        </w:rPr>
        <w:t>低保</w:t>
      </w:r>
      <w:r>
        <w:rPr>
          <w:rFonts w:hint="eastAsia" w:ascii="方正小标宋简体" w:hAnsi="方正小标宋简体" w:eastAsia="方正小标宋简体" w:cs="方正小标宋简体"/>
          <w:sz w:val="44"/>
          <w:szCs w:val="44"/>
        </w:rPr>
        <w:t>标准和补差水平表</w:t>
      </w:r>
    </w:p>
    <w:tbl>
      <w:tblPr>
        <w:tblStyle w:val="6"/>
        <w:tblW w:w="12793" w:type="dxa"/>
        <w:tblInd w:w="345" w:type="dxa"/>
        <w:tblLayout w:type="fixed"/>
        <w:tblCellMar>
          <w:top w:w="0" w:type="dxa"/>
          <w:left w:w="108" w:type="dxa"/>
          <w:bottom w:w="0" w:type="dxa"/>
          <w:right w:w="108" w:type="dxa"/>
        </w:tblCellMar>
      </w:tblPr>
      <w:tblGrid>
        <w:gridCol w:w="1897"/>
        <w:gridCol w:w="2251"/>
        <w:gridCol w:w="2105"/>
        <w:gridCol w:w="2280"/>
        <w:gridCol w:w="2072"/>
        <w:gridCol w:w="2188"/>
      </w:tblGrid>
      <w:tr>
        <w:tblPrEx>
          <w:tblCellMar>
            <w:top w:w="0" w:type="dxa"/>
            <w:left w:w="108" w:type="dxa"/>
            <w:bottom w:w="0" w:type="dxa"/>
            <w:right w:w="108" w:type="dxa"/>
          </w:tblCellMar>
        </w:tblPrEx>
        <w:trPr>
          <w:trHeight w:val="367" w:hRule="atLeast"/>
        </w:trPr>
        <w:tc>
          <w:tcPr>
            <w:tcW w:w="1897"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260" w:lineRule="exact"/>
              <w:jc w:val="center"/>
              <w:rPr>
                <w:rFonts w:ascii="宋体" w:cs="Times New Roman"/>
                <w:b/>
                <w:bCs/>
                <w:color w:val="000000"/>
                <w:kern w:val="0"/>
                <w:sz w:val="24"/>
                <w:szCs w:val="24"/>
              </w:rPr>
            </w:pPr>
            <w:r>
              <w:rPr>
                <w:rFonts w:hint="eastAsia" w:ascii="宋体" w:hAnsi="宋体" w:cs="宋体"/>
                <w:b/>
                <w:bCs/>
                <w:color w:val="000000"/>
                <w:kern w:val="0"/>
                <w:sz w:val="24"/>
                <w:szCs w:val="24"/>
              </w:rPr>
              <w:t>单位</w:t>
            </w:r>
          </w:p>
        </w:tc>
        <w:tc>
          <w:tcPr>
            <w:tcW w:w="4356"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ascii="宋体" w:cs="Times New Roman"/>
                <w:b/>
                <w:bCs/>
                <w:color w:val="000000"/>
                <w:kern w:val="0"/>
                <w:sz w:val="24"/>
                <w:szCs w:val="24"/>
              </w:rPr>
            </w:pPr>
            <w:r>
              <w:rPr>
                <w:rFonts w:hint="eastAsia" w:ascii="宋体" w:hAnsi="宋体" w:cs="宋体"/>
                <w:b/>
                <w:bCs/>
                <w:color w:val="000000"/>
                <w:kern w:val="0"/>
                <w:sz w:val="24"/>
                <w:szCs w:val="24"/>
              </w:rPr>
              <w:t>城乡低保标准</w:t>
            </w:r>
          </w:p>
        </w:tc>
        <w:tc>
          <w:tcPr>
            <w:tcW w:w="4352" w:type="dxa"/>
            <w:gridSpan w:val="2"/>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ascii="宋体" w:cs="Times New Roman"/>
                <w:b/>
                <w:bCs/>
                <w:color w:val="000000"/>
                <w:kern w:val="0"/>
                <w:sz w:val="24"/>
                <w:szCs w:val="24"/>
              </w:rPr>
            </w:pPr>
            <w:r>
              <w:rPr>
                <w:rFonts w:hint="eastAsia" w:ascii="宋体" w:hAnsi="宋体" w:cs="宋体"/>
                <w:b/>
                <w:bCs/>
                <w:color w:val="000000"/>
                <w:kern w:val="0"/>
                <w:sz w:val="24"/>
                <w:szCs w:val="24"/>
              </w:rPr>
              <w:t>城乡低保补差水平</w:t>
            </w:r>
          </w:p>
        </w:tc>
        <w:tc>
          <w:tcPr>
            <w:tcW w:w="2188"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260" w:lineRule="exact"/>
              <w:jc w:val="center"/>
              <w:rPr>
                <w:rFonts w:ascii="宋体" w:cs="Times New Roman"/>
                <w:b/>
                <w:bCs/>
                <w:color w:val="000000"/>
                <w:kern w:val="0"/>
                <w:sz w:val="24"/>
                <w:szCs w:val="24"/>
              </w:rPr>
            </w:pPr>
            <w:r>
              <w:rPr>
                <w:rFonts w:hint="eastAsia" w:ascii="宋体" w:hAnsi="宋体" w:cs="宋体"/>
                <w:b/>
                <w:bCs/>
                <w:color w:val="000000"/>
                <w:kern w:val="0"/>
                <w:sz w:val="24"/>
                <w:szCs w:val="24"/>
              </w:rPr>
              <w:t>实施时间</w:t>
            </w:r>
          </w:p>
        </w:tc>
      </w:tr>
      <w:tr>
        <w:tblPrEx>
          <w:tblCellMar>
            <w:top w:w="0" w:type="dxa"/>
            <w:left w:w="108" w:type="dxa"/>
            <w:bottom w:w="0" w:type="dxa"/>
            <w:right w:w="108" w:type="dxa"/>
          </w:tblCellMar>
        </w:tblPrEx>
        <w:trPr>
          <w:trHeight w:val="474" w:hRule="atLeast"/>
        </w:trPr>
        <w:tc>
          <w:tcPr>
            <w:tcW w:w="1897"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40" w:lineRule="exact"/>
              <w:jc w:val="left"/>
              <w:rPr>
                <w:rFonts w:ascii="宋体" w:cs="Times New Roman"/>
                <w:b/>
                <w:bCs/>
                <w:color w:val="000000"/>
                <w:kern w:val="0"/>
                <w:sz w:val="24"/>
                <w:szCs w:val="24"/>
              </w:rPr>
            </w:pPr>
          </w:p>
        </w:tc>
        <w:tc>
          <w:tcPr>
            <w:tcW w:w="2251" w:type="dxa"/>
            <w:tcBorders>
              <w:top w:val="nil"/>
              <w:left w:val="nil"/>
              <w:bottom w:val="single" w:color="auto" w:sz="4" w:space="0"/>
              <w:right w:val="single" w:color="auto" w:sz="4" w:space="0"/>
            </w:tcBorders>
            <w:noWrap w:val="0"/>
            <w:vAlign w:val="center"/>
          </w:tcPr>
          <w:p>
            <w:pPr>
              <w:widowControl/>
              <w:spacing w:line="260" w:lineRule="exact"/>
              <w:jc w:val="center"/>
              <w:rPr>
                <w:rFonts w:ascii="宋体" w:cs="Times New Roman"/>
                <w:b/>
                <w:bCs/>
                <w:color w:val="000000"/>
                <w:kern w:val="0"/>
                <w:sz w:val="24"/>
                <w:szCs w:val="24"/>
              </w:rPr>
            </w:pPr>
            <w:r>
              <w:rPr>
                <w:rFonts w:hint="eastAsia" w:ascii="宋体" w:hAnsi="宋体" w:cs="宋体"/>
                <w:b/>
                <w:bCs/>
                <w:color w:val="000000"/>
                <w:kern w:val="0"/>
                <w:sz w:val="24"/>
                <w:szCs w:val="24"/>
              </w:rPr>
              <w:t>城镇（元</w:t>
            </w:r>
            <w:r>
              <w:rPr>
                <w:rFonts w:ascii="宋体" w:hAnsi="宋体" w:cs="宋体"/>
                <w:b/>
                <w:bCs/>
                <w:color w:val="000000"/>
                <w:kern w:val="0"/>
                <w:sz w:val="24"/>
                <w:szCs w:val="24"/>
              </w:rPr>
              <w:t>/</w:t>
            </w:r>
            <w:r>
              <w:rPr>
                <w:rFonts w:hint="eastAsia" w:ascii="宋体" w:hAnsi="宋体" w:cs="宋体"/>
                <w:b/>
                <w:bCs/>
                <w:color w:val="000000"/>
                <w:kern w:val="0"/>
                <w:sz w:val="24"/>
                <w:szCs w:val="24"/>
              </w:rPr>
              <w:t>人月）</w:t>
            </w:r>
          </w:p>
        </w:tc>
        <w:tc>
          <w:tcPr>
            <w:tcW w:w="2105" w:type="dxa"/>
            <w:tcBorders>
              <w:top w:val="nil"/>
              <w:left w:val="nil"/>
              <w:bottom w:val="single" w:color="auto" w:sz="4" w:space="0"/>
              <w:right w:val="single" w:color="auto" w:sz="4" w:space="0"/>
            </w:tcBorders>
            <w:noWrap w:val="0"/>
            <w:vAlign w:val="center"/>
          </w:tcPr>
          <w:p>
            <w:pPr>
              <w:widowControl/>
              <w:spacing w:line="260" w:lineRule="exact"/>
              <w:jc w:val="center"/>
              <w:rPr>
                <w:rFonts w:ascii="宋体" w:cs="Times New Roman"/>
                <w:b/>
                <w:bCs/>
                <w:color w:val="000000"/>
                <w:kern w:val="0"/>
                <w:sz w:val="24"/>
                <w:szCs w:val="24"/>
              </w:rPr>
            </w:pPr>
            <w:r>
              <w:rPr>
                <w:rFonts w:hint="eastAsia" w:ascii="宋体" w:hAnsi="宋体" w:cs="宋体"/>
                <w:b/>
                <w:bCs/>
                <w:color w:val="000000"/>
                <w:kern w:val="0"/>
                <w:sz w:val="24"/>
                <w:szCs w:val="24"/>
              </w:rPr>
              <w:t>农村（元</w:t>
            </w:r>
            <w:r>
              <w:rPr>
                <w:rFonts w:ascii="宋体" w:hAnsi="宋体" w:cs="宋体"/>
                <w:b/>
                <w:bCs/>
                <w:color w:val="000000"/>
                <w:kern w:val="0"/>
                <w:sz w:val="24"/>
                <w:szCs w:val="24"/>
              </w:rPr>
              <w:t>/</w:t>
            </w:r>
            <w:r>
              <w:rPr>
                <w:rFonts w:hint="eastAsia" w:ascii="宋体" w:hAnsi="宋体" w:cs="宋体"/>
                <w:b/>
                <w:bCs/>
                <w:color w:val="000000"/>
                <w:kern w:val="0"/>
                <w:sz w:val="24"/>
                <w:szCs w:val="24"/>
              </w:rPr>
              <w:t>人月）</w:t>
            </w:r>
          </w:p>
        </w:tc>
        <w:tc>
          <w:tcPr>
            <w:tcW w:w="2280" w:type="dxa"/>
            <w:tcBorders>
              <w:top w:val="nil"/>
              <w:left w:val="nil"/>
              <w:bottom w:val="single" w:color="auto" w:sz="4" w:space="0"/>
              <w:right w:val="single" w:color="auto" w:sz="4" w:space="0"/>
            </w:tcBorders>
            <w:noWrap w:val="0"/>
            <w:vAlign w:val="center"/>
          </w:tcPr>
          <w:p>
            <w:pPr>
              <w:widowControl/>
              <w:spacing w:line="260" w:lineRule="exact"/>
              <w:jc w:val="center"/>
              <w:rPr>
                <w:rFonts w:ascii="宋体" w:cs="Times New Roman"/>
                <w:b/>
                <w:bCs/>
                <w:color w:val="000000"/>
                <w:kern w:val="0"/>
                <w:sz w:val="24"/>
                <w:szCs w:val="24"/>
              </w:rPr>
            </w:pPr>
            <w:r>
              <w:rPr>
                <w:rFonts w:hint="eastAsia" w:ascii="宋体" w:hAnsi="宋体" w:cs="宋体"/>
                <w:b/>
                <w:bCs/>
                <w:color w:val="000000"/>
                <w:kern w:val="0"/>
                <w:sz w:val="24"/>
                <w:szCs w:val="24"/>
              </w:rPr>
              <w:t>城镇（元</w:t>
            </w:r>
            <w:r>
              <w:rPr>
                <w:rFonts w:ascii="宋体" w:hAnsi="宋体" w:cs="宋体"/>
                <w:b/>
                <w:bCs/>
                <w:color w:val="000000"/>
                <w:kern w:val="0"/>
                <w:sz w:val="24"/>
                <w:szCs w:val="24"/>
              </w:rPr>
              <w:t>/</w:t>
            </w:r>
            <w:r>
              <w:rPr>
                <w:rFonts w:hint="eastAsia" w:ascii="宋体" w:hAnsi="宋体" w:cs="宋体"/>
                <w:b/>
                <w:bCs/>
                <w:color w:val="000000"/>
                <w:kern w:val="0"/>
                <w:sz w:val="24"/>
                <w:szCs w:val="24"/>
              </w:rPr>
              <w:t>人月）</w:t>
            </w:r>
          </w:p>
        </w:tc>
        <w:tc>
          <w:tcPr>
            <w:tcW w:w="2072" w:type="dxa"/>
            <w:tcBorders>
              <w:top w:val="nil"/>
              <w:left w:val="nil"/>
              <w:bottom w:val="single" w:color="auto" w:sz="4" w:space="0"/>
              <w:right w:val="single" w:color="auto" w:sz="4" w:space="0"/>
            </w:tcBorders>
            <w:noWrap w:val="0"/>
            <w:vAlign w:val="center"/>
          </w:tcPr>
          <w:p>
            <w:pPr>
              <w:widowControl/>
              <w:spacing w:line="260" w:lineRule="exact"/>
              <w:jc w:val="center"/>
              <w:rPr>
                <w:rFonts w:ascii="宋体" w:cs="Times New Roman"/>
                <w:b/>
                <w:bCs/>
                <w:color w:val="000000"/>
                <w:kern w:val="0"/>
                <w:sz w:val="24"/>
                <w:szCs w:val="24"/>
              </w:rPr>
            </w:pPr>
            <w:r>
              <w:rPr>
                <w:rFonts w:hint="eastAsia" w:ascii="宋体" w:hAnsi="宋体" w:cs="宋体"/>
                <w:b/>
                <w:bCs/>
                <w:color w:val="000000"/>
                <w:kern w:val="0"/>
                <w:sz w:val="24"/>
                <w:szCs w:val="24"/>
              </w:rPr>
              <w:t>农村（元</w:t>
            </w:r>
            <w:r>
              <w:rPr>
                <w:rFonts w:ascii="宋体" w:hAnsi="宋体" w:cs="宋体"/>
                <w:b/>
                <w:bCs/>
                <w:color w:val="000000"/>
                <w:kern w:val="0"/>
                <w:sz w:val="24"/>
                <w:szCs w:val="24"/>
              </w:rPr>
              <w:t>/</w:t>
            </w:r>
            <w:r>
              <w:rPr>
                <w:rFonts w:hint="eastAsia" w:ascii="宋体" w:hAnsi="宋体" w:cs="宋体"/>
                <w:b/>
                <w:bCs/>
                <w:color w:val="000000"/>
                <w:kern w:val="0"/>
                <w:sz w:val="24"/>
                <w:szCs w:val="24"/>
              </w:rPr>
              <w:t>人月）</w:t>
            </w:r>
          </w:p>
        </w:tc>
        <w:tc>
          <w:tcPr>
            <w:tcW w:w="218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240" w:lineRule="exact"/>
              <w:jc w:val="left"/>
              <w:rPr>
                <w:rFonts w:ascii="宋体" w:cs="Times New Roman"/>
                <w:b/>
                <w:bCs/>
                <w:color w:val="000000"/>
                <w:kern w:val="0"/>
                <w:sz w:val="24"/>
                <w:szCs w:val="24"/>
              </w:rPr>
            </w:pPr>
          </w:p>
        </w:tc>
      </w:tr>
      <w:tr>
        <w:tblPrEx>
          <w:tblCellMar>
            <w:top w:w="0" w:type="dxa"/>
            <w:left w:w="108" w:type="dxa"/>
            <w:bottom w:w="0" w:type="dxa"/>
            <w:right w:w="108" w:type="dxa"/>
          </w:tblCellMar>
        </w:tblPrEx>
        <w:trPr>
          <w:trHeight w:val="505" w:hRule="atLeast"/>
        </w:trPr>
        <w:tc>
          <w:tcPr>
            <w:tcW w:w="1897" w:type="dxa"/>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宋体" w:cs="Times New Roman"/>
                <w:color w:val="000000"/>
                <w:kern w:val="0"/>
                <w:sz w:val="24"/>
                <w:szCs w:val="24"/>
              </w:rPr>
            </w:pPr>
            <w:r>
              <w:rPr>
                <w:rFonts w:hint="eastAsia" w:ascii="宋体" w:hAnsi="宋体" w:cs="宋体"/>
                <w:color w:val="000000"/>
                <w:kern w:val="0"/>
                <w:sz w:val="24"/>
                <w:szCs w:val="24"/>
              </w:rPr>
              <w:t>廉江市</w:t>
            </w:r>
          </w:p>
        </w:tc>
        <w:tc>
          <w:tcPr>
            <w:tcW w:w="22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kern w:val="0"/>
                <w:sz w:val="24"/>
                <w:szCs w:val="24"/>
                <w:lang w:val="en-US" w:eastAsia="zh-CN"/>
              </w:rPr>
            </w:pPr>
            <w:r>
              <w:rPr>
                <w:rFonts w:hint="eastAsia" w:cs="Times New Roman"/>
                <w:color w:val="000000"/>
                <w:kern w:val="0"/>
                <w:sz w:val="24"/>
                <w:szCs w:val="24"/>
                <w:lang w:val="en-US" w:eastAsia="zh-CN"/>
              </w:rPr>
              <w:t>857</w:t>
            </w:r>
          </w:p>
        </w:tc>
        <w:tc>
          <w:tcPr>
            <w:tcW w:w="210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kern w:val="0"/>
                <w:sz w:val="24"/>
                <w:szCs w:val="24"/>
                <w:lang w:val="en-US" w:eastAsia="zh-CN"/>
              </w:rPr>
            </w:pPr>
            <w:r>
              <w:rPr>
                <w:rFonts w:hint="eastAsia" w:cs="Times New Roman"/>
                <w:color w:val="000000"/>
                <w:kern w:val="0"/>
                <w:sz w:val="24"/>
                <w:szCs w:val="24"/>
                <w:lang w:val="en-US" w:eastAsia="zh-CN"/>
              </w:rPr>
              <w:t>600</w:t>
            </w:r>
          </w:p>
        </w:tc>
        <w:tc>
          <w:tcPr>
            <w:tcW w:w="2280"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kern w:val="0"/>
                <w:sz w:val="24"/>
                <w:szCs w:val="24"/>
                <w:lang w:val="en-US" w:eastAsia="zh-CN"/>
              </w:rPr>
            </w:pPr>
            <w:r>
              <w:rPr>
                <w:rFonts w:hint="eastAsia" w:cs="Times New Roman"/>
                <w:color w:val="000000"/>
                <w:kern w:val="0"/>
                <w:sz w:val="24"/>
                <w:szCs w:val="24"/>
                <w:lang w:val="en-US" w:eastAsia="zh-CN"/>
              </w:rPr>
              <w:t>676</w:t>
            </w:r>
          </w:p>
        </w:tc>
        <w:tc>
          <w:tcPr>
            <w:tcW w:w="207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kern w:val="0"/>
                <w:sz w:val="24"/>
                <w:szCs w:val="24"/>
                <w:lang w:val="en-US" w:eastAsia="zh-CN"/>
              </w:rPr>
            </w:pPr>
            <w:r>
              <w:rPr>
                <w:rFonts w:hint="eastAsia" w:cs="Times New Roman"/>
                <w:color w:val="000000"/>
                <w:kern w:val="0"/>
                <w:sz w:val="24"/>
                <w:szCs w:val="24"/>
                <w:lang w:val="en-US" w:eastAsia="zh-CN"/>
              </w:rPr>
              <w:t>326</w:t>
            </w:r>
          </w:p>
        </w:tc>
        <w:tc>
          <w:tcPr>
            <w:tcW w:w="218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202</w:t>
            </w:r>
            <w:r>
              <w:rPr>
                <w:rFonts w:hint="eastAsia" w:cs="Times New Roman"/>
                <w:color w:val="000000"/>
                <w:kern w:val="0"/>
                <w:sz w:val="24"/>
                <w:szCs w:val="24"/>
                <w:lang w:val="en-US" w:eastAsia="zh-CN"/>
              </w:rPr>
              <w:t>3</w:t>
            </w:r>
            <w:r>
              <w:rPr>
                <w:rFonts w:ascii="Times New Roman" w:hAnsi="Times New Roman" w:cs="Times New Roman"/>
                <w:color w:val="000000"/>
                <w:kern w:val="0"/>
                <w:sz w:val="24"/>
                <w:szCs w:val="24"/>
              </w:rPr>
              <w:t>.1.1</w:t>
            </w:r>
          </w:p>
        </w:tc>
      </w:tr>
      <w:tr>
        <w:tblPrEx>
          <w:tblCellMar>
            <w:top w:w="0" w:type="dxa"/>
            <w:left w:w="108" w:type="dxa"/>
            <w:bottom w:w="0" w:type="dxa"/>
            <w:right w:w="108" w:type="dxa"/>
          </w:tblCellMar>
        </w:tblPrEx>
        <w:trPr>
          <w:trHeight w:val="490" w:hRule="atLeast"/>
        </w:trPr>
        <w:tc>
          <w:tcPr>
            <w:tcW w:w="1897" w:type="dxa"/>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宋体" w:cs="Times New Roman"/>
                <w:color w:val="000000"/>
                <w:kern w:val="0"/>
                <w:sz w:val="24"/>
                <w:szCs w:val="24"/>
              </w:rPr>
            </w:pPr>
            <w:r>
              <w:rPr>
                <w:rFonts w:hint="eastAsia" w:ascii="宋体" w:hAnsi="宋体" w:cs="宋体"/>
                <w:color w:val="000000"/>
                <w:kern w:val="0"/>
                <w:sz w:val="24"/>
                <w:szCs w:val="24"/>
              </w:rPr>
              <w:t>雷州市</w:t>
            </w:r>
          </w:p>
        </w:tc>
        <w:tc>
          <w:tcPr>
            <w:tcW w:w="22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kern w:val="0"/>
                <w:sz w:val="24"/>
                <w:szCs w:val="24"/>
                <w:lang w:val="en-US" w:eastAsia="zh-CN"/>
              </w:rPr>
            </w:pPr>
            <w:r>
              <w:rPr>
                <w:rFonts w:hint="eastAsia" w:cs="Times New Roman"/>
                <w:color w:val="000000"/>
                <w:kern w:val="0"/>
                <w:sz w:val="24"/>
                <w:szCs w:val="24"/>
                <w:lang w:val="en-US" w:eastAsia="zh-CN"/>
              </w:rPr>
              <w:t>857</w:t>
            </w:r>
          </w:p>
        </w:tc>
        <w:tc>
          <w:tcPr>
            <w:tcW w:w="210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cs="Times New Roman"/>
                <w:color w:val="000000"/>
                <w:kern w:val="0"/>
                <w:sz w:val="24"/>
                <w:szCs w:val="24"/>
                <w:lang w:val="en-US"/>
              </w:rPr>
            </w:pPr>
            <w:r>
              <w:rPr>
                <w:rFonts w:hint="eastAsia" w:cs="Times New Roman"/>
                <w:color w:val="000000"/>
                <w:kern w:val="0"/>
                <w:sz w:val="24"/>
                <w:szCs w:val="24"/>
                <w:lang w:val="en-US" w:eastAsia="zh-CN"/>
              </w:rPr>
              <w:t>600</w:t>
            </w:r>
          </w:p>
        </w:tc>
        <w:tc>
          <w:tcPr>
            <w:tcW w:w="22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color w:val="000000"/>
                <w:kern w:val="0"/>
                <w:sz w:val="24"/>
                <w:szCs w:val="24"/>
              </w:rPr>
            </w:pPr>
            <w:r>
              <w:rPr>
                <w:rFonts w:hint="eastAsia" w:cs="Times New Roman"/>
                <w:color w:val="000000"/>
                <w:kern w:val="0"/>
                <w:sz w:val="24"/>
                <w:szCs w:val="24"/>
                <w:lang w:val="en-US" w:eastAsia="zh-CN"/>
              </w:rPr>
              <w:t>676</w:t>
            </w:r>
          </w:p>
        </w:tc>
        <w:tc>
          <w:tcPr>
            <w:tcW w:w="2072"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color w:val="000000"/>
                <w:kern w:val="0"/>
                <w:sz w:val="24"/>
                <w:szCs w:val="24"/>
              </w:rPr>
            </w:pPr>
            <w:r>
              <w:rPr>
                <w:rFonts w:hint="eastAsia" w:cs="Times New Roman"/>
                <w:color w:val="000000"/>
                <w:kern w:val="0"/>
                <w:sz w:val="24"/>
                <w:szCs w:val="24"/>
                <w:lang w:val="en-US" w:eastAsia="zh-CN"/>
              </w:rPr>
              <w:t>326</w:t>
            </w:r>
          </w:p>
        </w:tc>
        <w:tc>
          <w:tcPr>
            <w:tcW w:w="218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202</w:t>
            </w:r>
            <w:r>
              <w:rPr>
                <w:rFonts w:hint="eastAsia" w:cs="Times New Roman"/>
                <w:color w:val="000000"/>
                <w:kern w:val="0"/>
                <w:sz w:val="24"/>
                <w:szCs w:val="24"/>
                <w:lang w:val="en-US" w:eastAsia="zh-CN"/>
              </w:rPr>
              <w:t>3</w:t>
            </w:r>
            <w:r>
              <w:rPr>
                <w:rFonts w:ascii="Times New Roman" w:hAnsi="Times New Roman" w:cs="Times New Roman"/>
                <w:color w:val="000000"/>
                <w:kern w:val="0"/>
                <w:sz w:val="24"/>
                <w:szCs w:val="24"/>
              </w:rPr>
              <w:t>.1.1</w:t>
            </w:r>
          </w:p>
        </w:tc>
      </w:tr>
      <w:tr>
        <w:tblPrEx>
          <w:tblCellMar>
            <w:top w:w="0" w:type="dxa"/>
            <w:left w:w="108" w:type="dxa"/>
            <w:bottom w:w="0" w:type="dxa"/>
            <w:right w:w="108" w:type="dxa"/>
          </w:tblCellMar>
        </w:tblPrEx>
        <w:trPr>
          <w:trHeight w:val="488" w:hRule="atLeast"/>
        </w:trPr>
        <w:tc>
          <w:tcPr>
            <w:tcW w:w="1897" w:type="dxa"/>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宋体" w:cs="Times New Roman"/>
                <w:color w:val="000000"/>
                <w:kern w:val="0"/>
                <w:sz w:val="24"/>
                <w:szCs w:val="24"/>
              </w:rPr>
            </w:pPr>
            <w:r>
              <w:rPr>
                <w:rFonts w:hint="eastAsia" w:ascii="宋体" w:hAnsi="宋体" w:cs="宋体"/>
                <w:color w:val="000000"/>
                <w:kern w:val="0"/>
                <w:sz w:val="24"/>
                <w:szCs w:val="24"/>
              </w:rPr>
              <w:t>吴川市</w:t>
            </w:r>
          </w:p>
        </w:tc>
        <w:tc>
          <w:tcPr>
            <w:tcW w:w="22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kern w:val="0"/>
                <w:sz w:val="24"/>
                <w:szCs w:val="24"/>
                <w:lang w:val="en-US" w:eastAsia="zh-CN"/>
              </w:rPr>
            </w:pPr>
            <w:r>
              <w:rPr>
                <w:rFonts w:hint="eastAsia" w:cs="Times New Roman"/>
                <w:color w:val="000000"/>
                <w:kern w:val="0"/>
                <w:sz w:val="24"/>
                <w:szCs w:val="24"/>
                <w:lang w:val="en-US" w:eastAsia="zh-CN"/>
              </w:rPr>
              <w:t>857</w:t>
            </w:r>
          </w:p>
        </w:tc>
        <w:tc>
          <w:tcPr>
            <w:tcW w:w="2105"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color w:val="000000"/>
                <w:kern w:val="0"/>
                <w:sz w:val="24"/>
                <w:szCs w:val="24"/>
              </w:rPr>
            </w:pPr>
            <w:r>
              <w:rPr>
                <w:rFonts w:hint="eastAsia" w:cs="Times New Roman"/>
                <w:color w:val="000000"/>
                <w:kern w:val="0"/>
                <w:sz w:val="24"/>
                <w:szCs w:val="24"/>
                <w:lang w:val="en-US" w:eastAsia="zh-CN"/>
              </w:rPr>
              <w:t>600</w:t>
            </w:r>
          </w:p>
        </w:tc>
        <w:tc>
          <w:tcPr>
            <w:tcW w:w="22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color w:val="000000"/>
                <w:kern w:val="0"/>
                <w:sz w:val="24"/>
                <w:szCs w:val="24"/>
              </w:rPr>
            </w:pPr>
            <w:r>
              <w:rPr>
                <w:rFonts w:hint="eastAsia" w:cs="Times New Roman"/>
                <w:color w:val="000000"/>
                <w:kern w:val="0"/>
                <w:sz w:val="24"/>
                <w:szCs w:val="24"/>
                <w:lang w:val="en-US" w:eastAsia="zh-CN"/>
              </w:rPr>
              <w:t>676</w:t>
            </w:r>
          </w:p>
        </w:tc>
        <w:tc>
          <w:tcPr>
            <w:tcW w:w="2072"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color w:val="000000"/>
                <w:kern w:val="0"/>
                <w:sz w:val="24"/>
                <w:szCs w:val="24"/>
              </w:rPr>
            </w:pPr>
            <w:r>
              <w:rPr>
                <w:rFonts w:hint="eastAsia" w:cs="Times New Roman"/>
                <w:color w:val="000000"/>
                <w:kern w:val="0"/>
                <w:sz w:val="24"/>
                <w:szCs w:val="24"/>
                <w:lang w:val="en-US" w:eastAsia="zh-CN"/>
              </w:rPr>
              <w:t>326</w:t>
            </w:r>
          </w:p>
        </w:tc>
        <w:tc>
          <w:tcPr>
            <w:tcW w:w="218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202</w:t>
            </w:r>
            <w:r>
              <w:rPr>
                <w:rFonts w:hint="eastAsia" w:cs="Times New Roman"/>
                <w:color w:val="000000"/>
                <w:kern w:val="0"/>
                <w:sz w:val="24"/>
                <w:szCs w:val="24"/>
                <w:lang w:val="en-US" w:eastAsia="zh-CN"/>
              </w:rPr>
              <w:t>3</w:t>
            </w:r>
            <w:r>
              <w:rPr>
                <w:rFonts w:ascii="Times New Roman" w:hAnsi="Times New Roman" w:cs="Times New Roman"/>
                <w:color w:val="000000"/>
                <w:kern w:val="0"/>
                <w:sz w:val="24"/>
                <w:szCs w:val="24"/>
              </w:rPr>
              <w:t>.1.1</w:t>
            </w:r>
          </w:p>
        </w:tc>
      </w:tr>
      <w:tr>
        <w:tblPrEx>
          <w:tblCellMar>
            <w:top w:w="0" w:type="dxa"/>
            <w:left w:w="108" w:type="dxa"/>
            <w:bottom w:w="0" w:type="dxa"/>
            <w:right w:w="108" w:type="dxa"/>
          </w:tblCellMar>
        </w:tblPrEx>
        <w:trPr>
          <w:trHeight w:val="496" w:hRule="atLeast"/>
        </w:trPr>
        <w:tc>
          <w:tcPr>
            <w:tcW w:w="1897" w:type="dxa"/>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宋体" w:cs="Times New Roman"/>
                <w:color w:val="000000"/>
                <w:kern w:val="0"/>
                <w:sz w:val="24"/>
                <w:szCs w:val="24"/>
              </w:rPr>
            </w:pPr>
            <w:r>
              <w:rPr>
                <w:rFonts w:hint="eastAsia" w:ascii="宋体" w:hAnsi="宋体" w:cs="宋体"/>
                <w:color w:val="000000"/>
                <w:kern w:val="0"/>
                <w:sz w:val="24"/>
                <w:szCs w:val="24"/>
              </w:rPr>
              <w:t>遂溪县</w:t>
            </w:r>
          </w:p>
        </w:tc>
        <w:tc>
          <w:tcPr>
            <w:tcW w:w="22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kern w:val="0"/>
                <w:sz w:val="24"/>
                <w:szCs w:val="24"/>
                <w:lang w:val="en-US" w:eastAsia="zh-CN"/>
              </w:rPr>
            </w:pPr>
            <w:r>
              <w:rPr>
                <w:rFonts w:hint="eastAsia" w:cs="Times New Roman"/>
                <w:color w:val="000000"/>
                <w:kern w:val="0"/>
                <w:sz w:val="24"/>
                <w:szCs w:val="24"/>
                <w:lang w:val="en-US" w:eastAsia="zh-CN"/>
              </w:rPr>
              <w:t>857</w:t>
            </w:r>
          </w:p>
        </w:tc>
        <w:tc>
          <w:tcPr>
            <w:tcW w:w="2105"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color w:val="000000"/>
                <w:kern w:val="0"/>
                <w:sz w:val="24"/>
                <w:szCs w:val="24"/>
              </w:rPr>
            </w:pPr>
            <w:r>
              <w:rPr>
                <w:rFonts w:hint="eastAsia" w:cs="Times New Roman"/>
                <w:color w:val="000000"/>
                <w:kern w:val="0"/>
                <w:sz w:val="24"/>
                <w:szCs w:val="24"/>
                <w:lang w:val="en-US" w:eastAsia="zh-CN"/>
              </w:rPr>
              <w:t>600</w:t>
            </w:r>
          </w:p>
        </w:tc>
        <w:tc>
          <w:tcPr>
            <w:tcW w:w="22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color w:val="000000"/>
                <w:kern w:val="0"/>
                <w:sz w:val="24"/>
                <w:szCs w:val="24"/>
              </w:rPr>
            </w:pPr>
            <w:r>
              <w:rPr>
                <w:rFonts w:hint="eastAsia" w:cs="Times New Roman"/>
                <w:color w:val="000000"/>
                <w:kern w:val="0"/>
                <w:sz w:val="24"/>
                <w:szCs w:val="24"/>
                <w:lang w:val="en-US" w:eastAsia="zh-CN"/>
              </w:rPr>
              <w:t>676</w:t>
            </w:r>
          </w:p>
        </w:tc>
        <w:tc>
          <w:tcPr>
            <w:tcW w:w="2072"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color w:val="000000"/>
                <w:kern w:val="0"/>
                <w:sz w:val="24"/>
                <w:szCs w:val="24"/>
              </w:rPr>
            </w:pPr>
            <w:r>
              <w:rPr>
                <w:rFonts w:hint="eastAsia" w:cs="Times New Roman"/>
                <w:color w:val="000000"/>
                <w:kern w:val="0"/>
                <w:sz w:val="24"/>
                <w:szCs w:val="24"/>
                <w:lang w:val="en-US" w:eastAsia="zh-CN"/>
              </w:rPr>
              <w:t>326</w:t>
            </w:r>
          </w:p>
        </w:tc>
        <w:tc>
          <w:tcPr>
            <w:tcW w:w="218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202</w:t>
            </w:r>
            <w:r>
              <w:rPr>
                <w:rFonts w:hint="eastAsia" w:cs="Times New Roman"/>
                <w:color w:val="000000"/>
                <w:kern w:val="0"/>
                <w:sz w:val="24"/>
                <w:szCs w:val="24"/>
                <w:lang w:val="en-US" w:eastAsia="zh-CN"/>
              </w:rPr>
              <w:t>3</w:t>
            </w:r>
            <w:r>
              <w:rPr>
                <w:rFonts w:ascii="Times New Roman" w:hAnsi="Times New Roman" w:cs="Times New Roman"/>
                <w:color w:val="000000"/>
                <w:kern w:val="0"/>
                <w:sz w:val="24"/>
                <w:szCs w:val="24"/>
              </w:rPr>
              <w:t>.1.1</w:t>
            </w:r>
          </w:p>
        </w:tc>
      </w:tr>
      <w:tr>
        <w:tblPrEx>
          <w:tblCellMar>
            <w:top w:w="0" w:type="dxa"/>
            <w:left w:w="108" w:type="dxa"/>
            <w:bottom w:w="0" w:type="dxa"/>
            <w:right w:w="108" w:type="dxa"/>
          </w:tblCellMar>
        </w:tblPrEx>
        <w:trPr>
          <w:trHeight w:val="477" w:hRule="atLeast"/>
        </w:trPr>
        <w:tc>
          <w:tcPr>
            <w:tcW w:w="1897" w:type="dxa"/>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宋体" w:cs="Times New Roman"/>
                <w:color w:val="000000"/>
                <w:kern w:val="0"/>
                <w:sz w:val="24"/>
                <w:szCs w:val="24"/>
              </w:rPr>
            </w:pPr>
            <w:r>
              <w:rPr>
                <w:rFonts w:hint="eastAsia" w:ascii="宋体" w:hAnsi="宋体" w:cs="宋体"/>
                <w:color w:val="000000"/>
                <w:kern w:val="0"/>
                <w:sz w:val="24"/>
                <w:szCs w:val="24"/>
              </w:rPr>
              <w:t>徐闻县</w:t>
            </w:r>
          </w:p>
        </w:tc>
        <w:tc>
          <w:tcPr>
            <w:tcW w:w="22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kern w:val="0"/>
                <w:sz w:val="24"/>
                <w:szCs w:val="24"/>
                <w:lang w:val="en-US" w:eastAsia="zh-CN" w:bidi="ar-SA"/>
              </w:rPr>
            </w:pPr>
            <w:r>
              <w:rPr>
                <w:rFonts w:hint="eastAsia" w:cs="Times New Roman"/>
                <w:color w:val="000000"/>
                <w:kern w:val="0"/>
                <w:sz w:val="24"/>
                <w:szCs w:val="24"/>
                <w:lang w:val="en-US" w:eastAsia="zh-CN"/>
              </w:rPr>
              <w:t>857</w:t>
            </w:r>
          </w:p>
        </w:tc>
        <w:tc>
          <w:tcPr>
            <w:tcW w:w="2105"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color w:val="000000"/>
                <w:kern w:val="0"/>
                <w:sz w:val="24"/>
                <w:szCs w:val="24"/>
              </w:rPr>
            </w:pPr>
            <w:r>
              <w:rPr>
                <w:rFonts w:hint="eastAsia" w:cs="Times New Roman"/>
                <w:color w:val="000000"/>
                <w:kern w:val="0"/>
                <w:sz w:val="24"/>
                <w:szCs w:val="24"/>
                <w:lang w:val="en-US" w:eastAsia="zh-CN"/>
              </w:rPr>
              <w:t>600</w:t>
            </w:r>
          </w:p>
        </w:tc>
        <w:tc>
          <w:tcPr>
            <w:tcW w:w="22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color w:val="000000"/>
                <w:kern w:val="0"/>
                <w:sz w:val="24"/>
                <w:szCs w:val="24"/>
              </w:rPr>
            </w:pPr>
            <w:r>
              <w:rPr>
                <w:rFonts w:hint="eastAsia" w:cs="Times New Roman"/>
                <w:color w:val="000000"/>
                <w:kern w:val="0"/>
                <w:sz w:val="24"/>
                <w:szCs w:val="24"/>
                <w:lang w:val="en-US" w:eastAsia="zh-CN"/>
              </w:rPr>
              <w:t>676</w:t>
            </w:r>
          </w:p>
        </w:tc>
        <w:tc>
          <w:tcPr>
            <w:tcW w:w="2072"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color w:val="000000"/>
                <w:kern w:val="0"/>
                <w:sz w:val="24"/>
                <w:szCs w:val="24"/>
              </w:rPr>
            </w:pPr>
            <w:r>
              <w:rPr>
                <w:rFonts w:hint="eastAsia" w:cs="Times New Roman"/>
                <w:color w:val="000000"/>
                <w:kern w:val="0"/>
                <w:sz w:val="24"/>
                <w:szCs w:val="24"/>
                <w:lang w:val="en-US" w:eastAsia="zh-CN"/>
              </w:rPr>
              <w:t>326</w:t>
            </w:r>
          </w:p>
        </w:tc>
        <w:tc>
          <w:tcPr>
            <w:tcW w:w="218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202</w:t>
            </w:r>
            <w:r>
              <w:rPr>
                <w:rFonts w:hint="eastAsia" w:cs="Times New Roman"/>
                <w:color w:val="000000"/>
                <w:kern w:val="0"/>
                <w:sz w:val="24"/>
                <w:szCs w:val="24"/>
                <w:lang w:val="en-US" w:eastAsia="zh-CN"/>
              </w:rPr>
              <w:t>3</w:t>
            </w:r>
            <w:r>
              <w:rPr>
                <w:rFonts w:ascii="Times New Roman" w:hAnsi="Times New Roman" w:cs="Times New Roman"/>
                <w:color w:val="000000"/>
                <w:kern w:val="0"/>
                <w:sz w:val="24"/>
                <w:szCs w:val="24"/>
              </w:rPr>
              <w:t>.1.1</w:t>
            </w:r>
          </w:p>
        </w:tc>
      </w:tr>
      <w:tr>
        <w:tblPrEx>
          <w:tblCellMar>
            <w:top w:w="0" w:type="dxa"/>
            <w:left w:w="108" w:type="dxa"/>
            <w:bottom w:w="0" w:type="dxa"/>
            <w:right w:w="108" w:type="dxa"/>
          </w:tblCellMar>
        </w:tblPrEx>
        <w:trPr>
          <w:trHeight w:val="496" w:hRule="atLeast"/>
        </w:trPr>
        <w:tc>
          <w:tcPr>
            <w:tcW w:w="1897" w:type="dxa"/>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宋体" w:cs="Times New Roman"/>
                <w:color w:val="000000"/>
                <w:kern w:val="0"/>
                <w:sz w:val="24"/>
                <w:szCs w:val="24"/>
              </w:rPr>
            </w:pPr>
            <w:r>
              <w:rPr>
                <w:rFonts w:hint="eastAsia" w:ascii="宋体" w:hAnsi="宋体" w:cs="宋体"/>
                <w:color w:val="000000"/>
                <w:kern w:val="0"/>
                <w:sz w:val="24"/>
                <w:szCs w:val="24"/>
              </w:rPr>
              <w:t>赤坎区</w:t>
            </w:r>
          </w:p>
        </w:tc>
        <w:tc>
          <w:tcPr>
            <w:tcW w:w="22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kern w:val="0"/>
                <w:sz w:val="24"/>
                <w:szCs w:val="24"/>
                <w:lang w:val="en-US" w:eastAsia="zh-CN" w:bidi="ar-SA"/>
              </w:rPr>
            </w:pPr>
            <w:r>
              <w:rPr>
                <w:rFonts w:hint="eastAsia" w:cs="Times New Roman"/>
                <w:color w:val="000000"/>
                <w:kern w:val="0"/>
                <w:sz w:val="24"/>
                <w:szCs w:val="24"/>
                <w:lang w:val="en-US" w:eastAsia="zh-CN"/>
              </w:rPr>
              <w:t>857</w:t>
            </w:r>
          </w:p>
        </w:tc>
        <w:tc>
          <w:tcPr>
            <w:tcW w:w="2105"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auto"/>
                <w:kern w:val="0"/>
                <w:sz w:val="24"/>
                <w:szCs w:val="24"/>
                <w:lang w:val="en-US" w:eastAsia="zh-CN"/>
              </w:rPr>
            </w:pPr>
            <w:r>
              <w:rPr>
                <w:rFonts w:hint="eastAsia" w:cs="Times New Roman"/>
                <w:color w:val="000000"/>
                <w:kern w:val="0"/>
                <w:sz w:val="24"/>
                <w:szCs w:val="24"/>
                <w:lang w:val="en-US" w:eastAsia="zh-CN"/>
              </w:rPr>
              <w:t>600</w:t>
            </w:r>
          </w:p>
        </w:tc>
        <w:tc>
          <w:tcPr>
            <w:tcW w:w="22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color w:val="auto"/>
                <w:kern w:val="0"/>
                <w:sz w:val="24"/>
                <w:szCs w:val="24"/>
              </w:rPr>
            </w:pPr>
            <w:r>
              <w:rPr>
                <w:rFonts w:hint="eastAsia" w:cs="Times New Roman"/>
                <w:color w:val="000000"/>
                <w:kern w:val="0"/>
                <w:sz w:val="24"/>
                <w:szCs w:val="24"/>
                <w:lang w:val="en-US" w:eastAsia="zh-CN"/>
              </w:rPr>
              <w:t>676</w:t>
            </w:r>
          </w:p>
        </w:tc>
        <w:tc>
          <w:tcPr>
            <w:tcW w:w="2072"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auto"/>
                <w:kern w:val="0"/>
                <w:sz w:val="24"/>
                <w:szCs w:val="24"/>
                <w:lang w:val="en-US" w:eastAsia="zh-CN"/>
              </w:rPr>
            </w:pPr>
            <w:r>
              <w:rPr>
                <w:rFonts w:hint="eastAsia" w:cs="Times New Roman"/>
                <w:color w:val="000000"/>
                <w:kern w:val="0"/>
                <w:sz w:val="24"/>
                <w:szCs w:val="24"/>
                <w:lang w:val="en-US" w:eastAsia="zh-CN"/>
              </w:rPr>
              <w:t>326</w:t>
            </w:r>
          </w:p>
        </w:tc>
        <w:tc>
          <w:tcPr>
            <w:tcW w:w="218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202</w:t>
            </w:r>
            <w:r>
              <w:rPr>
                <w:rFonts w:hint="eastAsia" w:cs="Times New Roman"/>
                <w:color w:val="000000"/>
                <w:kern w:val="0"/>
                <w:sz w:val="24"/>
                <w:szCs w:val="24"/>
                <w:lang w:val="en-US" w:eastAsia="zh-CN"/>
              </w:rPr>
              <w:t>3</w:t>
            </w:r>
            <w:r>
              <w:rPr>
                <w:rFonts w:ascii="Times New Roman" w:hAnsi="Times New Roman" w:cs="Times New Roman"/>
                <w:color w:val="000000"/>
                <w:kern w:val="0"/>
                <w:sz w:val="24"/>
                <w:szCs w:val="24"/>
              </w:rPr>
              <w:t>.1.1</w:t>
            </w:r>
          </w:p>
        </w:tc>
      </w:tr>
      <w:tr>
        <w:tblPrEx>
          <w:tblCellMar>
            <w:top w:w="0" w:type="dxa"/>
            <w:left w:w="108" w:type="dxa"/>
            <w:bottom w:w="0" w:type="dxa"/>
            <w:right w:w="108" w:type="dxa"/>
          </w:tblCellMar>
        </w:tblPrEx>
        <w:trPr>
          <w:trHeight w:val="496" w:hRule="atLeast"/>
        </w:trPr>
        <w:tc>
          <w:tcPr>
            <w:tcW w:w="1897" w:type="dxa"/>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宋体" w:cs="Times New Roman"/>
                <w:color w:val="000000"/>
                <w:kern w:val="0"/>
                <w:sz w:val="24"/>
                <w:szCs w:val="24"/>
              </w:rPr>
            </w:pPr>
            <w:r>
              <w:rPr>
                <w:rFonts w:hint="eastAsia" w:ascii="宋体" w:hAnsi="宋体" w:cs="宋体"/>
                <w:color w:val="000000"/>
                <w:kern w:val="0"/>
                <w:sz w:val="24"/>
                <w:szCs w:val="24"/>
              </w:rPr>
              <w:t>霞山区</w:t>
            </w:r>
          </w:p>
        </w:tc>
        <w:tc>
          <w:tcPr>
            <w:tcW w:w="22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kern w:val="0"/>
                <w:sz w:val="24"/>
                <w:szCs w:val="24"/>
                <w:lang w:val="en-US" w:eastAsia="zh-CN" w:bidi="ar-SA"/>
              </w:rPr>
            </w:pPr>
            <w:r>
              <w:rPr>
                <w:rFonts w:hint="eastAsia" w:cs="Times New Roman"/>
                <w:color w:val="000000"/>
                <w:kern w:val="0"/>
                <w:sz w:val="24"/>
                <w:szCs w:val="24"/>
                <w:lang w:val="en-US" w:eastAsia="zh-CN"/>
              </w:rPr>
              <w:t>857</w:t>
            </w:r>
          </w:p>
        </w:tc>
        <w:tc>
          <w:tcPr>
            <w:tcW w:w="2105"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color w:val="000000"/>
                <w:kern w:val="0"/>
                <w:sz w:val="24"/>
                <w:szCs w:val="24"/>
              </w:rPr>
            </w:pPr>
            <w:r>
              <w:rPr>
                <w:rFonts w:hint="eastAsia" w:cs="Times New Roman"/>
                <w:color w:val="000000"/>
                <w:kern w:val="0"/>
                <w:sz w:val="24"/>
                <w:szCs w:val="24"/>
                <w:lang w:val="en-US" w:eastAsia="zh-CN"/>
              </w:rPr>
              <w:t>600</w:t>
            </w:r>
          </w:p>
        </w:tc>
        <w:tc>
          <w:tcPr>
            <w:tcW w:w="22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color w:val="auto"/>
                <w:kern w:val="0"/>
                <w:sz w:val="24"/>
                <w:szCs w:val="24"/>
              </w:rPr>
            </w:pPr>
            <w:r>
              <w:rPr>
                <w:rFonts w:hint="eastAsia" w:cs="Times New Roman"/>
                <w:color w:val="000000"/>
                <w:kern w:val="0"/>
                <w:sz w:val="24"/>
                <w:szCs w:val="24"/>
                <w:lang w:val="en-US" w:eastAsia="zh-CN"/>
              </w:rPr>
              <w:t>676</w:t>
            </w:r>
          </w:p>
        </w:tc>
        <w:tc>
          <w:tcPr>
            <w:tcW w:w="2072"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color w:val="auto"/>
                <w:kern w:val="0"/>
                <w:sz w:val="24"/>
                <w:szCs w:val="24"/>
              </w:rPr>
            </w:pPr>
            <w:r>
              <w:rPr>
                <w:rFonts w:hint="eastAsia" w:cs="Times New Roman"/>
                <w:color w:val="000000"/>
                <w:kern w:val="0"/>
                <w:sz w:val="24"/>
                <w:szCs w:val="24"/>
                <w:lang w:val="en-US" w:eastAsia="zh-CN"/>
              </w:rPr>
              <w:t>326</w:t>
            </w:r>
          </w:p>
        </w:tc>
        <w:tc>
          <w:tcPr>
            <w:tcW w:w="218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202</w:t>
            </w:r>
            <w:r>
              <w:rPr>
                <w:rFonts w:hint="eastAsia" w:cs="Times New Roman"/>
                <w:color w:val="000000"/>
                <w:kern w:val="0"/>
                <w:sz w:val="24"/>
                <w:szCs w:val="24"/>
                <w:lang w:val="en-US" w:eastAsia="zh-CN"/>
              </w:rPr>
              <w:t>3</w:t>
            </w:r>
            <w:r>
              <w:rPr>
                <w:rFonts w:ascii="Times New Roman" w:hAnsi="Times New Roman" w:cs="Times New Roman"/>
                <w:color w:val="000000"/>
                <w:kern w:val="0"/>
                <w:sz w:val="24"/>
                <w:szCs w:val="24"/>
              </w:rPr>
              <w:t>.1.1</w:t>
            </w:r>
          </w:p>
        </w:tc>
      </w:tr>
      <w:tr>
        <w:tblPrEx>
          <w:tblCellMar>
            <w:top w:w="0" w:type="dxa"/>
            <w:left w:w="108" w:type="dxa"/>
            <w:bottom w:w="0" w:type="dxa"/>
            <w:right w:w="108" w:type="dxa"/>
          </w:tblCellMar>
        </w:tblPrEx>
        <w:trPr>
          <w:trHeight w:val="496" w:hRule="atLeast"/>
        </w:trPr>
        <w:tc>
          <w:tcPr>
            <w:tcW w:w="1897" w:type="dxa"/>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宋体" w:cs="Times New Roman"/>
                <w:color w:val="000000"/>
                <w:kern w:val="0"/>
                <w:sz w:val="24"/>
                <w:szCs w:val="24"/>
              </w:rPr>
            </w:pPr>
            <w:r>
              <w:rPr>
                <w:rFonts w:hint="eastAsia" w:ascii="宋体" w:hAnsi="宋体" w:cs="宋体"/>
                <w:color w:val="000000"/>
                <w:kern w:val="0"/>
                <w:sz w:val="24"/>
                <w:szCs w:val="24"/>
              </w:rPr>
              <w:t>坡头区</w:t>
            </w:r>
          </w:p>
        </w:tc>
        <w:tc>
          <w:tcPr>
            <w:tcW w:w="2251"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color w:val="000000"/>
                <w:kern w:val="0"/>
                <w:sz w:val="24"/>
                <w:szCs w:val="24"/>
                <w:lang w:val="en-US" w:eastAsia="zh-CN" w:bidi="ar-SA"/>
              </w:rPr>
            </w:pPr>
            <w:r>
              <w:rPr>
                <w:rFonts w:hint="eastAsia" w:cs="Times New Roman"/>
                <w:color w:val="000000"/>
                <w:kern w:val="0"/>
                <w:sz w:val="24"/>
                <w:szCs w:val="24"/>
                <w:lang w:val="en-US" w:eastAsia="zh-CN"/>
              </w:rPr>
              <w:t>857</w:t>
            </w:r>
          </w:p>
        </w:tc>
        <w:tc>
          <w:tcPr>
            <w:tcW w:w="2105"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color w:val="000000"/>
                <w:kern w:val="0"/>
                <w:sz w:val="24"/>
                <w:szCs w:val="24"/>
              </w:rPr>
            </w:pPr>
            <w:r>
              <w:rPr>
                <w:rFonts w:hint="eastAsia" w:cs="Times New Roman"/>
                <w:color w:val="000000"/>
                <w:kern w:val="0"/>
                <w:sz w:val="24"/>
                <w:szCs w:val="24"/>
                <w:lang w:val="en-US" w:eastAsia="zh-CN"/>
              </w:rPr>
              <w:t>600</w:t>
            </w:r>
          </w:p>
        </w:tc>
        <w:tc>
          <w:tcPr>
            <w:tcW w:w="22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color w:val="000000"/>
                <w:kern w:val="0"/>
                <w:sz w:val="24"/>
                <w:szCs w:val="24"/>
              </w:rPr>
            </w:pPr>
            <w:r>
              <w:rPr>
                <w:rFonts w:hint="eastAsia" w:cs="Times New Roman"/>
                <w:color w:val="000000"/>
                <w:kern w:val="0"/>
                <w:sz w:val="24"/>
                <w:szCs w:val="24"/>
                <w:lang w:val="en-US" w:eastAsia="zh-CN"/>
              </w:rPr>
              <w:t>676</w:t>
            </w:r>
          </w:p>
        </w:tc>
        <w:tc>
          <w:tcPr>
            <w:tcW w:w="2072"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color w:val="000000"/>
                <w:kern w:val="0"/>
                <w:sz w:val="24"/>
                <w:szCs w:val="24"/>
              </w:rPr>
            </w:pPr>
            <w:r>
              <w:rPr>
                <w:rFonts w:hint="eastAsia" w:cs="Times New Roman"/>
                <w:color w:val="000000"/>
                <w:kern w:val="0"/>
                <w:sz w:val="24"/>
                <w:szCs w:val="24"/>
                <w:lang w:val="en-US" w:eastAsia="zh-CN"/>
              </w:rPr>
              <w:t>326</w:t>
            </w:r>
          </w:p>
        </w:tc>
        <w:tc>
          <w:tcPr>
            <w:tcW w:w="218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202</w:t>
            </w:r>
            <w:r>
              <w:rPr>
                <w:rFonts w:hint="eastAsia" w:cs="Times New Roman"/>
                <w:color w:val="000000"/>
                <w:kern w:val="0"/>
                <w:sz w:val="24"/>
                <w:szCs w:val="24"/>
                <w:lang w:val="en-US" w:eastAsia="zh-CN"/>
              </w:rPr>
              <w:t>3</w:t>
            </w:r>
            <w:r>
              <w:rPr>
                <w:rFonts w:ascii="Times New Roman" w:hAnsi="Times New Roman" w:cs="Times New Roman"/>
                <w:color w:val="000000"/>
                <w:kern w:val="0"/>
                <w:sz w:val="24"/>
                <w:szCs w:val="24"/>
              </w:rPr>
              <w:t>.1.1</w:t>
            </w:r>
          </w:p>
        </w:tc>
      </w:tr>
      <w:tr>
        <w:tblPrEx>
          <w:tblCellMar>
            <w:top w:w="0" w:type="dxa"/>
            <w:left w:w="108" w:type="dxa"/>
            <w:bottom w:w="0" w:type="dxa"/>
            <w:right w:w="108" w:type="dxa"/>
          </w:tblCellMar>
        </w:tblPrEx>
        <w:trPr>
          <w:trHeight w:val="476" w:hRule="atLeast"/>
        </w:trPr>
        <w:tc>
          <w:tcPr>
            <w:tcW w:w="1897" w:type="dxa"/>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宋体" w:cs="Times New Roman"/>
                <w:color w:val="000000"/>
                <w:kern w:val="0"/>
                <w:sz w:val="24"/>
                <w:szCs w:val="24"/>
              </w:rPr>
            </w:pPr>
            <w:r>
              <w:rPr>
                <w:rFonts w:hint="eastAsia" w:ascii="宋体" w:hAnsi="宋体" w:cs="宋体"/>
                <w:color w:val="000000"/>
                <w:kern w:val="0"/>
                <w:sz w:val="24"/>
                <w:szCs w:val="24"/>
              </w:rPr>
              <w:t>麻章区</w:t>
            </w:r>
          </w:p>
        </w:tc>
        <w:tc>
          <w:tcPr>
            <w:tcW w:w="22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color w:val="000000"/>
                <w:kern w:val="0"/>
                <w:sz w:val="24"/>
                <w:szCs w:val="24"/>
              </w:rPr>
            </w:pPr>
            <w:r>
              <w:rPr>
                <w:rFonts w:hint="eastAsia" w:cs="Times New Roman"/>
                <w:color w:val="000000"/>
                <w:kern w:val="0"/>
                <w:sz w:val="24"/>
                <w:szCs w:val="24"/>
                <w:lang w:val="en-US" w:eastAsia="zh-CN"/>
              </w:rPr>
              <w:t>857</w:t>
            </w:r>
          </w:p>
        </w:tc>
        <w:tc>
          <w:tcPr>
            <w:tcW w:w="2105"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color w:val="000000"/>
                <w:kern w:val="0"/>
                <w:sz w:val="24"/>
                <w:szCs w:val="24"/>
              </w:rPr>
            </w:pPr>
            <w:r>
              <w:rPr>
                <w:rFonts w:hint="eastAsia" w:cs="Times New Roman"/>
                <w:color w:val="000000"/>
                <w:kern w:val="0"/>
                <w:sz w:val="24"/>
                <w:szCs w:val="24"/>
                <w:lang w:val="en-US" w:eastAsia="zh-CN"/>
              </w:rPr>
              <w:t>600</w:t>
            </w:r>
          </w:p>
        </w:tc>
        <w:tc>
          <w:tcPr>
            <w:tcW w:w="22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color w:val="000000"/>
                <w:kern w:val="0"/>
                <w:sz w:val="24"/>
                <w:szCs w:val="24"/>
              </w:rPr>
            </w:pPr>
            <w:r>
              <w:rPr>
                <w:rFonts w:hint="eastAsia" w:cs="Times New Roman"/>
                <w:color w:val="000000"/>
                <w:kern w:val="0"/>
                <w:sz w:val="24"/>
                <w:szCs w:val="24"/>
                <w:lang w:val="en-US" w:eastAsia="zh-CN"/>
              </w:rPr>
              <w:t>676</w:t>
            </w:r>
          </w:p>
        </w:tc>
        <w:tc>
          <w:tcPr>
            <w:tcW w:w="2072"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color w:val="000000"/>
                <w:kern w:val="0"/>
                <w:sz w:val="24"/>
                <w:szCs w:val="24"/>
              </w:rPr>
            </w:pPr>
            <w:r>
              <w:rPr>
                <w:rFonts w:hint="eastAsia" w:cs="Times New Roman"/>
                <w:color w:val="000000"/>
                <w:kern w:val="0"/>
                <w:sz w:val="24"/>
                <w:szCs w:val="24"/>
                <w:lang w:val="en-US" w:eastAsia="zh-CN"/>
              </w:rPr>
              <w:t>326</w:t>
            </w:r>
          </w:p>
        </w:tc>
        <w:tc>
          <w:tcPr>
            <w:tcW w:w="218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202</w:t>
            </w:r>
            <w:r>
              <w:rPr>
                <w:rFonts w:hint="eastAsia" w:cs="Times New Roman"/>
                <w:color w:val="000000"/>
                <w:kern w:val="0"/>
                <w:sz w:val="24"/>
                <w:szCs w:val="24"/>
                <w:lang w:val="en-US" w:eastAsia="zh-CN"/>
              </w:rPr>
              <w:t>3</w:t>
            </w:r>
            <w:r>
              <w:rPr>
                <w:rFonts w:ascii="Times New Roman" w:hAnsi="Times New Roman" w:cs="Times New Roman"/>
                <w:color w:val="000000"/>
                <w:kern w:val="0"/>
                <w:sz w:val="24"/>
                <w:szCs w:val="24"/>
              </w:rPr>
              <w:t>.1.1</w:t>
            </w:r>
          </w:p>
        </w:tc>
      </w:tr>
      <w:tr>
        <w:tblPrEx>
          <w:tblCellMar>
            <w:top w:w="0" w:type="dxa"/>
            <w:left w:w="108" w:type="dxa"/>
            <w:bottom w:w="0" w:type="dxa"/>
            <w:right w:w="108" w:type="dxa"/>
          </w:tblCellMar>
        </w:tblPrEx>
        <w:trPr>
          <w:trHeight w:val="566" w:hRule="atLeast"/>
        </w:trPr>
        <w:tc>
          <w:tcPr>
            <w:tcW w:w="1897" w:type="dxa"/>
            <w:tcBorders>
              <w:top w:val="nil"/>
              <w:left w:val="single" w:color="auto" w:sz="4" w:space="0"/>
              <w:bottom w:val="single" w:color="auto" w:sz="4" w:space="0"/>
              <w:right w:val="single" w:color="auto" w:sz="4" w:space="0"/>
            </w:tcBorders>
            <w:noWrap w:val="0"/>
            <w:vAlign w:val="center"/>
          </w:tcPr>
          <w:p>
            <w:pPr>
              <w:widowControl/>
              <w:spacing w:line="260" w:lineRule="exact"/>
              <w:jc w:val="center"/>
              <w:rPr>
                <w:rFonts w:ascii="宋体" w:cs="Times New Roman"/>
                <w:color w:val="000000"/>
                <w:kern w:val="0"/>
                <w:sz w:val="24"/>
                <w:szCs w:val="24"/>
              </w:rPr>
            </w:pPr>
            <w:r>
              <w:rPr>
                <w:rFonts w:hint="eastAsia" w:ascii="宋体" w:hAnsi="宋体" w:cs="宋体"/>
                <w:color w:val="000000"/>
                <w:kern w:val="0"/>
                <w:sz w:val="24"/>
                <w:szCs w:val="24"/>
              </w:rPr>
              <w:t>开发区</w:t>
            </w:r>
          </w:p>
        </w:tc>
        <w:tc>
          <w:tcPr>
            <w:tcW w:w="225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color w:val="000000"/>
                <w:kern w:val="0"/>
                <w:sz w:val="24"/>
                <w:szCs w:val="24"/>
              </w:rPr>
            </w:pPr>
            <w:r>
              <w:rPr>
                <w:rFonts w:hint="eastAsia" w:cs="Times New Roman"/>
                <w:color w:val="000000"/>
                <w:kern w:val="0"/>
                <w:sz w:val="24"/>
                <w:szCs w:val="24"/>
                <w:lang w:val="en-US" w:eastAsia="zh-CN"/>
              </w:rPr>
              <w:t>857</w:t>
            </w:r>
          </w:p>
        </w:tc>
        <w:tc>
          <w:tcPr>
            <w:tcW w:w="2105"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color w:val="000000"/>
                <w:kern w:val="0"/>
                <w:sz w:val="24"/>
                <w:szCs w:val="24"/>
              </w:rPr>
            </w:pPr>
            <w:r>
              <w:rPr>
                <w:rFonts w:hint="eastAsia" w:cs="Times New Roman"/>
                <w:color w:val="000000"/>
                <w:kern w:val="0"/>
                <w:sz w:val="24"/>
                <w:szCs w:val="24"/>
                <w:lang w:val="en-US" w:eastAsia="zh-CN"/>
              </w:rPr>
              <w:t>600</w:t>
            </w:r>
          </w:p>
        </w:tc>
        <w:tc>
          <w:tcPr>
            <w:tcW w:w="22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color w:val="000000"/>
                <w:kern w:val="0"/>
                <w:sz w:val="24"/>
                <w:szCs w:val="24"/>
              </w:rPr>
            </w:pPr>
            <w:r>
              <w:rPr>
                <w:rFonts w:hint="eastAsia" w:cs="Times New Roman"/>
                <w:color w:val="000000"/>
                <w:kern w:val="0"/>
                <w:sz w:val="24"/>
                <w:szCs w:val="24"/>
                <w:lang w:val="en-US" w:eastAsia="zh-CN"/>
              </w:rPr>
              <w:t>676</w:t>
            </w:r>
          </w:p>
        </w:tc>
        <w:tc>
          <w:tcPr>
            <w:tcW w:w="2072"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color w:val="000000"/>
                <w:kern w:val="0"/>
                <w:sz w:val="24"/>
                <w:szCs w:val="24"/>
              </w:rPr>
            </w:pPr>
            <w:r>
              <w:rPr>
                <w:rFonts w:hint="eastAsia" w:cs="Times New Roman"/>
                <w:color w:val="000000"/>
                <w:kern w:val="0"/>
                <w:sz w:val="24"/>
                <w:szCs w:val="24"/>
                <w:lang w:val="en-US" w:eastAsia="zh-CN"/>
              </w:rPr>
              <w:t>326</w:t>
            </w:r>
          </w:p>
        </w:tc>
        <w:tc>
          <w:tcPr>
            <w:tcW w:w="218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202</w:t>
            </w:r>
            <w:r>
              <w:rPr>
                <w:rFonts w:hint="eastAsia" w:cs="Times New Roman"/>
                <w:color w:val="000000"/>
                <w:kern w:val="0"/>
                <w:sz w:val="24"/>
                <w:szCs w:val="24"/>
                <w:lang w:val="en-US" w:eastAsia="zh-CN"/>
              </w:rPr>
              <w:t>3</w:t>
            </w:r>
            <w:r>
              <w:rPr>
                <w:rFonts w:ascii="Times New Roman" w:hAnsi="Times New Roman" w:cs="Times New Roman"/>
                <w:color w:val="000000"/>
                <w:kern w:val="0"/>
                <w:sz w:val="24"/>
                <w:szCs w:val="24"/>
              </w:rPr>
              <w:t>.1.1</w:t>
            </w:r>
          </w:p>
        </w:tc>
      </w:tr>
    </w:tbl>
    <w:p>
      <w:pPr>
        <w:keepNext w:val="0"/>
        <w:keepLines w:val="0"/>
        <w:pageBreakBefore w:val="0"/>
        <w:widowControl w:val="0"/>
        <w:tabs>
          <w:tab w:val="left" w:pos="7020"/>
          <w:tab w:val="left" w:pos="7200"/>
        </w:tabs>
        <w:kinsoku/>
        <w:wordWrap/>
        <w:overflowPunct/>
        <w:topLinePunct w:val="0"/>
        <w:autoSpaceDE/>
        <w:autoSpaceDN/>
        <w:bidi w:val="0"/>
        <w:adjustRightInd/>
        <w:snapToGrid/>
        <w:spacing w:line="400" w:lineRule="exact"/>
        <w:ind w:firstLine="480" w:firstLineChars="200"/>
        <w:jc w:val="left"/>
        <w:textAlignment w:val="auto"/>
        <w:rPr>
          <w:rFonts w:hint="eastAsia" w:ascii="CESI仿宋-GB2312" w:hAnsi="CESI仿宋-GB2312" w:eastAsia="CESI仿宋-GB2312" w:cs="CESI仿宋-GB2312"/>
          <w:sz w:val="24"/>
          <w:lang w:val="en-US" w:eastAsia="zh-CN"/>
        </w:rPr>
      </w:pPr>
      <w:r>
        <w:rPr>
          <w:rFonts w:hint="eastAsia" w:ascii="宋体" w:hAnsi="宋体" w:eastAsia="宋体" w:cs="宋体"/>
          <w:sz w:val="24"/>
        </w:rPr>
        <w:t>说明：</w:t>
      </w:r>
      <w:r>
        <w:rPr>
          <w:rFonts w:hint="eastAsia" w:ascii="CESI仿宋-GB2312" w:hAnsi="CESI仿宋-GB2312" w:eastAsia="CESI仿宋-GB2312" w:cs="CESI仿宋-GB2312"/>
          <w:sz w:val="24"/>
          <w:lang w:val="en-US" w:eastAsia="zh-CN"/>
        </w:rPr>
        <w:t>1.城乡低保补差水平是指县（市、区）当月城乡低保资金支出（含分类施保）金额除以当月城乡低保对象人数得出</w:t>
      </w:r>
    </w:p>
    <w:p>
      <w:pPr>
        <w:keepNext w:val="0"/>
        <w:keepLines w:val="0"/>
        <w:pageBreakBefore w:val="0"/>
        <w:widowControl w:val="0"/>
        <w:tabs>
          <w:tab w:val="left" w:pos="7020"/>
          <w:tab w:val="left" w:pos="7200"/>
        </w:tabs>
        <w:kinsoku/>
        <w:wordWrap/>
        <w:overflowPunct/>
        <w:topLinePunct w:val="0"/>
        <w:autoSpaceDE/>
        <w:autoSpaceDN/>
        <w:bidi w:val="0"/>
        <w:adjustRightInd/>
        <w:snapToGrid/>
        <w:spacing w:line="400" w:lineRule="exact"/>
        <w:ind w:firstLine="1440" w:firstLineChars="600"/>
        <w:jc w:val="left"/>
        <w:textAlignment w:val="auto"/>
        <w:rPr>
          <w:rFonts w:hint="eastAsia" w:ascii="CESI仿宋-GB2312" w:hAnsi="CESI仿宋-GB2312" w:eastAsia="CESI仿宋-GB2312" w:cs="CESI仿宋-GB2312"/>
          <w:sz w:val="24"/>
          <w:lang w:val="en-US" w:eastAsia="zh-CN"/>
        </w:rPr>
      </w:pPr>
      <w:r>
        <w:rPr>
          <w:rFonts w:hint="eastAsia" w:ascii="CESI仿宋-GB2312" w:hAnsi="CESI仿宋-GB2312" w:eastAsia="CESI仿宋-GB2312" w:cs="CESI仿宋-GB2312"/>
          <w:sz w:val="24"/>
          <w:lang w:val="en-US" w:eastAsia="zh-CN"/>
        </w:rPr>
        <w:t>的月人均补差水平。</w:t>
      </w:r>
    </w:p>
    <w:p>
      <w:pPr>
        <w:keepNext w:val="0"/>
        <w:keepLines w:val="0"/>
        <w:pageBreakBefore w:val="0"/>
        <w:widowControl w:val="0"/>
        <w:tabs>
          <w:tab w:val="left" w:pos="7020"/>
          <w:tab w:val="left" w:pos="7200"/>
        </w:tabs>
        <w:kinsoku/>
        <w:wordWrap/>
        <w:overflowPunct/>
        <w:topLinePunct w:val="0"/>
        <w:autoSpaceDE/>
        <w:autoSpaceDN/>
        <w:bidi w:val="0"/>
        <w:adjustRightInd/>
        <w:snapToGrid/>
        <w:spacing w:line="400" w:lineRule="exact"/>
        <w:ind w:firstLine="1200" w:firstLineChars="500"/>
        <w:jc w:val="left"/>
        <w:textAlignment w:val="auto"/>
        <w:rPr>
          <w:rFonts w:hint="eastAsia" w:ascii="CESI仿宋-GB2312" w:hAnsi="CESI仿宋-GB2312" w:eastAsia="CESI仿宋-GB2312" w:cs="CESI仿宋-GB2312"/>
          <w:sz w:val="24"/>
          <w:lang w:eastAsia="zh-CN"/>
        </w:rPr>
      </w:pPr>
      <w:r>
        <w:rPr>
          <w:rFonts w:hint="eastAsia" w:ascii="CESI仿宋-GB2312" w:hAnsi="CESI仿宋-GB2312" w:eastAsia="CESI仿宋-GB2312" w:cs="CESI仿宋-GB2312"/>
          <w:sz w:val="24"/>
          <w:lang w:val="en-US" w:eastAsia="zh-CN"/>
        </w:rPr>
        <w:t>2.</w:t>
      </w:r>
      <w:r>
        <w:rPr>
          <w:rFonts w:hint="eastAsia" w:ascii="CESI仿宋-GB2312" w:hAnsi="CESI仿宋-GB2312" w:eastAsia="CESI仿宋-GB2312" w:cs="CESI仿宋-GB2312"/>
          <w:sz w:val="24"/>
          <w:lang w:eastAsia="zh-CN"/>
        </w:rPr>
        <w:t>202</w:t>
      </w:r>
      <w:r>
        <w:rPr>
          <w:rFonts w:hint="eastAsia" w:ascii="CESI仿宋-GB2312" w:hAnsi="CESI仿宋-GB2312" w:eastAsia="CESI仿宋-GB2312" w:cs="CESI仿宋-GB2312"/>
          <w:sz w:val="24"/>
          <w:lang w:val="en-US" w:eastAsia="zh-CN"/>
        </w:rPr>
        <w:t>2</w:t>
      </w:r>
      <w:r>
        <w:rPr>
          <w:rFonts w:hint="eastAsia" w:ascii="CESI仿宋-GB2312" w:hAnsi="CESI仿宋-GB2312" w:eastAsia="CESI仿宋-GB2312" w:cs="CESI仿宋-GB2312"/>
          <w:sz w:val="24"/>
        </w:rPr>
        <w:t>年</w:t>
      </w:r>
      <w:r>
        <w:rPr>
          <w:rFonts w:hint="eastAsia" w:ascii="CESI仿宋-GB2312" w:hAnsi="CESI仿宋-GB2312" w:eastAsia="CESI仿宋-GB2312" w:cs="CESI仿宋-GB2312"/>
          <w:sz w:val="24"/>
          <w:lang w:eastAsia="zh-CN"/>
        </w:rPr>
        <w:t>我市</w:t>
      </w:r>
      <w:r>
        <w:rPr>
          <w:rFonts w:hint="eastAsia" w:ascii="CESI仿宋-GB2312" w:hAnsi="CESI仿宋-GB2312" w:eastAsia="CESI仿宋-GB2312" w:cs="CESI仿宋-GB2312"/>
          <w:sz w:val="24"/>
        </w:rPr>
        <w:t>农村低保</w:t>
      </w:r>
      <w:r>
        <w:rPr>
          <w:rFonts w:hint="eastAsia" w:ascii="CESI仿宋-GB2312" w:hAnsi="CESI仿宋-GB2312" w:eastAsia="CESI仿宋-GB2312" w:cs="CESI仿宋-GB2312"/>
          <w:sz w:val="24"/>
          <w:lang w:eastAsia="zh-CN"/>
        </w:rPr>
        <w:t>补差水平为</w:t>
      </w:r>
      <w:r>
        <w:rPr>
          <w:rFonts w:hint="eastAsia" w:ascii="CESI仿宋-GB2312" w:hAnsi="CESI仿宋-GB2312" w:eastAsia="CESI仿宋-GB2312" w:cs="CESI仿宋-GB2312"/>
          <w:sz w:val="24"/>
          <w:lang w:val="en-US" w:eastAsia="zh-CN"/>
        </w:rPr>
        <w:t>315元/人月</w:t>
      </w:r>
      <w:r>
        <w:rPr>
          <w:rFonts w:hint="eastAsia" w:ascii="CESI仿宋-GB2312" w:hAnsi="CESI仿宋-GB2312" w:eastAsia="CESI仿宋-GB2312" w:cs="CESI仿宋-GB2312"/>
          <w:color w:val="000000"/>
          <w:kern w:val="0"/>
          <w:sz w:val="24"/>
        </w:rPr>
        <w:t>，</w:t>
      </w:r>
      <w:r>
        <w:rPr>
          <w:rFonts w:hint="eastAsia" w:ascii="CESI仿宋-GB2312" w:hAnsi="CESI仿宋-GB2312" w:eastAsia="CESI仿宋-GB2312" w:cs="CESI仿宋-GB2312"/>
          <w:sz w:val="24"/>
          <w:lang w:val="en-US" w:eastAsia="zh-CN"/>
        </w:rPr>
        <w:t>2023年</w:t>
      </w:r>
      <w:r>
        <w:rPr>
          <w:rFonts w:hint="eastAsia" w:ascii="CESI仿宋-GB2312" w:hAnsi="CESI仿宋-GB2312" w:eastAsia="CESI仿宋-GB2312" w:cs="CESI仿宋-GB2312"/>
          <w:color w:val="000000"/>
          <w:kern w:val="0"/>
          <w:sz w:val="24"/>
        </w:rPr>
        <w:t>新标准</w:t>
      </w:r>
      <w:r>
        <w:rPr>
          <w:rFonts w:hint="eastAsia" w:ascii="CESI仿宋-GB2312" w:hAnsi="CESI仿宋-GB2312" w:eastAsia="CESI仿宋-GB2312" w:cs="CESI仿宋-GB2312"/>
          <w:sz w:val="24"/>
        </w:rPr>
        <w:t>按不低于</w:t>
      </w:r>
      <w:r>
        <w:rPr>
          <w:rFonts w:hint="eastAsia" w:ascii="CESI仿宋-GB2312" w:hAnsi="CESI仿宋-GB2312" w:eastAsia="CESI仿宋-GB2312" w:cs="CESI仿宋-GB2312"/>
          <w:sz w:val="24"/>
          <w:lang w:val="en-US" w:eastAsia="zh-CN"/>
        </w:rPr>
        <w:t>3.5%的增幅提高，2023年</w:t>
      </w:r>
      <w:r>
        <w:rPr>
          <w:rFonts w:hint="eastAsia" w:ascii="CESI仿宋-GB2312" w:hAnsi="CESI仿宋-GB2312" w:eastAsia="CESI仿宋-GB2312" w:cs="CESI仿宋-GB2312"/>
          <w:sz w:val="24"/>
          <w:lang w:eastAsia="zh-CN"/>
        </w:rPr>
        <w:t>我市</w:t>
      </w:r>
      <w:r>
        <w:rPr>
          <w:rFonts w:hint="eastAsia" w:ascii="CESI仿宋-GB2312" w:hAnsi="CESI仿宋-GB2312" w:eastAsia="CESI仿宋-GB2312" w:cs="CESI仿宋-GB2312"/>
          <w:sz w:val="24"/>
        </w:rPr>
        <w:t>农村低保</w:t>
      </w:r>
      <w:r>
        <w:rPr>
          <w:rFonts w:hint="eastAsia" w:ascii="CESI仿宋-GB2312" w:hAnsi="CESI仿宋-GB2312" w:eastAsia="CESI仿宋-GB2312" w:cs="CESI仿宋-GB2312"/>
          <w:sz w:val="24"/>
          <w:lang w:eastAsia="zh-CN"/>
        </w:rPr>
        <w:t>补差</w:t>
      </w:r>
    </w:p>
    <w:p>
      <w:pPr>
        <w:keepNext w:val="0"/>
        <w:keepLines w:val="0"/>
        <w:pageBreakBefore w:val="0"/>
        <w:widowControl w:val="0"/>
        <w:tabs>
          <w:tab w:val="left" w:pos="7020"/>
          <w:tab w:val="left" w:pos="7200"/>
        </w:tabs>
        <w:kinsoku/>
        <w:wordWrap/>
        <w:overflowPunct/>
        <w:topLinePunct w:val="0"/>
        <w:autoSpaceDE/>
        <w:autoSpaceDN/>
        <w:bidi w:val="0"/>
        <w:adjustRightInd/>
        <w:snapToGrid/>
        <w:spacing w:line="400" w:lineRule="exact"/>
        <w:ind w:firstLine="1440" w:firstLineChars="600"/>
        <w:jc w:val="left"/>
        <w:textAlignment w:val="auto"/>
        <w:rPr>
          <w:rFonts w:hint="eastAsia" w:ascii="CESI仿宋-GB2312" w:hAnsi="CESI仿宋-GB2312" w:eastAsia="CESI仿宋-GB2312" w:cs="CESI仿宋-GB2312"/>
          <w:sz w:val="28"/>
          <w:szCs w:val="28"/>
        </w:rPr>
      </w:pPr>
      <w:r>
        <w:rPr>
          <w:rFonts w:hint="eastAsia" w:ascii="CESI仿宋-GB2312" w:hAnsi="CESI仿宋-GB2312" w:eastAsia="CESI仿宋-GB2312" w:cs="CESI仿宋-GB2312"/>
          <w:sz w:val="24"/>
          <w:lang w:eastAsia="zh-CN"/>
        </w:rPr>
        <w:t>水平相应</w:t>
      </w:r>
      <w:r>
        <w:rPr>
          <w:rFonts w:hint="eastAsia" w:ascii="CESI仿宋-GB2312" w:hAnsi="CESI仿宋-GB2312" w:eastAsia="CESI仿宋-GB2312" w:cs="CESI仿宋-GB2312"/>
          <w:sz w:val="24"/>
        </w:rPr>
        <w:t>提高到</w:t>
      </w:r>
      <w:r>
        <w:rPr>
          <w:rFonts w:hint="eastAsia" w:ascii="CESI仿宋-GB2312" w:hAnsi="CESI仿宋-GB2312" w:eastAsia="CESI仿宋-GB2312" w:cs="CESI仿宋-GB2312"/>
          <w:sz w:val="24"/>
          <w:lang w:val="en-US" w:eastAsia="zh-CN"/>
        </w:rPr>
        <w:t>326元/人月，此事项已列入2023年湛江市十件民生实事工作任务</w:t>
      </w:r>
      <w:r>
        <w:rPr>
          <w:rFonts w:hint="eastAsia" w:ascii="CESI仿宋-GB2312" w:hAnsi="CESI仿宋-GB2312" w:eastAsia="CESI仿宋-GB2312" w:cs="CESI仿宋-GB2312"/>
          <w:sz w:val="24"/>
        </w:rPr>
        <w:t>。</w:t>
      </w:r>
    </w:p>
    <w:p>
      <w:pPr>
        <w:tabs>
          <w:tab w:val="left" w:pos="7020"/>
          <w:tab w:val="left" w:pos="7200"/>
        </w:tabs>
        <w:spacing w:line="440" w:lineRule="exact"/>
        <w:jc w:val="left"/>
        <w:rPr>
          <w:rFonts w:hint="eastAsia" w:ascii="黑体" w:hAnsi="黑体" w:eastAsia="黑体" w:cs="黑体"/>
          <w:sz w:val="32"/>
          <w:szCs w:val="32"/>
        </w:rPr>
      </w:pPr>
    </w:p>
    <w:p>
      <w:pPr>
        <w:tabs>
          <w:tab w:val="left" w:pos="7020"/>
          <w:tab w:val="left" w:pos="7200"/>
        </w:tabs>
        <w:spacing w:line="440" w:lineRule="exact"/>
        <w:jc w:val="left"/>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w:t>
      </w:r>
    </w:p>
    <w:p>
      <w:pPr>
        <w:tabs>
          <w:tab w:val="left" w:pos="7020"/>
          <w:tab w:val="left" w:pos="7200"/>
        </w:tabs>
        <w:snapToGrid w:val="0"/>
        <w:spacing w:line="500" w:lineRule="exact"/>
        <w:jc w:val="center"/>
        <w:rPr>
          <w:rFonts w:ascii="方正小标宋简体" w:hAnsi="仿宋_GB2312" w:eastAsia="方正小标宋简体" w:cs="Times New Roman"/>
          <w:sz w:val="44"/>
          <w:szCs w:val="44"/>
        </w:rPr>
      </w:pPr>
      <w:r>
        <w:rPr>
          <w:rFonts w:hint="eastAsia" w:ascii="方正小标宋简体" w:hAnsi="仿宋_GB2312" w:eastAsia="方正小标宋简体" w:cs="方正小标宋简体"/>
          <w:sz w:val="44"/>
          <w:szCs w:val="44"/>
        </w:rPr>
        <w:t>湛江市</w:t>
      </w:r>
      <w:r>
        <w:rPr>
          <w:rFonts w:hint="eastAsia" w:ascii="方正小标宋简体" w:hAnsi="仿宋_GB2312" w:eastAsia="方正小标宋简体" w:cs="方正小标宋简体"/>
          <w:sz w:val="44"/>
          <w:szCs w:val="44"/>
          <w:lang w:eastAsia="zh-CN"/>
        </w:rPr>
        <w:t>2023</w:t>
      </w:r>
      <w:r>
        <w:rPr>
          <w:rFonts w:hint="eastAsia" w:ascii="方正小标宋简体" w:hAnsi="仿宋_GB2312" w:eastAsia="方正小标宋简体" w:cs="方正小标宋简体"/>
          <w:sz w:val="44"/>
          <w:szCs w:val="44"/>
        </w:rPr>
        <w:t>年特困人员基本生活供养标准表</w:t>
      </w:r>
    </w:p>
    <w:tbl>
      <w:tblPr>
        <w:tblStyle w:val="6"/>
        <w:tblpPr w:leftFromText="180" w:rightFromText="180" w:vertAnchor="text" w:horzAnchor="page" w:tblpX="1981" w:tblpY="294"/>
        <w:tblOverlap w:val="never"/>
        <w:tblW w:w="13234" w:type="dxa"/>
        <w:tblInd w:w="0" w:type="dxa"/>
        <w:tblLayout w:type="fixed"/>
        <w:tblCellMar>
          <w:top w:w="0" w:type="dxa"/>
          <w:left w:w="108" w:type="dxa"/>
          <w:bottom w:w="0" w:type="dxa"/>
          <w:right w:w="108" w:type="dxa"/>
        </w:tblCellMar>
      </w:tblPr>
      <w:tblGrid>
        <w:gridCol w:w="1718"/>
        <w:gridCol w:w="2021"/>
        <w:gridCol w:w="1788"/>
        <w:gridCol w:w="2088"/>
        <w:gridCol w:w="2350"/>
        <w:gridCol w:w="3269"/>
      </w:tblGrid>
      <w:tr>
        <w:tblPrEx>
          <w:tblCellMar>
            <w:top w:w="0" w:type="dxa"/>
            <w:left w:w="108" w:type="dxa"/>
            <w:bottom w:w="0" w:type="dxa"/>
            <w:right w:w="108" w:type="dxa"/>
          </w:tblCellMar>
        </w:tblPrEx>
        <w:trPr>
          <w:cantSplit/>
          <w:trHeight w:val="510" w:hRule="atLeast"/>
        </w:trPr>
        <w:tc>
          <w:tcPr>
            <w:tcW w:w="1718"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ascii="宋体" w:cs="Times New Roman"/>
                <w:color w:val="000000"/>
                <w:kern w:val="0"/>
                <w:sz w:val="24"/>
              </w:rPr>
            </w:pPr>
            <w:r>
              <w:rPr>
                <w:rFonts w:hint="eastAsia" w:ascii="宋体" w:hAnsi="宋体" w:cs="宋体"/>
                <w:color w:val="000000"/>
                <w:kern w:val="0"/>
                <w:sz w:val="24"/>
              </w:rPr>
              <w:t>县（市、区）</w:t>
            </w:r>
          </w:p>
        </w:tc>
        <w:tc>
          <w:tcPr>
            <w:tcW w:w="3809"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ascii="宋体" w:cs="Times New Roman"/>
                <w:color w:val="000000"/>
                <w:kern w:val="0"/>
                <w:sz w:val="24"/>
              </w:rPr>
            </w:pPr>
            <w:r>
              <w:rPr>
                <w:rFonts w:hint="eastAsia" w:ascii="宋体" w:hAnsi="宋体" w:eastAsia="宋体" w:cs="宋体"/>
                <w:kern w:val="0"/>
                <w:sz w:val="24"/>
              </w:rPr>
              <w:t>城乡低保标准</w:t>
            </w:r>
          </w:p>
        </w:tc>
        <w:tc>
          <w:tcPr>
            <w:tcW w:w="443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ascii="宋体" w:cs="Times New Roman"/>
                <w:color w:val="000000"/>
                <w:kern w:val="0"/>
                <w:sz w:val="24"/>
              </w:rPr>
            </w:pPr>
            <w:r>
              <w:rPr>
                <w:rFonts w:hint="eastAsia" w:ascii="宋体" w:hAnsi="宋体" w:cs="宋体"/>
                <w:color w:val="000000"/>
                <w:kern w:val="0"/>
                <w:sz w:val="24"/>
              </w:rPr>
              <w:t>城乡特困人员供养标准</w:t>
            </w:r>
          </w:p>
        </w:tc>
        <w:tc>
          <w:tcPr>
            <w:tcW w:w="3269" w:type="dxa"/>
            <w:vMerge w:val="restart"/>
            <w:tcBorders>
              <w:top w:val="single" w:color="auto" w:sz="4" w:space="0"/>
              <w:left w:val="nil"/>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ascii="宋体" w:cs="Times New Roman"/>
                <w:color w:val="000000"/>
                <w:kern w:val="0"/>
                <w:sz w:val="24"/>
              </w:rPr>
            </w:pPr>
            <w:r>
              <w:rPr>
                <w:rFonts w:hint="eastAsia" w:ascii="宋体" w:hAnsi="宋体" w:cs="宋体"/>
                <w:color w:val="000000"/>
                <w:kern w:val="0"/>
                <w:sz w:val="24"/>
              </w:rPr>
              <w:t>实施时间</w:t>
            </w:r>
          </w:p>
        </w:tc>
      </w:tr>
      <w:tr>
        <w:tblPrEx>
          <w:tblCellMar>
            <w:top w:w="0" w:type="dxa"/>
            <w:left w:w="108" w:type="dxa"/>
            <w:bottom w:w="0" w:type="dxa"/>
            <w:right w:w="108" w:type="dxa"/>
          </w:tblCellMar>
        </w:tblPrEx>
        <w:trPr>
          <w:cantSplit/>
          <w:trHeight w:val="510" w:hRule="atLeast"/>
        </w:trPr>
        <w:tc>
          <w:tcPr>
            <w:tcW w:w="1718"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ascii="宋体" w:hAnsi="宋体" w:cs="宋体"/>
                <w:color w:val="000000"/>
                <w:kern w:val="0"/>
                <w:sz w:val="24"/>
              </w:rPr>
            </w:pPr>
          </w:p>
        </w:tc>
        <w:tc>
          <w:tcPr>
            <w:tcW w:w="2021"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ascii="宋体" w:hAnsi="宋体" w:eastAsia="宋体" w:cs="宋体"/>
                <w:kern w:val="0"/>
                <w:sz w:val="24"/>
              </w:rPr>
            </w:pPr>
            <w:r>
              <w:rPr>
                <w:rFonts w:hint="eastAsia" w:ascii="宋体" w:hAnsi="宋体" w:eastAsia="宋体" w:cs="宋体"/>
                <w:kern w:val="0"/>
                <w:sz w:val="24"/>
              </w:rPr>
              <w:t>城镇（元/</w:t>
            </w:r>
            <w:r>
              <w:rPr>
                <w:rFonts w:hint="eastAsia" w:ascii="宋体" w:hAnsi="宋体" w:cs="宋体"/>
                <w:color w:val="000000"/>
                <w:kern w:val="0"/>
                <w:sz w:val="24"/>
              </w:rPr>
              <w:t>人月</w:t>
            </w:r>
            <w:r>
              <w:rPr>
                <w:rFonts w:hint="eastAsia" w:ascii="宋体" w:hAnsi="宋体" w:eastAsia="宋体" w:cs="宋体"/>
                <w:kern w:val="0"/>
                <w:sz w:val="24"/>
              </w:rPr>
              <w:t>）</w:t>
            </w:r>
          </w:p>
        </w:tc>
        <w:tc>
          <w:tcPr>
            <w:tcW w:w="17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ascii="宋体" w:hAnsi="宋体" w:eastAsia="宋体" w:cs="宋体"/>
                <w:kern w:val="0"/>
                <w:sz w:val="24"/>
              </w:rPr>
            </w:pPr>
            <w:r>
              <w:rPr>
                <w:rFonts w:hint="eastAsia" w:ascii="宋体" w:hAnsi="宋体" w:eastAsia="宋体" w:cs="宋体"/>
                <w:kern w:val="0"/>
                <w:sz w:val="24"/>
              </w:rPr>
              <w:t>农村（元/</w:t>
            </w:r>
            <w:r>
              <w:rPr>
                <w:rFonts w:hint="eastAsia" w:ascii="宋体" w:hAnsi="宋体" w:cs="宋体"/>
                <w:color w:val="000000"/>
                <w:kern w:val="0"/>
                <w:sz w:val="24"/>
              </w:rPr>
              <w:t>人月</w:t>
            </w:r>
            <w:r>
              <w:rPr>
                <w:rFonts w:hint="eastAsia" w:ascii="宋体" w:hAnsi="宋体" w:eastAsia="宋体" w:cs="宋体"/>
                <w:kern w:val="0"/>
                <w:sz w:val="24"/>
              </w:rPr>
              <w:t>）</w:t>
            </w:r>
          </w:p>
        </w:tc>
        <w:tc>
          <w:tcPr>
            <w:tcW w:w="208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ascii="宋体" w:hAnsi="宋体" w:eastAsia="宋体" w:cs="宋体"/>
                <w:kern w:val="0"/>
                <w:sz w:val="24"/>
              </w:rPr>
            </w:pPr>
            <w:r>
              <w:rPr>
                <w:rFonts w:hint="eastAsia" w:ascii="宋体" w:hAnsi="宋体" w:eastAsia="宋体" w:cs="宋体"/>
                <w:kern w:val="0"/>
                <w:sz w:val="24"/>
              </w:rPr>
              <w:t>城镇（元/</w:t>
            </w:r>
            <w:r>
              <w:rPr>
                <w:rFonts w:hint="eastAsia" w:ascii="宋体" w:hAnsi="宋体" w:cs="宋体"/>
                <w:color w:val="000000"/>
                <w:kern w:val="0"/>
                <w:sz w:val="24"/>
              </w:rPr>
              <w:t>人月</w:t>
            </w:r>
            <w:r>
              <w:rPr>
                <w:rFonts w:hint="eastAsia" w:ascii="宋体" w:hAnsi="宋体" w:eastAsia="宋体" w:cs="宋体"/>
                <w:kern w:val="0"/>
                <w:sz w:val="24"/>
              </w:rPr>
              <w:t>）</w:t>
            </w:r>
          </w:p>
        </w:tc>
        <w:tc>
          <w:tcPr>
            <w:tcW w:w="2350"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ascii="宋体" w:hAnsi="宋体" w:eastAsia="宋体" w:cs="宋体"/>
                <w:kern w:val="0"/>
                <w:sz w:val="24"/>
              </w:rPr>
            </w:pPr>
            <w:r>
              <w:rPr>
                <w:rFonts w:hint="eastAsia" w:ascii="宋体" w:hAnsi="宋体" w:eastAsia="宋体" w:cs="宋体"/>
                <w:kern w:val="0"/>
                <w:sz w:val="24"/>
              </w:rPr>
              <w:t>农村（元/</w:t>
            </w:r>
            <w:r>
              <w:rPr>
                <w:rFonts w:hint="eastAsia" w:ascii="宋体" w:hAnsi="宋体" w:cs="宋体"/>
                <w:color w:val="000000"/>
                <w:kern w:val="0"/>
                <w:sz w:val="24"/>
              </w:rPr>
              <w:t>人月</w:t>
            </w:r>
            <w:r>
              <w:rPr>
                <w:rFonts w:hint="eastAsia" w:ascii="宋体" w:hAnsi="宋体" w:eastAsia="宋体" w:cs="宋体"/>
                <w:kern w:val="0"/>
                <w:sz w:val="24"/>
              </w:rPr>
              <w:t>）</w:t>
            </w:r>
          </w:p>
        </w:tc>
        <w:tc>
          <w:tcPr>
            <w:tcW w:w="3269" w:type="dxa"/>
            <w:vMerge w:val="continue"/>
            <w:tcBorders>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ascii="宋体" w:hAnsi="宋体" w:cs="宋体"/>
                <w:color w:val="000000"/>
                <w:kern w:val="0"/>
                <w:sz w:val="24"/>
              </w:rPr>
            </w:pPr>
          </w:p>
        </w:tc>
      </w:tr>
      <w:tr>
        <w:tblPrEx>
          <w:tblCellMar>
            <w:top w:w="0" w:type="dxa"/>
            <w:left w:w="108" w:type="dxa"/>
            <w:bottom w:w="0" w:type="dxa"/>
            <w:right w:w="108" w:type="dxa"/>
          </w:tblCellMar>
        </w:tblPrEx>
        <w:trPr>
          <w:cantSplit/>
          <w:trHeight w:val="510" w:hRule="atLeast"/>
        </w:trPr>
        <w:tc>
          <w:tcPr>
            <w:tcW w:w="17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ascii="宋体" w:cs="Times New Roman"/>
                <w:color w:val="000000"/>
                <w:kern w:val="0"/>
                <w:sz w:val="24"/>
              </w:rPr>
            </w:pPr>
            <w:r>
              <w:rPr>
                <w:rFonts w:hint="eastAsia" w:ascii="宋体" w:hAnsi="宋体" w:cs="宋体"/>
                <w:color w:val="000000"/>
                <w:kern w:val="0"/>
                <w:sz w:val="24"/>
              </w:rPr>
              <w:t>廉江市</w:t>
            </w:r>
          </w:p>
        </w:tc>
        <w:tc>
          <w:tcPr>
            <w:tcW w:w="202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b/>
                <w:bCs/>
                <w:color w:val="0000FF"/>
                <w:kern w:val="0"/>
                <w:sz w:val="24"/>
              </w:rPr>
            </w:pPr>
            <w:r>
              <w:rPr>
                <w:rFonts w:hint="eastAsia" w:cs="Times New Roman"/>
                <w:color w:val="000000"/>
                <w:kern w:val="0"/>
                <w:sz w:val="24"/>
                <w:szCs w:val="24"/>
                <w:lang w:val="en-US" w:eastAsia="zh-CN"/>
              </w:rPr>
              <w:t>857</w:t>
            </w:r>
          </w:p>
        </w:tc>
        <w:tc>
          <w:tcPr>
            <w:tcW w:w="178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b/>
                <w:bCs/>
                <w:color w:val="auto"/>
                <w:kern w:val="0"/>
                <w:sz w:val="24"/>
              </w:rPr>
            </w:pPr>
            <w:r>
              <w:rPr>
                <w:rFonts w:hint="eastAsia" w:cs="Times New Roman"/>
                <w:color w:val="000000"/>
                <w:kern w:val="0"/>
                <w:sz w:val="24"/>
                <w:szCs w:val="24"/>
                <w:lang w:val="en-US" w:eastAsia="zh-CN"/>
              </w:rPr>
              <w:t>600</w:t>
            </w:r>
          </w:p>
        </w:tc>
        <w:tc>
          <w:tcPr>
            <w:tcW w:w="208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宋体" w:cs="Times New Roman"/>
                <w:b w:val="0"/>
                <w:bCs w:val="0"/>
                <w:color w:val="auto"/>
                <w:sz w:val="24"/>
                <w:lang w:val="en-US" w:eastAsia="zh-CN"/>
              </w:rPr>
            </w:pPr>
            <w:r>
              <w:rPr>
                <w:rFonts w:hint="eastAsia" w:ascii="Times New Roman" w:hAnsi="Times New Roman" w:cs="Times New Roman"/>
                <w:b w:val="0"/>
                <w:bCs w:val="0"/>
                <w:color w:val="auto"/>
                <w:sz w:val="24"/>
                <w:lang w:val="en-US" w:eastAsia="zh-CN"/>
              </w:rPr>
              <w:t>13</w:t>
            </w:r>
            <w:r>
              <w:rPr>
                <w:rFonts w:hint="eastAsia" w:cs="Times New Roman"/>
                <w:b w:val="0"/>
                <w:bCs w:val="0"/>
                <w:color w:val="auto"/>
                <w:sz w:val="24"/>
                <w:lang w:val="en-US" w:eastAsia="zh-CN"/>
              </w:rPr>
              <w:t>72</w:t>
            </w:r>
          </w:p>
        </w:tc>
        <w:tc>
          <w:tcPr>
            <w:tcW w:w="235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宋体" w:cs="Times New Roman"/>
                <w:b w:val="0"/>
                <w:bCs w:val="0"/>
                <w:color w:val="auto"/>
                <w:sz w:val="24"/>
                <w:lang w:val="en-US" w:eastAsia="zh-CN"/>
              </w:rPr>
            </w:pPr>
            <w:r>
              <w:rPr>
                <w:rFonts w:hint="eastAsia" w:cs="Times New Roman"/>
                <w:b w:val="0"/>
                <w:bCs w:val="0"/>
                <w:color w:val="auto"/>
                <w:sz w:val="24"/>
                <w:lang w:val="en-US" w:eastAsia="zh-CN"/>
              </w:rPr>
              <w:t>960</w:t>
            </w:r>
          </w:p>
        </w:tc>
        <w:tc>
          <w:tcPr>
            <w:tcW w:w="32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Times New Roman" w:hAnsi="Times New Roman" w:cs="Times New Roman"/>
                <w:color w:val="000000"/>
                <w:kern w:val="0"/>
                <w:sz w:val="24"/>
              </w:rPr>
            </w:pPr>
            <w:r>
              <w:rPr>
                <w:rFonts w:ascii="Times New Roman" w:hAnsi="Times New Roman" w:cs="Times New Roman"/>
                <w:color w:val="000000"/>
                <w:kern w:val="0"/>
                <w:sz w:val="24"/>
                <w:szCs w:val="24"/>
              </w:rPr>
              <w:t>202</w:t>
            </w:r>
            <w:r>
              <w:rPr>
                <w:rFonts w:hint="eastAsia" w:cs="Times New Roman"/>
                <w:color w:val="000000"/>
                <w:kern w:val="0"/>
                <w:sz w:val="24"/>
                <w:szCs w:val="24"/>
                <w:lang w:val="en-US" w:eastAsia="zh-CN"/>
              </w:rPr>
              <w:t>3</w:t>
            </w:r>
            <w:r>
              <w:rPr>
                <w:rFonts w:ascii="Times New Roman" w:hAnsi="Times New Roman" w:cs="Times New Roman"/>
                <w:color w:val="000000"/>
                <w:kern w:val="0"/>
                <w:sz w:val="24"/>
                <w:szCs w:val="24"/>
              </w:rPr>
              <w:t>.1.1</w:t>
            </w:r>
          </w:p>
        </w:tc>
      </w:tr>
      <w:tr>
        <w:tblPrEx>
          <w:tblCellMar>
            <w:top w:w="0" w:type="dxa"/>
            <w:left w:w="108" w:type="dxa"/>
            <w:bottom w:w="0" w:type="dxa"/>
            <w:right w:w="108" w:type="dxa"/>
          </w:tblCellMar>
        </w:tblPrEx>
        <w:trPr>
          <w:cantSplit/>
          <w:trHeight w:val="510" w:hRule="atLeast"/>
        </w:trPr>
        <w:tc>
          <w:tcPr>
            <w:tcW w:w="17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ascii="宋体" w:cs="Times New Roman"/>
                <w:color w:val="000000"/>
                <w:kern w:val="0"/>
                <w:sz w:val="24"/>
              </w:rPr>
            </w:pPr>
            <w:r>
              <w:rPr>
                <w:rFonts w:hint="eastAsia" w:ascii="宋体" w:hAnsi="宋体" w:cs="宋体"/>
                <w:color w:val="000000"/>
                <w:kern w:val="0"/>
                <w:sz w:val="24"/>
              </w:rPr>
              <w:t>雷州市</w:t>
            </w:r>
          </w:p>
        </w:tc>
        <w:tc>
          <w:tcPr>
            <w:tcW w:w="202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b/>
                <w:bCs/>
                <w:color w:val="0000FF"/>
                <w:kern w:val="0"/>
                <w:sz w:val="24"/>
              </w:rPr>
            </w:pPr>
            <w:r>
              <w:rPr>
                <w:rFonts w:hint="eastAsia" w:cs="Times New Roman"/>
                <w:color w:val="000000"/>
                <w:kern w:val="0"/>
                <w:sz w:val="24"/>
                <w:szCs w:val="24"/>
                <w:lang w:val="en-US" w:eastAsia="zh-CN"/>
              </w:rPr>
              <w:t>857</w:t>
            </w:r>
          </w:p>
        </w:tc>
        <w:tc>
          <w:tcPr>
            <w:tcW w:w="178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b/>
                <w:bCs/>
                <w:color w:val="auto"/>
                <w:kern w:val="0"/>
                <w:sz w:val="24"/>
              </w:rPr>
            </w:pPr>
            <w:r>
              <w:rPr>
                <w:rFonts w:hint="eastAsia" w:cs="Times New Roman"/>
                <w:color w:val="000000"/>
                <w:kern w:val="0"/>
                <w:sz w:val="24"/>
                <w:szCs w:val="24"/>
                <w:lang w:val="en-US" w:eastAsia="zh-CN"/>
              </w:rPr>
              <w:t>600</w:t>
            </w:r>
          </w:p>
        </w:tc>
        <w:tc>
          <w:tcPr>
            <w:tcW w:w="208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宋体" w:cs="Times New Roman"/>
                <w:b w:val="0"/>
                <w:bCs w:val="0"/>
                <w:color w:val="auto"/>
                <w:sz w:val="24"/>
                <w:lang w:val="en-US" w:eastAsia="zh-CN"/>
              </w:rPr>
            </w:pPr>
            <w:r>
              <w:rPr>
                <w:rFonts w:hint="eastAsia" w:ascii="Times New Roman" w:hAnsi="Times New Roman" w:cs="Times New Roman"/>
                <w:b w:val="0"/>
                <w:bCs w:val="0"/>
                <w:color w:val="auto"/>
                <w:sz w:val="24"/>
                <w:lang w:val="en-US" w:eastAsia="zh-CN"/>
              </w:rPr>
              <w:t>13</w:t>
            </w:r>
            <w:r>
              <w:rPr>
                <w:rFonts w:hint="eastAsia" w:cs="Times New Roman"/>
                <w:b w:val="0"/>
                <w:bCs w:val="0"/>
                <w:color w:val="auto"/>
                <w:sz w:val="24"/>
                <w:lang w:val="en-US" w:eastAsia="zh-CN"/>
              </w:rPr>
              <w:t>72</w:t>
            </w:r>
          </w:p>
        </w:tc>
        <w:tc>
          <w:tcPr>
            <w:tcW w:w="235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宋体" w:cs="Times New Roman"/>
                <w:b w:val="0"/>
                <w:bCs w:val="0"/>
                <w:color w:val="auto"/>
                <w:sz w:val="24"/>
                <w:lang w:val="en-US" w:eastAsia="zh-CN"/>
              </w:rPr>
            </w:pPr>
            <w:r>
              <w:rPr>
                <w:rFonts w:hint="eastAsia" w:cs="Times New Roman"/>
                <w:b w:val="0"/>
                <w:bCs w:val="0"/>
                <w:color w:val="auto"/>
                <w:sz w:val="24"/>
                <w:lang w:val="en-US" w:eastAsia="zh-CN"/>
              </w:rPr>
              <w:t>960</w:t>
            </w:r>
          </w:p>
        </w:tc>
        <w:tc>
          <w:tcPr>
            <w:tcW w:w="32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Times New Roman" w:hAnsi="Times New Roman" w:cs="Times New Roman"/>
                <w:color w:val="000000"/>
                <w:kern w:val="0"/>
                <w:sz w:val="24"/>
              </w:rPr>
            </w:pPr>
            <w:r>
              <w:rPr>
                <w:rFonts w:ascii="Times New Roman" w:hAnsi="Times New Roman" w:cs="Times New Roman"/>
                <w:color w:val="000000"/>
                <w:kern w:val="0"/>
                <w:sz w:val="24"/>
                <w:szCs w:val="24"/>
              </w:rPr>
              <w:t>202</w:t>
            </w:r>
            <w:r>
              <w:rPr>
                <w:rFonts w:hint="eastAsia" w:cs="Times New Roman"/>
                <w:color w:val="000000"/>
                <w:kern w:val="0"/>
                <w:sz w:val="24"/>
                <w:szCs w:val="24"/>
                <w:lang w:val="en-US" w:eastAsia="zh-CN"/>
              </w:rPr>
              <w:t>3</w:t>
            </w:r>
            <w:r>
              <w:rPr>
                <w:rFonts w:ascii="Times New Roman" w:hAnsi="Times New Roman" w:cs="Times New Roman"/>
                <w:color w:val="000000"/>
                <w:kern w:val="0"/>
                <w:sz w:val="24"/>
                <w:szCs w:val="24"/>
              </w:rPr>
              <w:t>.1.1</w:t>
            </w:r>
          </w:p>
        </w:tc>
      </w:tr>
      <w:tr>
        <w:tblPrEx>
          <w:tblCellMar>
            <w:top w:w="0" w:type="dxa"/>
            <w:left w:w="108" w:type="dxa"/>
            <w:bottom w:w="0" w:type="dxa"/>
            <w:right w:w="108" w:type="dxa"/>
          </w:tblCellMar>
        </w:tblPrEx>
        <w:trPr>
          <w:cantSplit/>
          <w:trHeight w:val="510" w:hRule="atLeast"/>
        </w:trPr>
        <w:tc>
          <w:tcPr>
            <w:tcW w:w="17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ascii="宋体" w:cs="Times New Roman"/>
                <w:color w:val="000000"/>
                <w:kern w:val="0"/>
                <w:sz w:val="24"/>
              </w:rPr>
            </w:pPr>
            <w:r>
              <w:rPr>
                <w:rFonts w:hint="eastAsia" w:ascii="宋体" w:hAnsi="宋体" w:cs="宋体"/>
                <w:color w:val="000000"/>
                <w:kern w:val="0"/>
                <w:sz w:val="24"/>
              </w:rPr>
              <w:t>吴川市</w:t>
            </w:r>
          </w:p>
        </w:tc>
        <w:tc>
          <w:tcPr>
            <w:tcW w:w="202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b/>
                <w:bCs/>
                <w:color w:val="0000FF"/>
                <w:kern w:val="0"/>
                <w:sz w:val="24"/>
              </w:rPr>
            </w:pPr>
            <w:r>
              <w:rPr>
                <w:rFonts w:hint="eastAsia" w:cs="Times New Roman"/>
                <w:color w:val="000000"/>
                <w:kern w:val="0"/>
                <w:sz w:val="24"/>
                <w:szCs w:val="24"/>
                <w:lang w:val="en-US" w:eastAsia="zh-CN"/>
              </w:rPr>
              <w:t>857</w:t>
            </w:r>
          </w:p>
        </w:tc>
        <w:tc>
          <w:tcPr>
            <w:tcW w:w="178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b/>
                <w:bCs/>
                <w:color w:val="auto"/>
                <w:kern w:val="0"/>
                <w:sz w:val="24"/>
              </w:rPr>
            </w:pPr>
            <w:r>
              <w:rPr>
                <w:rFonts w:hint="eastAsia" w:cs="Times New Roman"/>
                <w:color w:val="000000"/>
                <w:kern w:val="0"/>
                <w:sz w:val="24"/>
                <w:szCs w:val="24"/>
                <w:lang w:val="en-US" w:eastAsia="zh-CN"/>
              </w:rPr>
              <w:t>600</w:t>
            </w:r>
          </w:p>
        </w:tc>
        <w:tc>
          <w:tcPr>
            <w:tcW w:w="208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cs="Times New Roman"/>
                <w:b w:val="0"/>
                <w:bCs w:val="0"/>
                <w:color w:val="auto"/>
                <w:sz w:val="24"/>
                <w:lang w:val="en-US" w:eastAsia="zh-CN"/>
              </w:rPr>
              <w:t>13</w:t>
            </w:r>
            <w:r>
              <w:rPr>
                <w:rFonts w:hint="eastAsia" w:cs="Times New Roman"/>
                <w:b w:val="0"/>
                <w:bCs w:val="0"/>
                <w:color w:val="auto"/>
                <w:sz w:val="24"/>
                <w:lang w:val="en-US" w:eastAsia="zh-CN"/>
              </w:rPr>
              <w:t>72</w:t>
            </w:r>
          </w:p>
        </w:tc>
        <w:tc>
          <w:tcPr>
            <w:tcW w:w="235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cs="Times New Roman"/>
                <w:b w:val="0"/>
                <w:bCs w:val="0"/>
                <w:color w:val="auto"/>
                <w:sz w:val="24"/>
                <w:lang w:val="en-US" w:eastAsia="zh-CN"/>
              </w:rPr>
              <w:t>960</w:t>
            </w:r>
          </w:p>
        </w:tc>
        <w:tc>
          <w:tcPr>
            <w:tcW w:w="32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Times New Roman" w:hAnsi="Times New Roman" w:cs="Times New Roman"/>
                <w:color w:val="000000"/>
                <w:kern w:val="0"/>
                <w:sz w:val="24"/>
              </w:rPr>
            </w:pPr>
            <w:r>
              <w:rPr>
                <w:rFonts w:ascii="Times New Roman" w:hAnsi="Times New Roman" w:cs="Times New Roman"/>
                <w:color w:val="000000"/>
                <w:kern w:val="0"/>
                <w:sz w:val="24"/>
                <w:szCs w:val="24"/>
              </w:rPr>
              <w:t>202</w:t>
            </w:r>
            <w:r>
              <w:rPr>
                <w:rFonts w:hint="eastAsia" w:cs="Times New Roman"/>
                <w:color w:val="000000"/>
                <w:kern w:val="0"/>
                <w:sz w:val="24"/>
                <w:szCs w:val="24"/>
                <w:lang w:val="en-US" w:eastAsia="zh-CN"/>
              </w:rPr>
              <w:t>3</w:t>
            </w:r>
            <w:r>
              <w:rPr>
                <w:rFonts w:ascii="Times New Roman" w:hAnsi="Times New Roman" w:cs="Times New Roman"/>
                <w:color w:val="000000"/>
                <w:kern w:val="0"/>
                <w:sz w:val="24"/>
                <w:szCs w:val="24"/>
              </w:rPr>
              <w:t>.1.1</w:t>
            </w:r>
          </w:p>
        </w:tc>
      </w:tr>
      <w:tr>
        <w:tblPrEx>
          <w:tblCellMar>
            <w:top w:w="0" w:type="dxa"/>
            <w:left w:w="108" w:type="dxa"/>
            <w:bottom w:w="0" w:type="dxa"/>
            <w:right w:w="108" w:type="dxa"/>
          </w:tblCellMar>
        </w:tblPrEx>
        <w:trPr>
          <w:cantSplit/>
          <w:trHeight w:val="510" w:hRule="atLeast"/>
        </w:trPr>
        <w:tc>
          <w:tcPr>
            <w:tcW w:w="17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ascii="宋体" w:cs="Times New Roman"/>
                <w:color w:val="000000"/>
                <w:kern w:val="0"/>
                <w:sz w:val="24"/>
              </w:rPr>
            </w:pPr>
            <w:r>
              <w:rPr>
                <w:rFonts w:hint="eastAsia" w:ascii="宋体" w:hAnsi="宋体" w:cs="宋体"/>
                <w:color w:val="000000"/>
                <w:kern w:val="0"/>
                <w:sz w:val="24"/>
              </w:rPr>
              <w:t>遂溪县</w:t>
            </w:r>
          </w:p>
        </w:tc>
        <w:tc>
          <w:tcPr>
            <w:tcW w:w="202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b/>
                <w:bCs/>
                <w:color w:val="0000FF"/>
                <w:kern w:val="0"/>
                <w:sz w:val="24"/>
              </w:rPr>
            </w:pPr>
            <w:r>
              <w:rPr>
                <w:rFonts w:hint="eastAsia" w:cs="Times New Roman"/>
                <w:color w:val="000000"/>
                <w:kern w:val="0"/>
                <w:sz w:val="24"/>
                <w:szCs w:val="24"/>
                <w:lang w:val="en-US" w:eastAsia="zh-CN"/>
              </w:rPr>
              <w:t>857</w:t>
            </w:r>
          </w:p>
        </w:tc>
        <w:tc>
          <w:tcPr>
            <w:tcW w:w="178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b/>
                <w:bCs/>
                <w:color w:val="auto"/>
                <w:kern w:val="0"/>
                <w:sz w:val="24"/>
              </w:rPr>
            </w:pPr>
            <w:r>
              <w:rPr>
                <w:rFonts w:hint="eastAsia" w:cs="Times New Roman"/>
                <w:color w:val="000000"/>
                <w:kern w:val="0"/>
                <w:sz w:val="24"/>
                <w:szCs w:val="24"/>
                <w:lang w:val="en-US" w:eastAsia="zh-CN"/>
              </w:rPr>
              <w:t>600</w:t>
            </w:r>
          </w:p>
        </w:tc>
        <w:tc>
          <w:tcPr>
            <w:tcW w:w="208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cs="Times New Roman"/>
                <w:b w:val="0"/>
                <w:bCs w:val="0"/>
                <w:color w:val="auto"/>
                <w:sz w:val="24"/>
                <w:lang w:val="en-US" w:eastAsia="zh-CN"/>
              </w:rPr>
              <w:t>13</w:t>
            </w:r>
            <w:r>
              <w:rPr>
                <w:rFonts w:hint="eastAsia" w:cs="Times New Roman"/>
                <w:b w:val="0"/>
                <w:bCs w:val="0"/>
                <w:color w:val="auto"/>
                <w:sz w:val="24"/>
                <w:lang w:val="en-US" w:eastAsia="zh-CN"/>
              </w:rPr>
              <w:t>72</w:t>
            </w:r>
          </w:p>
        </w:tc>
        <w:tc>
          <w:tcPr>
            <w:tcW w:w="235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cs="Times New Roman"/>
                <w:b w:val="0"/>
                <w:bCs w:val="0"/>
                <w:color w:val="auto"/>
                <w:sz w:val="24"/>
                <w:lang w:val="en-US" w:eastAsia="zh-CN"/>
              </w:rPr>
              <w:t>960</w:t>
            </w:r>
          </w:p>
        </w:tc>
        <w:tc>
          <w:tcPr>
            <w:tcW w:w="32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Times New Roman" w:hAnsi="Times New Roman" w:cs="Times New Roman"/>
                <w:color w:val="000000"/>
                <w:kern w:val="0"/>
                <w:sz w:val="24"/>
              </w:rPr>
            </w:pPr>
            <w:r>
              <w:rPr>
                <w:rFonts w:ascii="Times New Roman" w:hAnsi="Times New Roman" w:cs="Times New Roman"/>
                <w:color w:val="000000"/>
                <w:kern w:val="0"/>
                <w:sz w:val="24"/>
                <w:szCs w:val="24"/>
              </w:rPr>
              <w:t>202</w:t>
            </w:r>
            <w:r>
              <w:rPr>
                <w:rFonts w:hint="eastAsia" w:cs="Times New Roman"/>
                <w:color w:val="000000"/>
                <w:kern w:val="0"/>
                <w:sz w:val="24"/>
                <w:szCs w:val="24"/>
                <w:lang w:val="en-US" w:eastAsia="zh-CN"/>
              </w:rPr>
              <w:t>3</w:t>
            </w:r>
            <w:r>
              <w:rPr>
                <w:rFonts w:ascii="Times New Roman" w:hAnsi="Times New Roman" w:cs="Times New Roman"/>
                <w:color w:val="000000"/>
                <w:kern w:val="0"/>
                <w:sz w:val="24"/>
                <w:szCs w:val="24"/>
              </w:rPr>
              <w:t>.1.1</w:t>
            </w:r>
          </w:p>
        </w:tc>
      </w:tr>
      <w:tr>
        <w:tblPrEx>
          <w:tblCellMar>
            <w:top w:w="0" w:type="dxa"/>
            <w:left w:w="108" w:type="dxa"/>
            <w:bottom w:w="0" w:type="dxa"/>
            <w:right w:w="108" w:type="dxa"/>
          </w:tblCellMar>
        </w:tblPrEx>
        <w:trPr>
          <w:cantSplit/>
          <w:trHeight w:val="510" w:hRule="atLeast"/>
        </w:trPr>
        <w:tc>
          <w:tcPr>
            <w:tcW w:w="17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ascii="宋体" w:cs="Times New Roman"/>
                <w:color w:val="000000"/>
                <w:kern w:val="0"/>
                <w:sz w:val="24"/>
              </w:rPr>
            </w:pPr>
            <w:r>
              <w:rPr>
                <w:rFonts w:hint="eastAsia" w:ascii="宋体" w:hAnsi="宋体" w:cs="宋体"/>
                <w:color w:val="000000"/>
                <w:kern w:val="0"/>
                <w:sz w:val="24"/>
              </w:rPr>
              <w:t>徐闻县</w:t>
            </w:r>
          </w:p>
        </w:tc>
        <w:tc>
          <w:tcPr>
            <w:tcW w:w="202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b/>
                <w:bCs/>
                <w:color w:val="0000FF"/>
                <w:kern w:val="0"/>
                <w:sz w:val="24"/>
              </w:rPr>
            </w:pPr>
            <w:r>
              <w:rPr>
                <w:rFonts w:hint="eastAsia" w:cs="Times New Roman"/>
                <w:color w:val="000000"/>
                <w:kern w:val="0"/>
                <w:sz w:val="24"/>
                <w:szCs w:val="24"/>
                <w:lang w:val="en-US" w:eastAsia="zh-CN"/>
              </w:rPr>
              <w:t>857</w:t>
            </w:r>
          </w:p>
        </w:tc>
        <w:tc>
          <w:tcPr>
            <w:tcW w:w="178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b/>
                <w:bCs/>
                <w:color w:val="auto"/>
                <w:kern w:val="0"/>
                <w:sz w:val="24"/>
              </w:rPr>
            </w:pPr>
            <w:r>
              <w:rPr>
                <w:rFonts w:hint="eastAsia" w:cs="Times New Roman"/>
                <w:color w:val="000000"/>
                <w:kern w:val="0"/>
                <w:sz w:val="24"/>
                <w:szCs w:val="24"/>
                <w:lang w:val="en-US" w:eastAsia="zh-CN"/>
              </w:rPr>
              <w:t>600</w:t>
            </w:r>
          </w:p>
        </w:tc>
        <w:tc>
          <w:tcPr>
            <w:tcW w:w="208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ascii="Times New Roman" w:hAnsi="Times New Roman" w:cs="Times New Roman"/>
                <w:b w:val="0"/>
                <w:bCs w:val="0"/>
                <w:color w:val="auto"/>
                <w:sz w:val="24"/>
              </w:rPr>
            </w:pPr>
            <w:r>
              <w:rPr>
                <w:rFonts w:hint="eastAsia" w:ascii="Times New Roman" w:hAnsi="Times New Roman" w:cs="Times New Roman"/>
                <w:b w:val="0"/>
                <w:bCs w:val="0"/>
                <w:color w:val="auto"/>
                <w:sz w:val="24"/>
                <w:lang w:val="en-US" w:eastAsia="zh-CN"/>
              </w:rPr>
              <w:t>13</w:t>
            </w:r>
            <w:r>
              <w:rPr>
                <w:rFonts w:hint="eastAsia" w:cs="Times New Roman"/>
                <w:b w:val="0"/>
                <w:bCs w:val="0"/>
                <w:color w:val="auto"/>
                <w:sz w:val="24"/>
                <w:lang w:val="en-US" w:eastAsia="zh-CN"/>
              </w:rPr>
              <w:t>72</w:t>
            </w:r>
          </w:p>
        </w:tc>
        <w:tc>
          <w:tcPr>
            <w:tcW w:w="235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cs="Times New Roman"/>
                <w:b w:val="0"/>
                <w:bCs w:val="0"/>
                <w:color w:val="auto"/>
                <w:sz w:val="24"/>
                <w:lang w:val="en-US" w:eastAsia="zh-CN"/>
              </w:rPr>
              <w:t>960</w:t>
            </w:r>
          </w:p>
        </w:tc>
        <w:tc>
          <w:tcPr>
            <w:tcW w:w="32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Times New Roman" w:hAnsi="Times New Roman" w:cs="Times New Roman"/>
                <w:color w:val="000000"/>
                <w:kern w:val="0"/>
                <w:sz w:val="24"/>
              </w:rPr>
            </w:pPr>
            <w:r>
              <w:rPr>
                <w:rFonts w:ascii="Times New Roman" w:hAnsi="Times New Roman" w:cs="Times New Roman"/>
                <w:color w:val="000000"/>
                <w:kern w:val="0"/>
                <w:sz w:val="24"/>
                <w:szCs w:val="24"/>
              </w:rPr>
              <w:t>202</w:t>
            </w:r>
            <w:r>
              <w:rPr>
                <w:rFonts w:hint="eastAsia" w:cs="Times New Roman"/>
                <w:color w:val="000000"/>
                <w:kern w:val="0"/>
                <w:sz w:val="24"/>
                <w:szCs w:val="24"/>
                <w:lang w:val="en-US" w:eastAsia="zh-CN"/>
              </w:rPr>
              <w:t>3</w:t>
            </w:r>
            <w:r>
              <w:rPr>
                <w:rFonts w:ascii="Times New Roman" w:hAnsi="Times New Roman" w:cs="Times New Roman"/>
                <w:color w:val="000000"/>
                <w:kern w:val="0"/>
                <w:sz w:val="24"/>
                <w:szCs w:val="24"/>
              </w:rPr>
              <w:t>.1.1</w:t>
            </w:r>
          </w:p>
        </w:tc>
      </w:tr>
      <w:tr>
        <w:tblPrEx>
          <w:tblCellMar>
            <w:top w:w="0" w:type="dxa"/>
            <w:left w:w="108" w:type="dxa"/>
            <w:bottom w:w="0" w:type="dxa"/>
            <w:right w:w="108" w:type="dxa"/>
          </w:tblCellMar>
        </w:tblPrEx>
        <w:trPr>
          <w:cantSplit/>
          <w:trHeight w:val="510" w:hRule="atLeast"/>
        </w:trPr>
        <w:tc>
          <w:tcPr>
            <w:tcW w:w="17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ascii="宋体" w:cs="Times New Roman"/>
                <w:color w:val="000000"/>
                <w:kern w:val="0"/>
                <w:sz w:val="24"/>
              </w:rPr>
            </w:pPr>
            <w:r>
              <w:rPr>
                <w:rFonts w:hint="eastAsia" w:ascii="宋体" w:hAnsi="宋体" w:cs="宋体"/>
                <w:color w:val="000000"/>
                <w:kern w:val="0"/>
                <w:sz w:val="24"/>
              </w:rPr>
              <w:t>赤坎区</w:t>
            </w:r>
          </w:p>
        </w:tc>
        <w:tc>
          <w:tcPr>
            <w:tcW w:w="202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b/>
                <w:bCs/>
                <w:color w:val="0000FF"/>
                <w:kern w:val="0"/>
                <w:sz w:val="24"/>
              </w:rPr>
            </w:pPr>
            <w:r>
              <w:rPr>
                <w:rFonts w:hint="eastAsia" w:cs="Times New Roman"/>
                <w:color w:val="000000"/>
                <w:kern w:val="0"/>
                <w:sz w:val="24"/>
                <w:szCs w:val="24"/>
                <w:lang w:val="en-US" w:eastAsia="zh-CN"/>
              </w:rPr>
              <w:t>857</w:t>
            </w:r>
          </w:p>
        </w:tc>
        <w:tc>
          <w:tcPr>
            <w:tcW w:w="178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s="Times New Roman"/>
                <w:b/>
                <w:bCs/>
                <w:color w:val="auto"/>
                <w:kern w:val="0"/>
                <w:sz w:val="24"/>
                <w:lang w:val="en-US"/>
              </w:rPr>
            </w:pPr>
            <w:r>
              <w:rPr>
                <w:rFonts w:hint="eastAsia" w:cs="Times New Roman"/>
                <w:color w:val="000000"/>
                <w:kern w:val="0"/>
                <w:sz w:val="24"/>
                <w:szCs w:val="24"/>
                <w:lang w:val="en-US" w:eastAsia="zh-CN"/>
              </w:rPr>
              <w:t>600</w:t>
            </w:r>
          </w:p>
        </w:tc>
        <w:tc>
          <w:tcPr>
            <w:tcW w:w="208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ascii="Times New Roman" w:hAnsi="Times New Roman" w:eastAsia="宋体" w:cs="Times New Roman"/>
                <w:b w:val="0"/>
                <w:bCs w:val="0"/>
                <w:color w:val="auto"/>
                <w:sz w:val="24"/>
              </w:rPr>
            </w:pPr>
            <w:r>
              <w:rPr>
                <w:rFonts w:hint="eastAsia" w:ascii="Times New Roman" w:hAnsi="Times New Roman" w:cs="Times New Roman"/>
                <w:b w:val="0"/>
                <w:bCs w:val="0"/>
                <w:color w:val="auto"/>
                <w:sz w:val="24"/>
              </w:rPr>
              <w:t>1585</w:t>
            </w:r>
          </w:p>
        </w:tc>
        <w:tc>
          <w:tcPr>
            <w:tcW w:w="235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cs="Times New Roman"/>
                <w:b w:val="0"/>
                <w:bCs w:val="0"/>
                <w:color w:val="auto"/>
                <w:sz w:val="24"/>
                <w:lang w:val="en-US" w:eastAsia="zh-CN"/>
              </w:rPr>
              <w:t>960</w:t>
            </w:r>
          </w:p>
        </w:tc>
        <w:tc>
          <w:tcPr>
            <w:tcW w:w="32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Times New Roman" w:hAnsi="Times New Roman" w:cs="Times New Roman"/>
                <w:color w:val="000000"/>
                <w:kern w:val="0"/>
                <w:sz w:val="24"/>
              </w:rPr>
            </w:pPr>
            <w:r>
              <w:rPr>
                <w:rFonts w:ascii="Times New Roman" w:hAnsi="Times New Roman" w:cs="Times New Roman"/>
                <w:color w:val="000000"/>
                <w:kern w:val="0"/>
                <w:sz w:val="24"/>
                <w:szCs w:val="24"/>
              </w:rPr>
              <w:t>202</w:t>
            </w:r>
            <w:r>
              <w:rPr>
                <w:rFonts w:hint="eastAsia" w:cs="Times New Roman"/>
                <w:color w:val="000000"/>
                <w:kern w:val="0"/>
                <w:sz w:val="24"/>
                <w:szCs w:val="24"/>
                <w:lang w:val="en-US" w:eastAsia="zh-CN"/>
              </w:rPr>
              <w:t>3</w:t>
            </w:r>
            <w:r>
              <w:rPr>
                <w:rFonts w:ascii="Times New Roman" w:hAnsi="Times New Roman" w:cs="Times New Roman"/>
                <w:color w:val="000000"/>
                <w:kern w:val="0"/>
                <w:sz w:val="24"/>
                <w:szCs w:val="24"/>
              </w:rPr>
              <w:t>.1.1</w:t>
            </w:r>
          </w:p>
        </w:tc>
      </w:tr>
      <w:tr>
        <w:tblPrEx>
          <w:tblCellMar>
            <w:top w:w="0" w:type="dxa"/>
            <w:left w:w="108" w:type="dxa"/>
            <w:bottom w:w="0" w:type="dxa"/>
            <w:right w:w="108" w:type="dxa"/>
          </w:tblCellMar>
        </w:tblPrEx>
        <w:trPr>
          <w:cantSplit/>
          <w:trHeight w:val="510" w:hRule="atLeast"/>
        </w:trPr>
        <w:tc>
          <w:tcPr>
            <w:tcW w:w="17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ascii="宋体" w:cs="Times New Roman"/>
                <w:color w:val="000000"/>
                <w:kern w:val="0"/>
                <w:sz w:val="24"/>
              </w:rPr>
            </w:pPr>
            <w:r>
              <w:rPr>
                <w:rFonts w:hint="eastAsia" w:ascii="宋体" w:hAnsi="宋体" w:cs="宋体"/>
                <w:color w:val="000000"/>
                <w:kern w:val="0"/>
                <w:sz w:val="24"/>
              </w:rPr>
              <w:t>霞山区</w:t>
            </w:r>
          </w:p>
        </w:tc>
        <w:tc>
          <w:tcPr>
            <w:tcW w:w="202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b/>
                <w:bCs/>
                <w:color w:val="0000FF"/>
                <w:kern w:val="0"/>
                <w:sz w:val="24"/>
              </w:rPr>
            </w:pPr>
            <w:r>
              <w:rPr>
                <w:rFonts w:hint="eastAsia" w:cs="Times New Roman"/>
                <w:color w:val="000000"/>
                <w:kern w:val="0"/>
                <w:sz w:val="24"/>
                <w:szCs w:val="24"/>
                <w:lang w:val="en-US" w:eastAsia="zh-CN"/>
              </w:rPr>
              <w:t>857</w:t>
            </w:r>
          </w:p>
        </w:tc>
        <w:tc>
          <w:tcPr>
            <w:tcW w:w="178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b/>
                <w:bCs/>
                <w:color w:val="auto"/>
                <w:kern w:val="0"/>
                <w:sz w:val="24"/>
              </w:rPr>
            </w:pPr>
            <w:r>
              <w:rPr>
                <w:rFonts w:hint="eastAsia" w:cs="Times New Roman"/>
                <w:color w:val="000000"/>
                <w:kern w:val="0"/>
                <w:sz w:val="24"/>
                <w:szCs w:val="24"/>
                <w:lang w:val="en-US" w:eastAsia="zh-CN"/>
              </w:rPr>
              <w:t>600</w:t>
            </w:r>
          </w:p>
        </w:tc>
        <w:tc>
          <w:tcPr>
            <w:tcW w:w="208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ascii="Times New Roman" w:hAnsi="Times New Roman" w:cs="Times New Roman"/>
                <w:b w:val="0"/>
                <w:bCs w:val="0"/>
                <w:color w:val="auto"/>
                <w:sz w:val="24"/>
              </w:rPr>
            </w:pPr>
            <w:r>
              <w:rPr>
                <w:rFonts w:ascii="Times New Roman" w:hAnsi="Times New Roman" w:cs="Times New Roman"/>
                <w:b w:val="0"/>
                <w:bCs w:val="0"/>
                <w:color w:val="auto"/>
                <w:sz w:val="24"/>
              </w:rPr>
              <w:t>1585</w:t>
            </w:r>
          </w:p>
        </w:tc>
        <w:tc>
          <w:tcPr>
            <w:tcW w:w="235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cs="Times New Roman"/>
                <w:b w:val="0"/>
                <w:bCs w:val="0"/>
                <w:color w:val="auto"/>
                <w:sz w:val="24"/>
                <w:lang w:val="en-US" w:eastAsia="zh-CN"/>
              </w:rPr>
              <w:t>960</w:t>
            </w:r>
          </w:p>
        </w:tc>
        <w:tc>
          <w:tcPr>
            <w:tcW w:w="32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Times New Roman" w:hAnsi="Times New Roman" w:cs="Times New Roman"/>
                <w:color w:val="000000"/>
                <w:kern w:val="0"/>
                <w:sz w:val="24"/>
              </w:rPr>
            </w:pPr>
            <w:r>
              <w:rPr>
                <w:rFonts w:ascii="Times New Roman" w:hAnsi="Times New Roman" w:cs="Times New Roman"/>
                <w:color w:val="000000"/>
                <w:kern w:val="0"/>
                <w:sz w:val="24"/>
                <w:szCs w:val="24"/>
              </w:rPr>
              <w:t>202</w:t>
            </w:r>
            <w:r>
              <w:rPr>
                <w:rFonts w:hint="eastAsia" w:cs="Times New Roman"/>
                <w:color w:val="000000"/>
                <w:kern w:val="0"/>
                <w:sz w:val="24"/>
                <w:szCs w:val="24"/>
                <w:lang w:val="en-US" w:eastAsia="zh-CN"/>
              </w:rPr>
              <w:t>3</w:t>
            </w:r>
            <w:r>
              <w:rPr>
                <w:rFonts w:ascii="Times New Roman" w:hAnsi="Times New Roman" w:cs="Times New Roman"/>
                <w:color w:val="000000"/>
                <w:kern w:val="0"/>
                <w:sz w:val="24"/>
                <w:szCs w:val="24"/>
              </w:rPr>
              <w:t>.1.1</w:t>
            </w:r>
          </w:p>
        </w:tc>
      </w:tr>
      <w:tr>
        <w:tblPrEx>
          <w:tblCellMar>
            <w:top w:w="0" w:type="dxa"/>
            <w:left w:w="108" w:type="dxa"/>
            <w:bottom w:w="0" w:type="dxa"/>
            <w:right w:w="108" w:type="dxa"/>
          </w:tblCellMar>
        </w:tblPrEx>
        <w:trPr>
          <w:cantSplit/>
          <w:trHeight w:val="510" w:hRule="atLeast"/>
        </w:trPr>
        <w:tc>
          <w:tcPr>
            <w:tcW w:w="17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ascii="宋体" w:cs="Times New Roman"/>
                <w:color w:val="000000"/>
                <w:kern w:val="0"/>
                <w:sz w:val="24"/>
              </w:rPr>
            </w:pPr>
            <w:r>
              <w:rPr>
                <w:rFonts w:hint="eastAsia" w:ascii="宋体" w:hAnsi="宋体" w:cs="宋体"/>
                <w:color w:val="000000"/>
                <w:kern w:val="0"/>
                <w:sz w:val="24"/>
              </w:rPr>
              <w:t>坡头区</w:t>
            </w:r>
          </w:p>
        </w:tc>
        <w:tc>
          <w:tcPr>
            <w:tcW w:w="202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b/>
                <w:bCs/>
                <w:color w:val="0000FF"/>
                <w:kern w:val="0"/>
                <w:sz w:val="24"/>
              </w:rPr>
            </w:pPr>
            <w:r>
              <w:rPr>
                <w:rFonts w:hint="eastAsia" w:cs="Times New Roman"/>
                <w:color w:val="000000"/>
                <w:kern w:val="0"/>
                <w:sz w:val="24"/>
                <w:szCs w:val="24"/>
                <w:lang w:val="en-US" w:eastAsia="zh-CN"/>
              </w:rPr>
              <w:t>857</w:t>
            </w:r>
          </w:p>
        </w:tc>
        <w:tc>
          <w:tcPr>
            <w:tcW w:w="178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b/>
                <w:bCs/>
                <w:color w:val="auto"/>
                <w:kern w:val="0"/>
                <w:sz w:val="24"/>
              </w:rPr>
            </w:pPr>
            <w:r>
              <w:rPr>
                <w:rFonts w:hint="eastAsia" w:cs="Times New Roman"/>
                <w:color w:val="000000"/>
                <w:kern w:val="0"/>
                <w:sz w:val="24"/>
                <w:szCs w:val="24"/>
                <w:lang w:val="en-US" w:eastAsia="zh-CN"/>
              </w:rPr>
              <w:t>600</w:t>
            </w:r>
          </w:p>
        </w:tc>
        <w:tc>
          <w:tcPr>
            <w:tcW w:w="208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cs="Times New Roman"/>
                <w:b w:val="0"/>
                <w:bCs w:val="0"/>
                <w:color w:val="auto"/>
                <w:sz w:val="24"/>
                <w:lang w:val="en-US" w:eastAsia="zh-CN"/>
              </w:rPr>
              <w:t>13</w:t>
            </w:r>
            <w:r>
              <w:rPr>
                <w:rFonts w:hint="eastAsia" w:cs="Times New Roman"/>
                <w:b w:val="0"/>
                <w:bCs w:val="0"/>
                <w:color w:val="auto"/>
                <w:sz w:val="24"/>
                <w:lang w:val="en-US" w:eastAsia="zh-CN"/>
              </w:rPr>
              <w:t>72</w:t>
            </w:r>
          </w:p>
        </w:tc>
        <w:tc>
          <w:tcPr>
            <w:tcW w:w="235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cs="Times New Roman"/>
                <w:b w:val="0"/>
                <w:bCs w:val="0"/>
                <w:color w:val="auto"/>
                <w:sz w:val="24"/>
                <w:lang w:val="en-US" w:eastAsia="zh-CN"/>
              </w:rPr>
              <w:t>960</w:t>
            </w:r>
          </w:p>
        </w:tc>
        <w:tc>
          <w:tcPr>
            <w:tcW w:w="32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Times New Roman" w:hAnsi="Times New Roman" w:cs="Times New Roman"/>
                <w:color w:val="000000"/>
                <w:kern w:val="0"/>
                <w:sz w:val="24"/>
              </w:rPr>
            </w:pPr>
            <w:r>
              <w:rPr>
                <w:rFonts w:ascii="Times New Roman" w:hAnsi="Times New Roman" w:cs="Times New Roman"/>
                <w:color w:val="000000"/>
                <w:kern w:val="0"/>
                <w:sz w:val="24"/>
                <w:szCs w:val="24"/>
              </w:rPr>
              <w:t>202</w:t>
            </w:r>
            <w:r>
              <w:rPr>
                <w:rFonts w:hint="eastAsia" w:cs="Times New Roman"/>
                <w:color w:val="000000"/>
                <w:kern w:val="0"/>
                <w:sz w:val="24"/>
                <w:szCs w:val="24"/>
                <w:lang w:val="en-US" w:eastAsia="zh-CN"/>
              </w:rPr>
              <w:t>3</w:t>
            </w:r>
            <w:r>
              <w:rPr>
                <w:rFonts w:ascii="Times New Roman" w:hAnsi="Times New Roman" w:cs="Times New Roman"/>
                <w:color w:val="000000"/>
                <w:kern w:val="0"/>
                <w:sz w:val="24"/>
                <w:szCs w:val="24"/>
              </w:rPr>
              <w:t>.1.1</w:t>
            </w:r>
          </w:p>
        </w:tc>
      </w:tr>
      <w:tr>
        <w:tblPrEx>
          <w:tblCellMar>
            <w:top w:w="0" w:type="dxa"/>
            <w:left w:w="108" w:type="dxa"/>
            <w:bottom w:w="0" w:type="dxa"/>
            <w:right w:w="108" w:type="dxa"/>
          </w:tblCellMar>
        </w:tblPrEx>
        <w:trPr>
          <w:cantSplit/>
          <w:trHeight w:val="510" w:hRule="atLeast"/>
        </w:trPr>
        <w:tc>
          <w:tcPr>
            <w:tcW w:w="17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ascii="宋体" w:cs="Times New Roman"/>
                <w:color w:val="000000"/>
                <w:kern w:val="0"/>
                <w:sz w:val="24"/>
              </w:rPr>
            </w:pPr>
            <w:r>
              <w:rPr>
                <w:rFonts w:hint="eastAsia" w:ascii="宋体" w:hAnsi="宋体" w:cs="宋体"/>
                <w:color w:val="000000"/>
                <w:kern w:val="0"/>
                <w:sz w:val="24"/>
              </w:rPr>
              <w:t>麻章区</w:t>
            </w:r>
          </w:p>
        </w:tc>
        <w:tc>
          <w:tcPr>
            <w:tcW w:w="202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b/>
                <w:bCs/>
                <w:color w:val="0000FF"/>
                <w:kern w:val="0"/>
                <w:sz w:val="24"/>
              </w:rPr>
            </w:pPr>
            <w:r>
              <w:rPr>
                <w:rFonts w:hint="eastAsia" w:cs="Times New Roman"/>
                <w:color w:val="000000"/>
                <w:kern w:val="0"/>
                <w:sz w:val="24"/>
                <w:szCs w:val="24"/>
                <w:lang w:val="en-US" w:eastAsia="zh-CN"/>
              </w:rPr>
              <w:t>857</w:t>
            </w:r>
          </w:p>
        </w:tc>
        <w:tc>
          <w:tcPr>
            <w:tcW w:w="178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b/>
                <w:bCs/>
                <w:color w:val="auto"/>
                <w:kern w:val="0"/>
                <w:sz w:val="24"/>
              </w:rPr>
            </w:pPr>
            <w:r>
              <w:rPr>
                <w:rFonts w:hint="eastAsia" w:cs="Times New Roman"/>
                <w:color w:val="000000"/>
                <w:kern w:val="0"/>
                <w:sz w:val="24"/>
                <w:szCs w:val="24"/>
                <w:lang w:val="en-US" w:eastAsia="zh-CN"/>
              </w:rPr>
              <w:t>600</w:t>
            </w:r>
          </w:p>
        </w:tc>
        <w:tc>
          <w:tcPr>
            <w:tcW w:w="208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hAnsi="Times New Roman" w:cs="Times New Roman"/>
                <w:b w:val="0"/>
                <w:bCs w:val="0"/>
                <w:color w:val="auto"/>
                <w:sz w:val="24"/>
                <w:lang w:val="en-US" w:eastAsia="zh-CN"/>
              </w:rPr>
              <w:t>13</w:t>
            </w:r>
            <w:r>
              <w:rPr>
                <w:rFonts w:hint="eastAsia" w:cs="Times New Roman"/>
                <w:b w:val="0"/>
                <w:bCs w:val="0"/>
                <w:color w:val="auto"/>
                <w:sz w:val="24"/>
                <w:lang w:val="en-US" w:eastAsia="zh-CN"/>
              </w:rPr>
              <w:t>72</w:t>
            </w:r>
          </w:p>
        </w:tc>
        <w:tc>
          <w:tcPr>
            <w:tcW w:w="235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cs="Times New Roman"/>
                <w:b w:val="0"/>
                <w:bCs w:val="0"/>
                <w:color w:val="auto"/>
                <w:sz w:val="24"/>
                <w:lang w:val="en-US" w:eastAsia="zh-CN"/>
              </w:rPr>
              <w:t>960</w:t>
            </w:r>
          </w:p>
        </w:tc>
        <w:tc>
          <w:tcPr>
            <w:tcW w:w="32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Times New Roman" w:hAnsi="Times New Roman" w:cs="Times New Roman"/>
                <w:color w:val="000000"/>
                <w:kern w:val="0"/>
                <w:sz w:val="24"/>
              </w:rPr>
            </w:pPr>
            <w:r>
              <w:rPr>
                <w:rFonts w:ascii="Times New Roman" w:hAnsi="Times New Roman" w:cs="Times New Roman"/>
                <w:color w:val="000000"/>
                <w:kern w:val="0"/>
                <w:sz w:val="24"/>
                <w:szCs w:val="24"/>
              </w:rPr>
              <w:t>202</w:t>
            </w:r>
            <w:r>
              <w:rPr>
                <w:rFonts w:hint="eastAsia" w:cs="Times New Roman"/>
                <w:color w:val="000000"/>
                <w:kern w:val="0"/>
                <w:sz w:val="24"/>
                <w:szCs w:val="24"/>
                <w:lang w:val="en-US" w:eastAsia="zh-CN"/>
              </w:rPr>
              <w:t>3</w:t>
            </w:r>
            <w:r>
              <w:rPr>
                <w:rFonts w:ascii="Times New Roman" w:hAnsi="Times New Roman" w:cs="Times New Roman"/>
                <w:color w:val="000000"/>
                <w:kern w:val="0"/>
                <w:sz w:val="24"/>
                <w:szCs w:val="24"/>
              </w:rPr>
              <w:t>.1.1</w:t>
            </w:r>
          </w:p>
        </w:tc>
      </w:tr>
      <w:tr>
        <w:tblPrEx>
          <w:tblCellMar>
            <w:top w:w="0" w:type="dxa"/>
            <w:left w:w="108" w:type="dxa"/>
            <w:bottom w:w="0" w:type="dxa"/>
            <w:right w:w="108" w:type="dxa"/>
          </w:tblCellMar>
        </w:tblPrEx>
        <w:trPr>
          <w:cantSplit/>
          <w:trHeight w:val="510" w:hRule="atLeast"/>
        </w:trPr>
        <w:tc>
          <w:tcPr>
            <w:tcW w:w="171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spacing w:line="440" w:lineRule="exact"/>
              <w:jc w:val="center"/>
              <w:textAlignment w:val="auto"/>
              <w:rPr>
                <w:rFonts w:ascii="宋体" w:cs="Times New Roman"/>
                <w:color w:val="000000"/>
                <w:kern w:val="0"/>
                <w:sz w:val="24"/>
              </w:rPr>
            </w:pPr>
            <w:r>
              <w:rPr>
                <w:rFonts w:hint="eastAsia" w:ascii="宋体" w:hAnsi="宋体" w:cs="宋体"/>
                <w:color w:val="000000"/>
                <w:kern w:val="0"/>
                <w:sz w:val="24"/>
              </w:rPr>
              <w:t>开发区</w:t>
            </w:r>
          </w:p>
        </w:tc>
        <w:tc>
          <w:tcPr>
            <w:tcW w:w="2021"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b/>
                <w:bCs/>
                <w:color w:val="0000FF"/>
                <w:kern w:val="0"/>
                <w:sz w:val="24"/>
              </w:rPr>
            </w:pPr>
            <w:r>
              <w:rPr>
                <w:rFonts w:hint="eastAsia" w:cs="Times New Roman"/>
                <w:color w:val="000000"/>
                <w:kern w:val="0"/>
                <w:sz w:val="24"/>
                <w:szCs w:val="24"/>
                <w:lang w:val="en-US" w:eastAsia="zh-CN"/>
              </w:rPr>
              <w:t>857</w:t>
            </w:r>
          </w:p>
        </w:tc>
        <w:tc>
          <w:tcPr>
            <w:tcW w:w="178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s="Times New Roman"/>
                <w:b/>
                <w:bCs/>
                <w:color w:val="auto"/>
                <w:kern w:val="0"/>
                <w:sz w:val="24"/>
              </w:rPr>
            </w:pPr>
            <w:r>
              <w:rPr>
                <w:rFonts w:hint="eastAsia" w:cs="Times New Roman"/>
                <w:color w:val="000000"/>
                <w:kern w:val="0"/>
                <w:sz w:val="24"/>
                <w:szCs w:val="24"/>
                <w:lang w:val="en-US" w:eastAsia="zh-CN"/>
              </w:rPr>
              <w:t>600</w:t>
            </w:r>
          </w:p>
        </w:tc>
        <w:tc>
          <w:tcPr>
            <w:tcW w:w="2088"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宋体" w:cs="Times New Roman"/>
                <w:b w:val="0"/>
                <w:bCs w:val="0"/>
                <w:color w:val="auto"/>
                <w:sz w:val="24"/>
                <w:lang w:val="en-US" w:eastAsia="zh-CN"/>
              </w:rPr>
            </w:pPr>
            <w:r>
              <w:rPr>
                <w:rFonts w:hint="eastAsia" w:cs="Times New Roman"/>
                <w:b w:val="0"/>
                <w:bCs w:val="0"/>
                <w:color w:val="auto"/>
                <w:sz w:val="24"/>
                <w:lang w:val="en-US" w:eastAsia="zh-CN"/>
              </w:rPr>
              <w:t>1372</w:t>
            </w:r>
          </w:p>
        </w:tc>
        <w:tc>
          <w:tcPr>
            <w:tcW w:w="2350"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val="0"/>
              <w:spacing w:line="440" w:lineRule="exact"/>
              <w:jc w:val="center"/>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cs="Times New Roman"/>
                <w:b w:val="0"/>
                <w:bCs w:val="0"/>
                <w:color w:val="auto"/>
                <w:sz w:val="24"/>
                <w:lang w:val="en-US" w:eastAsia="zh-CN"/>
              </w:rPr>
              <w:t>960</w:t>
            </w:r>
          </w:p>
        </w:tc>
        <w:tc>
          <w:tcPr>
            <w:tcW w:w="326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pacing w:line="440" w:lineRule="exact"/>
              <w:jc w:val="center"/>
              <w:textAlignment w:val="auto"/>
              <w:rPr>
                <w:rFonts w:ascii="Times New Roman" w:hAnsi="Times New Roman" w:cs="Times New Roman"/>
                <w:color w:val="000000"/>
                <w:kern w:val="0"/>
                <w:sz w:val="24"/>
              </w:rPr>
            </w:pPr>
            <w:r>
              <w:rPr>
                <w:rFonts w:ascii="Times New Roman" w:hAnsi="Times New Roman" w:cs="Times New Roman"/>
                <w:color w:val="000000"/>
                <w:kern w:val="0"/>
                <w:sz w:val="24"/>
                <w:szCs w:val="24"/>
              </w:rPr>
              <w:t>202</w:t>
            </w:r>
            <w:r>
              <w:rPr>
                <w:rFonts w:hint="eastAsia" w:cs="Times New Roman"/>
                <w:color w:val="000000"/>
                <w:kern w:val="0"/>
                <w:sz w:val="24"/>
                <w:szCs w:val="24"/>
                <w:lang w:val="en-US" w:eastAsia="zh-CN"/>
              </w:rPr>
              <w:t>3</w:t>
            </w:r>
            <w:r>
              <w:rPr>
                <w:rFonts w:ascii="Times New Roman" w:hAnsi="Times New Roman" w:cs="Times New Roman"/>
                <w:color w:val="000000"/>
                <w:kern w:val="0"/>
                <w:sz w:val="24"/>
                <w:szCs w:val="24"/>
              </w:rPr>
              <w:t>.1.1</w:t>
            </w:r>
          </w:p>
        </w:tc>
      </w:tr>
    </w:tbl>
    <w:p>
      <w:pPr>
        <w:keepNext w:val="0"/>
        <w:keepLines w:val="0"/>
        <w:pageBreakBefore w:val="0"/>
        <w:widowControl w:val="0"/>
        <w:tabs>
          <w:tab w:val="left" w:pos="7020"/>
          <w:tab w:val="left" w:pos="7200"/>
        </w:tabs>
        <w:kinsoku/>
        <w:wordWrap/>
        <w:overflowPunct/>
        <w:topLinePunct w:val="0"/>
        <w:autoSpaceDE/>
        <w:autoSpaceDN/>
        <w:bidi w:val="0"/>
        <w:adjustRightInd/>
        <w:snapToGrid/>
        <w:spacing w:line="360" w:lineRule="exact"/>
        <w:ind w:left="1438" w:leftChars="342" w:hanging="720" w:hangingChars="300"/>
        <w:textAlignment w:val="auto"/>
        <w:rPr>
          <w:rFonts w:hint="eastAsia" w:ascii="CESI仿宋-GB2312" w:hAnsi="CESI仿宋-GB2312" w:eastAsia="CESI仿宋-GB2312" w:cs="CESI仿宋-GB2312"/>
          <w:sz w:val="32"/>
          <w:szCs w:val="32"/>
        </w:rPr>
      </w:pPr>
      <w:r>
        <w:rPr>
          <w:rFonts w:hint="eastAsia" w:ascii="仿宋_GB2312" w:hAnsi="宋体" w:eastAsia="仿宋_GB2312" w:cs="宋体"/>
          <w:sz w:val="24"/>
        </w:rPr>
        <w:t>说明：2016年前</w:t>
      </w:r>
      <w:r>
        <w:rPr>
          <w:rFonts w:hint="eastAsia" w:ascii="仿宋_GB2312" w:hAnsi="宋体" w:eastAsia="仿宋_GB2312" w:cs="宋体"/>
          <w:color w:val="000000"/>
          <w:kern w:val="0"/>
          <w:sz w:val="24"/>
        </w:rPr>
        <w:t>城乡</w:t>
      </w:r>
      <w:r>
        <w:rPr>
          <w:rFonts w:hint="eastAsia" w:ascii="仿宋_GB2312" w:hAnsi="宋体" w:eastAsia="仿宋_GB2312" w:cs="宋体"/>
          <w:sz w:val="24"/>
        </w:rPr>
        <w:t>特困人员供养标准按照“当地上年度城乡常住居民人均可支配收入的60%”确定，霞山</w:t>
      </w:r>
      <w:r>
        <w:rPr>
          <w:rFonts w:hint="eastAsia" w:ascii="仿宋_GB2312" w:hAnsi="宋体" w:eastAsia="仿宋_GB2312" w:cs="宋体"/>
          <w:sz w:val="24"/>
          <w:lang w:eastAsia="zh-CN"/>
        </w:rPr>
        <w:t>区当年</w:t>
      </w:r>
      <w:r>
        <w:rPr>
          <w:rFonts w:hint="eastAsia" w:ascii="仿宋_GB2312" w:hAnsi="宋体" w:eastAsia="仿宋_GB2312" w:cs="宋体"/>
          <w:sz w:val="24"/>
        </w:rPr>
        <w:t>的城镇特困人员供养标准</w:t>
      </w:r>
      <w:r>
        <w:rPr>
          <w:rFonts w:hint="eastAsia" w:ascii="仿宋_GB2312" w:hAnsi="宋体" w:eastAsia="仿宋_GB2312" w:cs="宋体"/>
          <w:sz w:val="24"/>
          <w:lang w:eastAsia="zh-CN"/>
        </w:rPr>
        <w:t>确定</w:t>
      </w:r>
      <w:r>
        <w:rPr>
          <w:rFonts w:hint="eastAsia" w:ascii="仿宋_GB2312" w:hAnsi="宋体" w:eastAsia="仿宋_GB2312" w:cs="宋体"/>
          <w:sz w:val="24"/>
        </w:rPr>
        <w:t>为每人每月1585元</w:t>
      </w:r>
      <w:r>
        <w:rPr>
          <w:rFonts w:hint="eastAsia" w:ascii="仿宋_GB2312" w:hAnsi="宋体" w:eastAsia="仿宋_GB2312" w:cs="宋体"/>
          <w:sz w:val="24"/>
          <w:lang w:eastAsia="zh-CN"/>
        </w:rPr>
        <w:t>；</w:t>
      </w:r>
      <w:r>
        <w:rPr>
          <w:rFonts w:hint="eastAsia" w:ascii="仿宋_GB2312" w:hAnsi="宋体" w:eastAsia="仿宋_GB2312" w:cs="宋体"/>
          <w:color w:val="000000"/>
          <w:kern w:val="0"/>
          <w:sz w:val="24"/>
        </w:rPr>
        <w:t>2017年后城乡特困人员</w:t>
      </w:r>
      <w:r>
        <w:rPr>
          <w:rFonts w:hint="eastAsia" w:ascii="仿宋_GB2312" w:hAnsi="宋体" w:eastAsia="仿宋_GB2312" w:cs="宋体"/>
          <w:sz w:val="24"/>
        </w:rPr>
        <w:t>供养标准按照</w:t>
      </w:r>
      <w:r>
        <w:rPr>
          <w:rFonts w:hint="eastAsia" w:ascii="仿宋_GB2312" w:hAnsi="宋体" w:eastAsia="仿宋_GB2312" w:cs="宋体"/>
          <w:sz w:val="24"/>
          <w:lang w:eastAsia="zh-CN"/>
        </w:rPr>
        <w:t>“</w:t>
      </w:r>
      <w:r>
        <w:rPr>
          <w:rFonts w:hint="eastAsia" w:ascii="仿宋_GB2312" w:hAnsi="宋体" w:eastAsia="仿宋_GB2312" w:cs="宋体"/>
          <w:sz w:val="24"/>
        </w:rPr>
        <w:t>不低于当地城乡最低生活保障标准的1.6倍</w:t>
      </w:r>
      <w:r>
        <w:rPr>
          <w:rFonts w:hint="eastAsia" w:ascii="仿宋_GB2312" w:hAnsi="宋体" w:eastAsia="仿宋_GB2312" w:cs="宋体"/>
          <w:sz w:val="24"/>
          <w:lang w:eastAsia="zh-CN"/>
        </w:rPr>
        <w:t>，且不</w:t>
      </w:r>
      <w:r>
        <w:rPr>
          <w:rFonts w:hint="eastAsia" w:ascii="仿宋_GB2312" w:hAnsi="宋体" w:eastAsia="仿宋_GB2312" w:cs="宋体"/>
          <w:sz w:val="24"/>
        </w:rPr>
        <w:t>低于当地现行标准</w:t>
      </w:r>
      <w:r>
        <w:rPr>
          <w:rFonts w:hint="eastAsia" w:ascii="仿宋_GB2312" w:hAnsi="宋体" w:eastAsia="仿宋_GB2312" w:cs="宋体"/>
          <w:sz w:val="24"/>
          <w:lang w:eastAsia="zh-CN"/>
        </w:rPr>
        <w:t>”</w:t>
      </w:r>
      <w:r>
        <w:rPr>
          <w:rFonts w:hint="eastAsia" w:ascii="仿宋_GB2312" w:hAnsi="宋体" w:eastAsia="仿宋_GB2312" w:cs="宋体"/>
          <w:sz w:val="24"/>
        </w:rPr>
        <w:t>确定</w:t>
      </w:r>
      <w:r>
        <w:rPr>
          <w:rFonts w:hint="eastAsia" w:ascii="仿宋_GB2312" w:hAnsi="宋体" w:eastAsia="仿宋_GB2312" w:cs="宋体"/>
          <w:sz w:val="24"/>
          <w:lang w:eastAsia="zh-CN"/>
        </w:rPr>
        <w:t>；</w:t>
      </w:r>
      <w:r>
        <w:rPr>
          <w:rFonts w:hint="eastAsia" w:ascii="仿宋_GB2312" w:hAnsi="宋体" w:eastAsia="仿宋_GB2312" w:cs="宋体"/>
          <w:color w:val="000000"/>
          <w:kern w:val="0"/>
          <w:sz w:val="24"/>
        </w:rPr>
        <w:t>2020年赤坎区</w:t>
      </w:r>
      <w:r>
        <w:rPr>
          <w:rFonts w:hint="eastAsia" w:ascii="仿宋_GB2312" w:hAnsi="宋体" w:eastAsia="仿宋_GB2312" w:cs="宋体"/>
          <w:color w:val="000000"/>
          <w:kern w:val="0"/>
          <w:sz w:val="24"/>
          <w:lang w:eastAsia="zh-CN"/>
        </w:rPr>
        <w:t>城镇</w:t>
      </w:r>
      <w:r>
        <w:rPr>
          <w:rFonts w:hint="eastAsia" w:ascii="仿宋_GB2312" w:hAnsi="宋体" w:eastAsia="仿宋_GB2312" w:cs="宋体"/>
          <w:color w:val="000000"/>
          <w:kern w:val="0"/>
          <w:sz w:val="24"/>
        </w:rPr>
        <w:t>特困人员</w:t>
      </w:r>
      <w:r>
        <w:rPr>
          <w:rFonts w:hint="eastAsia" w:ascii="仿宋_GB2312" w:hAnsi="宋体" w:eastAsia="仿宋_GB2312" w:cs="宋体"/>
          <w:sz w:val="24"/>
        </w:rPr>
        <w:t>供养标准提高到每人每月1585元</w:t>
      </w:r>
      <w:r>
        <w:rPr>
          <w:rFonts w:hint="eastAsia" w:ascii="仿宋_GB2312" w:hAnsi="宋体" w:eastAsia="仿宋_GB2312" w:cs="宋体"/>
          <w:sz w:val="24"/>
          <w:lang w:eastAsia="zh-CN"/>
        </w:rPr>
        <w:t>。</w:t>
      </w:r>
    </w:p>
    <w:sectPr>
      <w:footerReference r:id="rId5" w:type="default"/>
      <w:footerReference r:id="rId6" w:type="even"/>
      <w:pgSz w:w="16783" w:h="11850" w:orient="landscape"/>
      <w:pgMar w:top="1304" w:right="1502" w:bottom="1304" w:left="1502" w:header="851" w:footer="992" w:gutter="0"/>
      <w:pgNumType w:fmt="numberInDash"/>
      <w:cols w:space="0" w:num="1"/>
      <w:rtlGutter w:val="0"/>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CESI小标宋-GB2312">
    <w:panose1 w:val="02000500000000000000"/>
    <w:charset w:val="86"/>
    <w:family w:val="auto"/>
    <w:pitch w:val="default"/>
    <w:sig w:usb0="800002AF" w:usb1="084F6CF8" w:usb2="00000010" w:usb3="00000000" w:csb0="0004000F" w:csb1="00000000"/>
  </w:font>
  <w:font w:name="CESI仿宋-GB2312">
    <w:panose1 w:val="02000500000000000000"/>
    <w:charset w:val="86"/>
    <w:family w:val="auto"/>
    <w:pitch w:val="default"/>
    <w:sig w:usb0="800002AF" w:usb1="084F6CF8" w:usb2="00000010" w:usb3="00000000" w:csb0="0004000F" w:csb1="00000000"/>
  </w:font>
  <w:font w:name="CESI黑体-GB13000">
    <w:panose1 w:val="02000500000000000000"/>
    <w:charset w:val="86"/>
    <w:family w:val="auto"/>
    <w:pitch w:val="default"/>
    <w:sig w:usb0="800002BF" w:usb1="38CF7CF8"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cs="Times New Roman"/>
      </w:rPr>
    </w:pPr>
    <w:r>
      <w:pict>
        <v:shape id="文本框 1" o:spid="_x0000_s4099" o:spt="202" type="#_x0000_t202" style="position:absolute;left:0pt;margin-top:0pt;height:26.75pt;width:42.5pt;mso-position-horizontal:right;mso-position-horizontal-relative:margin;z-index:251658240;mso-width-relative:page;mso-height-relative:page;" filled="f" stroked="f" coordsize="21600,21600">
          <v:path/>
          <v:fill on="f" focussize="0,0"/>
          <v:stroke on="f"/>
          <v:imagedata o:title=""/>
          <o:lock v:ext="edit" aspectratio="f"/>
          <v:textbox inset="0mm,0mm,0mm,0mm">
            <w:txbxContent>
              <w:p>
                <w:pPr>
                  <w:pStyle w:val="4"/>
                  <w:rPr>
                    <w:rFonts w:cs="Times New Roman"/>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- 1 -</w:t>
                </w:r>
                <w:r>
                  <w:rPr>
                    <w:rFonts w:ascii="宋体" w:hAnsi="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cs="Times New Roman"/>
      </w:rPr>
    </w:pPr>
    <w:r>
      <w:pict>
        <v:shape id="文本框 2" o:spid="_x0000_s4100" o:spt="202" type="#_x0000_t202" style="position:absolute;left:0pt;margin-top:0pt;height:44.7pt;width:54.6pt;mso-position-horizontal:right;mso-position-horizontal-relative:margin;z-index:251659264;mso-width-relative:page;mso-height-relative:page;" filled="f" stroked="f" coordsize="21600,21600">
          <v:path/>
          <v:fill on="f" focussize="0,0"/>
          <v:stroke on="f"/>
          <v:imagedata o:title=""/>
          <o:lock v:ext="edit" aspectratio="f"/>
          <v:textbox inset="0mm,0mm,0mm,0mm">
            <w:txbxContent>
              <w:p>
                <w:pPr>
                  <w:pStyle w:val="4"/>
                  <w:rPr>
                    <w:rFonts w:cs="Times New Roman"/>
                    <w:b w:val="0"/>
                    <w:bCs w:val="0"/>
                    <w:sz w:val="28"/>
                    <w:szCs w:val="28"/>
                  </w:rPr>
                </w:pPr>
                <w:r>
                  <w:rPr>
                    <w:rFonts w:ascii="宋体" w:hAnsi="宋体" w:cs="宋体"/>
                    <w:b w:val="0"/>
                    <w:bCs w:val="0"/>
                    <w:sz w:val="28"/>
                    <w:szCs w:val="28"/>
                  </w:rPr>
                  <w:fldChar w:fldCharType="begin"/>
                </w:r>
                <w:r>
                  <w:rPr>
                    <w:rFonts w:ascii="宋体" w:hAnsi="宋体" w:cs="宋体"/>
                    <w:b w:val="0"/>
                    <w:bCs w:val="0"/>
                    <w:sz w:val="28"/>
                    <w:szCs w:val="28"/>
                  </w:rPr>
                  <w:instrText xml:space="preserve"> PAGE  \* MERGEFORMAT </w:instrText>
                </w:r>
                <w:r>
                  <w:rPr>
                    <w:rFonts w:ascii="宋体" w:hAnsi="宋体" w:cs="宋体"/>
                    <w:b w:val="0"/>
                    <w:bCs w:val="0"/>
                    <w:sz w:val="28"/>
                    <w:szCs w:val="28"/>
                  </w:rPr>
                  <w:fldChar w:fldCharType="separate"/>
                </w:r>
                <w:r>
                  <w:rPr>
                    <w:rFonts w:ascii="宋体" w:hAnsi="宋体" w:cs="宋体"/>
                    <w:b w:val="0"/>
                    <w:bCs w:val="0"/>
                    <w:sz w:val="28"/>
                    <w:szCs w:val="28"/>
                  </w:rPr>
                  <w:t>- 2 -</w:t>
                </w:r>
                <w:r>
                  <w:rPr>
                    <w:rFonts w:ascii="宋体" w:hAnsi="宋体" w:cs="宋体"/>
                    <w:b w:val="0"/>
                    <w:bCs w:val="0"/>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pict>
        <v:shape id="_x0000_s4097" o:spid="_x0000_s4097"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- 1 -</w:t>
                </w:r>
                <w:r>
                  <w:rPr>
                    <w:rFonts w:hint="eastAsia"/>
                    <w:sz w:val="28"/>
                    <w:szCs w:val="2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pict>
        <v:shape id="_x0000_s4098" o:spid="_x0000_s4098"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Style w:val="8"/>
                    <w:rFonts w:ascii="宋体" w:hAnsi="宋体"/>
                    <w:sz w:val="28"/>
                    <w:szCs w:val="28"/>
                  </w:rPr>
                </w:pPr>
                <w:r>
                  <w:rPr>
                    <w:rStyle w:val="8"/>
                    <w:rFonts w:hint="eastAsia" w:ascii="宋体" w:hAnsi="宋体"/>
                    <w:sz w:val="28"/>
                    <w:szCs w:val="28"/>
                  </w:rPr>
                  <w:t>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- 2 -</w:t>
                </w:r>
                <w:r>
                  <w:rPr>
                    <w:rFonts w:ascii="宋体" w:hAnsi="宋体"/>
                    <w:sz w:val="28"/>
                    <w:szCs w:val="28"/>
                  </w:rPr>
                  <w:fldChar w:fldCharType="end"/>
                </w:r>
                <w:r>
                  <w:rPr>
                    <w:rStyle w:val="8"/>
                    <w:rFonts w:hint="eastAsia" w:ascii="宋体" w:hAnsi="宋体"/>
                    <w:sz w:val="28"/>
                    <w:szCs w:val="28"/>
                  </w:rPr>
                  <w:t>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evenAndOddHeaders w:val="1"/>
  <w:drawingGridVerticalSpacing w:val="57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20DA3"/>
    <w:rsid w:val="00095F17"/>
    <w:rsid w:val="00096777"/>
    <w:rsid w:val="00172A27"/>
    <w:rsid w:val="001D0130"/>
    <w:rsid w:val="00294E68"/>
    <w:rsid w:val="00314388"/>
    <w:rsid w:val="0036231B"/>
    <w:rsid w:val="003964DE"/>
    <w:rsid w:val="003A5F9F"/>
    <w:rsid w:val="003C656E"/>
    <w:rsid w:val="003F52C0"/>
    <w:rsid w:val="004B41A7"/>
    <w:rsid w:val="004B7A4E"/>
    <w:rsid w:val="00570E8B"/>
    <w:rsid w:val="00586E52"/>
    <w:rsid w:val="005B1FD3"/>
    <w:rsid w:val="005C1D9B"/>
    <w:rsid w:val="005E065A"/>
    <w:rsid w:val="00632C3A"/>
    <w:rsid w:val="00634584"/>
    <w:rsid w:val="00676CA1"/>
    <w:rsid w:val="006D1BE2"/>
    <w:rsid w:val="006E0BCE"/>
    <w:rsid w:val="006E7B86"/>
    <w:rsid w:val="006F5EAF"/>
    <w:rsid w:val="00714810"/>
    <w:rsid w:val="007670E3"/>
    <w:rsid w:val="007852C0"/>
    <w:rsid w:val="007C6E0B"/>
    <w:rsid w:val="007D361E"/>
    <w:rsid w:val="007E0C4F"/>
    <w:rsid w:val="008F50A5"/>
    <w:rsid w:val="00901C52"/>
    <w:rsid w:val="00934538"/>
    <w:rsid w:val="00977580"/>
    <w:rsid w:val="009918AD"/>
    <w:rsid w:val="009A7BA6"/>
    <w:rsid w:val="009C1E31"/>
    <w:rsid w:val="009D750C"/>
    <w:rsid w:val="00A0468F"/>
    <w:rsid w:val="00A270E8"/>
    <w:rsid w:val="00B201D5"/>
    <w:rsid w:val="00BA2529"/>
    <w:rsid w:val="00BC335D"/>
    <w:rsid w:val="00BE2CF3"/>
    <w:rsid w:val="00C27B18"/>
    <w:rsid w:val="00C95BEC"/>
    <w:rsid w:val="00CA507D"/>
    <w:rsid w:val="00CC0A49"/>
    <w:rsid w:val="00D05D03"/>
    <w:rsid w:val="00D62683"/>
    <w:rsid w:val="00D829B7"/>
    <w:rsid w:val="00D967F6"/>
    <w:rsid w:val="00EB5991"/>
    <w:rsid w:val="00F07C44"/>
    <w:rsid w:val="00F46A30"/>
    <w:rsid w:val="00F66F35"/>
    <w:rsid w:val="00FA042B"/>
    <w:rsid w:val="00FA2DEC"/>
    <w:rsid w:val="00FD27D4"/>
    <w:rsid w:val="00FE1C0B"/>
    <w:rsid w:val="038B7E91"/>
    <w:rsid w:val="058A212B"/>
    <w:rsid w:val="05DE76DA"/>
    <w:rsid w:val="068C0229"/>
    <w:rsid w:val="081E4C7B"/>
    <w:rsid w:val="095877FB"/>
    <w:rsid w:val="09FA512F"/>
    <w:rsid w:val="0A8B1E7E"/>
    <w:rsid w:val="0E1B1525"/>
    <w:rsid w:val="0FD37A5D"/>
    <w:rsid w:val="14323A34"/>
    <w:rsid w:val="16FDAC10"/>
    <w:rsid w:val="192545D7"/>
    <w:rsid w:val="198B041B"/>
    <w:rsid w:val="19DE1447"/>
    <w:rsid w:val="1A650A5E"/>
    <w:rsid w:val="1D555A00"/>
    <w:rsid w:val="1D647AB1"/>
    <w:rsid w:val="1E3A112E"/>
    <w:rsid w:val="1F155CAA"/>
    <w:rsid w:val="1F67C709"/>
    <w:rsid w:val="1FDF3322"/>
    <w:rsid w:val="1FFFF1D3"/>
    <w:rsid w:val="200E27D6"/>
    <w:rsid w:val="210D328C"/>
    <w:rsid w:val="21F81FE4"/>
    <w:rsid w:val="22246B3D"/>
    <w:rsid w:val="227C0B27"/>
    <w:rsid w:val="24CD754C"/>
    <w:rsid w:val="25EC59D7"/>
    <w:rsid w:val="269815D8"/>
    <w:rsid w:val="279F4769"/>
    <w:rsid w:val="2A2076E2"/>
    <w:rsid w:val="2D7F49AF"/>
    <w:rsid w:val="2EAD70E2"/>
    <w:rsid w:val="2F34F61D"/>
    <w:rsid w:val="31007295"/>
    <w:rsid w:val="31CB2AB9"/>
    <w:rsid w:val="31CFF851"/>
    <w:rsid w:val="31FD45D9"/>
    <w:rsid w:val="337568B6"/>
    <w:rsid w:val="339B04F1"/>
    <w:rsid w:val="3409770A"/>
    <w:rsid w:val="34605E55"/>
    <w:rsid w:val="34D27D81"/>
    <w:rsid w:val="35B06AB0"/>
    <w:rsid w:val="364F3426"/>
    <w:rsid w:val="36AA3DB9"/>
    <w:rsid w:val="3B267C6F"/>
    <w:rsid w:val="3CFD30CA"/>
    <w:rsid w:val="3D007EE7"/>
    <w:rsid w:val="3F9EAC60"/>
    <w:rsid w:val="40891248"/>
    <w:rsid w:val="42E21FC6"/>
    <w:rsid w:val="44DE75BA"/>
    <w:rsid w:val="45E83607"/>
    <w:rsid w:val="462C2BD2"/>
    <w:rsid w:val="472F6842"/>
    <w:rsid w:val="47417E4A"/>
    <w:rsid w:val="47AD4CB8"/>
    <w:rsid w:val="486D5114"/>
    <w:rsid w:val="48B06279"/>
    <w:rsid w:val="48C83D32"/>
    <w:rsid w:val="4929222F"/>
    <w:rsid w:val="4AF450FB"/>
    <w:rsid w:val="4D804C87"/>
    <w:rsid w:val="50043F9E"/>
    <w:rsid w:val="51C4280D"/>
    <w:rsid w:val="51FE09A5"/>
    <w:rsid w:val="54DA1D8C"/>
    <w:rsid w:val="5595225F"/>
    <w:rsid w:val="56FDEECC"/>
    <w:rsid w:val="58523E3C"/>
    <w:rsid w:val="593C4071"/>
    <w:rsid w:val="599A4EE0"/>
    <w:rsid w:val="59A02BBB"/>
    <w:rsid w:val="5D04562F"/>
    <w:rsid w:val="5EE32E23"/>
    <w:rsid w:val="5F694512"/>
    <w:rsid w:val="5FDD6009"/>
    <w:rsid w:val="5FEAD299"/>
    <w:rsid w:val="62083E51"/>
    <w:rsid w:val="6214122B"/>
    <w:rsid w:val="638F3266"/>
    <w:rsid w:val="64E93A2A"/>
    <w:rsid w:val="66AD345F"/>
    <w:rsid w:val="683B0B00"/>
    <w:rsid w:val="684C737E"/>
    <w:rsid w:val="6A024926"/>
    <w:rsid w:val="6A0E05F6"/>
    <w:rsid w:val="6FF77FD3"/>
    <w:rsid w:val="71644EF8"/>
    <w:rsid w:val="720D394F"/>
    <w:rsid w:val="73CC62F0"/>
    <w:rsid w:val="7537095A"/>
    <w:rsid w:val="76E16DCC"/>
    <w:rsid w:val="778B6FE8"/>
    <w:rsid w:val="78B12371"/>
    <w:rsid w:val="78EFDAC8"/>
    <w:rsid w:val="7AD11C65"/>
    <w:rsid w:val="7AEC944A"/>
    <w:rsid w:val="7B466132"/>
    <w:rsid w:val="7C400074"/>
    <w:rsid w:val="7C401E35"/>
    <w:rsid w:val="7C5B4DBC"/>
    <w:rsid w:val="7DACE454"/>
    <w:rsid w:val="7DEB9B35"/>
    <w:rsid w:val="7DFC5C81"/>
    <w:rsid w:val="7ED83EFD"/>
    <w:rsid w:val="7EEE92E3"/>
    <w:rsid w:val="7F4BDC71"/>
    <w:rsid w:val="7F7C3722"/>
    <w:rsid w:val="7FDA0BB3"/>
    <w:rsid w:val="7FE01A34"/>
    <w:rsid w:val="7FF44423"/>
    <w:rsid w:val="7FF9A4ED"/>
    <w:rsid w:val="7FFD59DD"/>
    <w:rsid w:val="BDEFCFA5"/>
    <w:rsid w:val="BF6D2D17"/>
    <w:rsid w:val="BFF9257E"/>
    <w:rsid w:val="BFF9605E"/>
    <w:rsid w:val="CF4B523C"/>
    <w:rsid w:val="D555F394"/>
    <w:rsid w:val="D65F7BBE"/>
    <w:rsid w:val="EB3F3650"/>
    <w:rsid w:val="EFEF6361"/>
    <w:rsid w:val="F3E6815C"/>
    <w:rsid w:val="F593209C"/>
    <w:rsid w:val="F68D2AFB"/>
    <w:rsid w:val="F7FF1331"/>
    <w:rsid w:val="FD7F1422"/>
    <w:rsid w:val="FE6D3746"/>
    <w:rsid w:val="FEBFACEA"/>
    <w:rsid w:val="FF47DD3C"/>
    <w:rsid w:val="FFEFEC3D"/>
    <w:rsid w:val="FFFF8C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styleId="9">
    <w:name w:val="Emphasis"/>
    <w:basedOn w:val="7"/>
    <w:qFormat/>
    <w:uiPriority w:val="0"/>
    <w:rPr>
      <w:color w:val="CC0000"/>
    </w:rPr>
  </w:style>
  <w:style w:type="character" w:styleId="10">
    <w:name w:val="Hyperlink"/>
    <w:basedOn w:val="7"/>
    <w:qFormat/>
    <w:uiPriority w:val="0"/>
    <w:rPr>
      <w:color w:val="0000FF"/>
      <w:u w:val="single"/>
    </w:rPr>
  </w:style>
  <w:style w:type="character" w:customStyle="1" w:styleId="11">
    <w:name w:val="apple-style-span"/>
    <w:basedOn w:val="7"/>
    <w:qFormat/>
    <w:uiPriority w:val="0"/>
  </w:style>
  <w:style w:type="paragraph" w:customStyle="1" w:styleId="12">
    <w:name w:val="Char Char Char Char Char Char"/>
    <w:basedOn w:val="1"/>
    <w:qFormat/>
    <w:uiPriority w:val="0"/>
    <w:pPr>
      <w:widowControl/>
      <w:spacing w:after="160" w:line="240" w:lineRule="exact"/>
      <w:jc w:val="left"/>
    </w:pPr>
  </w:style>
  <w:style w:type="paragraph" w:customStyle="1" w:styleId="13">
    <w:name w:val="Char Char Char Char Char Char Char Char Char"/>
    <w:basedOn w:val="1"/>
    <w:qFormat/>
    <w:uiPriority w:val="0"/>
    <w:pPr>
      <w:widowControl/>
      <w:spacing w:after="160" w:line="240" w:lineRule="exact"/>
      <w:jc w:val="left"/>
    </w:pPr>
  </w:style>
  <w:style w:type="paragraph" w:customStyle="1" w:styleId="1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5">
    <w:name w:val="基本样式"/>
    <w:qFormat/>
    <w:uiPriority w:val="0"/>
    <w:pPr>
      <w:spacing w:line="560" w:lineRule="exact"/>
      <w:contextualSpacing/>
    </w:pPr>
    <w:rPr>
      <w:rFonts w:ascii="仿宋" w:hAnsi="仿宋" w:eastAsia="仿宋_GB2312" w:cs="Times New Roman"/>
      <w:kern w:val="2"/>
      <w:sz w:val="32"/>
      <w:szCs w:val="24"/>
      <w:lang w:val="en-US" w:eastAsia="zh-CN" w:bidi="ar-SA"/>
    </w:rPr>
  </w:style>
  <w:style w:type="paragraph" w:customStyle="1" w:styleId="16">
    <w:name w:val="公文标题"/>
    <w:basedOn w:val="15"/>
    <w:qFormat/>
    <w:uiPriority w:val="0"/>
    <w:pPr>
      <w:jc w:val="center"/>
    </w:pPr>
    <w:rPr>
      <w:rFonts w:ascii="方正小标宋简体" w:eastAsia="方正小标宋简体"/>
      <w:sz w:val="44"/>
    </w:rPr>
  </w:style>
  <w:style w:type="paragraph" w:customStyle="1" w:styleId="17">
    <w:name w:val="主送机关"/>
    <w:basedOn w:val="15"/>
    <w:qFormat/>
    <w:uiPriority w:val="0"/>
  </w:style>
  <w:style w:type="character" w:customStyle="1" w:styleId="18">
    <w:name w:val="apple-converted-space"/>
    <w:basedOn w:val="7"/>
    <w:qFormat/>
    <w:uiPriority w:val="0"/>
  </w:style>
  <w:style w:type="paragraph" w:customStyle="1" w:styleId="19">
    <w:name w:val="p0"/>
    <w:basedOn w:val="1"/>
    <w:qFormat/>
    <w:uiPriority w:val="0"/>
    <w:pPr>
      <w:widowControl/>
    </w:pPr>
    <w:rPr>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9"/>
    <customShpInfo spid="_x0000_s4100"/>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578</Words>
  <Characters>134</Characters>
  <Lines>1</Lines>
  <Paragraphs>1</Paragraphs>
  <TotalTime>2</TotalTime>
  <ScaleCrop>false</ScaleCrop>
  <LinksUpToDate>false</LinksUpToDate>
  <CharactersWithSpaces>711</CharactersWithSpaces>
  <Application>WPS Office_11.8.2.1112_F1E327BC-269C-435d-A152-05C5408002CA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2018-01-17T02:52:00Z</dcterms:created>
  <dc:creator>2318</dc:creator>
  <cp:lastModifiedBy>uos</cp:lastModifiedBy>
  <cp:lastPrinted>2023-04-30T17:10:00Z</cp:lastPrinted>
  <dcterms:modified xsi:type="dcterms:W3CDTF">2023-05-04T16:11:32Z</dcterms:modified>
  <dc:title>粤扶办〔2016〕89号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2052-11.8.2.1112</vt:lpwstr>
  </property>
</Properties>
</file>