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方正小标宋_GBK" w:hAnsi="方正小标宋_GBK" w:eastAsia="方正小标宋_GBK" w:cs="方正小标宋_GBK"/>
          <w:b w:val="0"/>
          <w:bCs w:val="0"/>
          <w:sz w:val="44"/>
          <w:szCs w:val="44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方正小标宋_GBK" w:hAnsi="方正小标宋_GBK" w:eastAsia="方正小标宋_GBK" w:cs="方正小标宋_GBK"/>
          <w:b w:val="0"/>
          <w:bCs w:val="0"/>
          <w:sz w:val="44"/>
          <w:szCs w:val="44"/>
        </w:rPr>
      </w:pPr>
      <w:r>
        <w:rPr>
          <w:rFonts w:hint="eastAsia" w:ascii="方正小标宋_GBK" w:hAnsi="方正小标宋_GBK" w:eastAsia="方正小标宋_GBK" w:cs="方正小标宋_GBK"/>
          <w:b w:val="0"/>
          <w:bCs w:val="0"/>
          <w:sz w:val="44"/>
          <w:szCs w:val="44"/>
        </w:rPr>
        <w:t>湛江市集中式地下水型饮用水水源补给区（第一批）划定方案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Times New Roman" w:hAnsi="Times New Roman" w:cs="Times New Roma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为贯彻落实《中华人民共和国水污染防治法》《地下水管理条例》《中共中央 国务院关于深入打好污染防治攻坚战的意见》等要求，加强地下水环境管理，保障地下型饮用水水源水质安全，根据《地下水型饮用水水源补给区划定技术指南（试行）》，结合我市实际，制定本划定方案。</w:t>
      </w:r>
    </w:p>
    <w:p>
      <w:pPr>
        <w:rPr>
          <w:rFonts w:ascii="Times New Roman" w:hAnsi="Times New Roman" w:cs="Times New Roman"/>
        </w:rPr>
      </w:pPr>
    </w:p>
    <w:p>
      <w:pPr>
        <w:numPr>
          <w:ilvl w:val="0"/>
          <w:numId w:val="0"/>
        </w:numPr>
        <w:ind w:firstLine="640" w:firstLineChars="200"/>
        <w:rPr>
          <w:rFonts w:hint="eastAsia" w:ascii="方正黑体_GBK" w:hAnsi="方正黑体_GBK" w:eastAsia="方正黑体_GBK" w:cs="方正黑体_GBK"/>
          <w:sz w:val="32"/>
          <w:szCs w:val="32"/>
          <w:lang w:eastAsia="zh-CN"/>
        </w:rPr>
      </w:pPr>
      <w:r>
        <w:rPr>
          <w:rFonts w:hint="eastAsia" w:ascii="方正黑体_GBK" w:hAnsi="方正黑体_GBK" w:eastAsia="方正黑体_GBK" w:cs="方正黑体_GBK"/>
          <w:sz w:val="32"/>
          <w:szCs w:val="32"/>
          <w:lang w:eastAsia="zh-CN"/>
        </w:rPr>
        <w:t>一、划定范围</w:t>
      </w:r>
    </w:p>
    <w:p>
      <w:pPr>
        <w:pStyle w:val="3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320" w:firstLineChars="100"/>
        <w:jc w:val="both"/>
        <w:textAlignment w:val="auto"/>
        <w:rPr>
          <w:rFonts w:hint="eastAsia" w:ascii="方正楷体_GBK" w:hAnsi="方正楷体_GBK" w:eastAsia="方正楷体_GBK" w:cs="方正楷体_GBK"/>
          <w:kern w:val="2"/>
          <w:sz w:val="32"/>
          <w:szCs w:val="32"/>
          <w:lang w:val="en-US" w:eastAsia="zh-CN" w:bidi="ar-SA"/>
        </w:rPr>
      </w:pPr>
      <w:r>
        <w:rPr>
          <w:rFonts w:hint="eastAsia" w:ascii="方正楷体_GBK" w:hAnsi="方正楷体_GBK" w:eastAsia="方正楷体_GBK" w:cs="方正楷体_GBK"/>
          <w:kern w:val="2"/>
          <w:sz w:val="32"/>
          <w:szCs w:val="32"/>
          <w:lang w:val="en-US" w:eastAsia="zh-CN" w:bidi="ar-SA"/>
        </w:rPr>
        <w:t>（一）</w:t>
      </w:r>
      <w:r>
        <w:rPr>
          <w:rFonts w:hint="eastAsia" w:ascii="方正楷体_GBK" w:hAnsi="方正楷体_GBK" w:eastAsia="方正楷体_GBK" w:cs="方正楷体_GBK"/>
          <w:sz w:val="32"/>
          <w:szCs w:val="32"/>
        </w:rPr>
        <w:t>麻章区湖光镇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临东水源地集中式地下</w:t>
      </w:r>
      <w:r>
        <w:rPr>
          <w:rFonts w:hint="eastAsia" w:ascii="方正仿宋_GBK" w:hAnsi="方正仿宋_GBK" w:eastAsia="方正仿宋_GBK" w:cs="方正仿宋_GBK"/>
          <w:color w:val="FF0000"/>
          <w:sz w:val="32"/>
          <w:szCs w:val="32"/>
          <w:lang w:val="en-US" w:eastAsia="zh-CN"/>
        </w:rPr>
        <w:t>水型饮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用水水源补给区范围：东部边界为白马宫-疏港大道，南部边界为临东村南田埂，西部边界为疏港大道，北部边界为环园绿道南，</w:t>
      </w:r>
      <w:r>
        <w:rPr>
          <w:rFonts w:hint="eastAsia" w:ascii="方正仿宋_GBK" w:hAnsi="方正仿宋_GBK" w:eastAsia="方正仿宋_GBK" w:cs="方正仿宋_GBK"/>
          <w:color w:val="FF0000"/>
          <w:sz w:val="32"/>
          <w:szCs w:val="32"/>
          <w:lang w:val="en-US" w:eastAsia="zh-CN"/>
        </w:rPr>
        <w:t>且扣除客路、祝美、司马、沙沟地下水饮用水一级水源保护区范围，面积为16.50 km</w:t>
      </w:r>
      <w:r>
        <w:rPr>
          <w:rFonts w:hint="eastAsia" w:ascii="方正仿宋_GBK" w:hAnsi="方正仿宋_GBK" w:eastAsia="方正仿宋_GBK" w:cs="方正仿宋_GBK"/>
          <w:color w:val="FF0000"/>
          <w:sz w:val="32"/>
          <w:szCs w:val="32"/>
          <w:vertAlign w:val="superscript"/>
          <w:lang w:val="en-US" w:eastAsia="zh-CN"/>
        </w:rPr>
        <w:t>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。</w:t>
      </w:r>
    </w:p>
    <w:p>
      <w:pPr>
        <w:pStyle w:val="3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320" w:firstLineChars="100"/>
        <w:jc w:val="both"/>
        <w:textAlignment w:val="auto"/>
        <w:rPr>
          <w:rFonts w:hint="eastAsia" w:ascii="方正楷体_GBK" w:hAnsi="方正楷体_GBK" w:eastAsia="方正楷体_GBK" w:cs="方正楷体_GBK"/>
          <w:kern w:val="2"/>
          <w:sz w:val="32"/>
          <w:szCs w:val="32"/>
          <w:lang w:val="en-US" w:eastAsia="zh-CN" w:bidi="ar-SA"/>
        </w:rPr>
      </w:pPr>
      <w:r>
        <w:rPr>
          <w:rFonts w:hint="eastAsia" w:ascii="方正楷体_GBK" w:hAnsi="方正楷体_GBK" w:eastAsia="方正楷体_GBK" w:cs="方正楷体_GBK"/>
          <w:kern w:val="2"/>
          <w:sz w:val="32"/>
          <w:szCs w:val="32"/>
          <w:lang w:val="en-US" w:eastAsia="zh-CN" w:bidi="ar-SA"/>
        </w:rPr>
        <w:t>（二）遂溪县城月镇</w:t>
      </w:r>
      <w:r>
        <w:rPr>
          <w:rFonts w:hint="eastAsia" w:ascii="方正楷体_GBK" w:hAnsi="方正楷体_GBK" w:eastAsia="方正楷体_GBK" w:cs="方正楷体_GBK"/>
          <w:kern w:val="2"/>
          <w:sz w:val="32"/>
          <w:szCs w:val="32"/>
          <w:lang w:val="en-US" w:eastAsia="zh-CN" w:bidi="ar-SA"/>
        </w:rPr>
        <w:tab/>
      </w:r>
    </w:p>
    <w:p>
      <w:pPr>
        <w:pStyle w:val="3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jc w:val="both"/>
        <w:textAlignment w:val="auto"/>
        <w:rPr>
          <w:rFonts w:hint="eastAsia"/>
          <w:lang w:eastAsia="zh-CN"/>
        </w:rPr>
      </w:pPr>
      <w:r>
        <w:rPr>
          <w:rFonts w:hint="eastAsia" w:ascii="方正仿宋_GBK" w:hAnsi="方正仿宋_GBK" w:eastAsia="方正仿宋_GBK" w:cs="方正仿宋_GBK"/>
          <w:kern w:val="2"/>
          <w:sz w:val="32"/>
          <w:szCs w:val="32"/>
          <w:lang w:val="en-US" w:eastAsia="zh-CN" w:bidi="ar-SA"/>
        </w:rPr>
        <w:t>城月镇水源地集中式地下</w:t>
      </w:r>
      <w:r>
        <w:rPr>
          <w:rFonts w:hint="eastAsia" w:ascii="方正仿宋_GBK" w:hAnsi="方正仿宋_GBK" w:eastAsia="方正仿宋_GBK" w:cs="方正仿宋_GBK"/>
          <w:color w:val="FF0000"/>
          <w:kern w:val="2"/>
          <w:sz w:val="32"/>
          <w:szCs w:val="32"/>
          <w:lang w:val="en-US" w:eastAsia="zh-CN" w:bidi="ar-SA"/>
        </w:rPr>
        <w:t>水型</w:t>
      </w:r>
      <w:r>
        <w:rPr>
          <w:rFonts w:hint="eastAsia" w:ascii="方正仿宋_GBK" w:hAnsi="方正仿宋_GBK" w:eastAsia="方正仿宋_GBK" w:cs="方正仿宋_GBK"/>
          <w:kern w:val="2"/>
          <w:sz w:val="32"/>
          <w:szCs w:val="32"/>
          <w:lang w:val="en-US" w:eastAsia="zh-CN" w:bidi="ar-SA"/>
        </w:rPr>
        <w:t>饮用水水源补给区：东部边界为G207国道，南部边界为城林大道，西部边界为遂溪县第二人民医院-城月敬老院，北部边界为溪村北公路，</w:t>
      </w:r>
      <w:r>
        <w:rPr>
          <w:rFonts w:hint="eastAsia" w:ascii="方正仿宋_GBK" w:hAnsi="方正仿宋_GBK" w:eastAsia="方正仿宋_GBK" w:cs="方正仿宋_GBK"/>
          <w:color w:val="FF0000"/>
          <w:kern w:val="2"/>
          <w:sz w:val="32"/>
          <w:szCs w:val="32"/>
          <w:lang w:val="en-US" w:eastAsia="zh-CN" w:bidi="ar-SA"/>
        </w:rPr>
        <w:t>且扣除城月镇集中式地下饮用水水源保护区一级保护区范围，面积3.50km</w:t>
      </w:r>
      <w:r>
        <w:rPr>
          <w:rFonts w:hint="eastAsia" w:ascii="方正仿宋_GBK" w:hAnsi="方正仿宋_GBK" w:eastAsia="方正仿宋_GBK" w:cs="方正仿宋_GBK"/>
          <w:color w:val="FF0000"/>
          <w:kern w:val="2"/>
          <w:sz w:val="32"/>
          <w:szCs w:val="32"/>
          <w:vertAlign w:val="superscript"/>
          <w:lang w:val="en-US" w:eastAsia="zh-CN" w:bidi="ar-SA"/>
        </w:rPr>
        <w:t>2</w:t>
      </w:r>
      <w:r>
        <w:rPr>
          <w:rFonts w:hint="eastAsia" w:ascii="方正仿宋_GBK" w:hAnsi="方正仿宋_GBK" w:eastAsia="方正仿宋_GBK" w:cs="方正仿宋_GBK"/>
          <w:color w:val="FF0000"/>
          <w:kern w:val="2"/>
          <w:sz w:val="32"/>
          <w:szCs w:val="32"/>
          <w:vertAlign w:val="baseline"/>
          <w:lang w:val="en-US" w:eastAsia="zh-CN" w:bidi="ar-SA"/>
        </w:rPr>
        <w:t>。</w:t>
      </w:r>
    </w:p>
    <w:p>
      <w:pPr>
        <w:pStyle w:val="3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Chars="0" w:firstLine="640" w:firstLineChars="200"/>
        <w:textAlignment w:val="auto"/>
        <w:rPr>
          <w:rFonts w:hint="eastAsia" w:ascii="方正黑体_GBK" w:hAnsi="方正黑体_GBK" w:eastAsia="方正黑体_GBK" w:cs="方正黑体_GBK"/>
          <w:sz w:val="32"/>
          <w:szCs w:val="32"/>
          <w:lang w:eastAsia="zh-CN"/>
        </w:rPr>
      </w:pPr>
      <w:r>
        <w:rPr>
          <w:rFonts w:hint="eastAsia" w:ascii="方正黑体_GBK" w:hAnsi="方正黑体_GBK" w:eastAsia="方正黑体_GBK" w:cs="方正黑体_GBK"/>
          <w:sz w:val="32"/>
          <w:szCs w:val="32"/>
          <w:lang w:eastAsia="zh-CN"/>
        </w:rPr>
        <w:t>二、管理要求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方正仿宋_GBK" w:hAnsi="方正仿宋_GBK" w:eastAsia="方正仿宋_GBK" w:cs="方正仿宋_GBK"/>
          <w:kern w:val="2"/>
          <w:sz w:val="32"/>
          <w:szCs w:val="32"/>
          <w:lang w:val="en-US" w:eastAsia="zh-CN" w:bidi="ar-SA"/>
        </w:rPr>
      </w:pPr>
      <w:r>
        <w:rPr>
          <w:rFonts w:hint="eastAsia" w:ascii="方正仿宋_GBK" w:hAnsi="方正仿宋_GBK" w:eastAsia="方正仿宋_GBK" w:cs="方正仿宋_GBK"/>
          <w:kern w:val="2"/>
          <w:sz w:val="32"/>
          <w:szCs w:val="32"/>
          <w:lang w:val="en-US" w:eastAsia="zh-CN" w:bidi="ar-SA"/>
        </w:rPr>
        <w:t>（一）禁止在地下水型饮用水水源补给区内新建、扩建对水体污染严重的建设项目；改建建设项目，不得增加排污量。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方正仿宋_GBK" w:hAnsi="方正仿宋_GBK" w:eastAsia="方正仿宋_GBK" w:cs="方正仿宋_GBK"/>
          <w:kern w:val="2"/>
          <w:sz w:val="32"/>
          <w:szCs w:val="32"/>
          <w:lang w:val="en-US" w:eastAsia="zh-CN" w:bidi="ar-SA"/>
        </w:rPr>
      </w:pPr>
      <w:r>
        <w:rPr>
          <w:rFonts w:hint="eastAsia" w:ascii="方正仿宋_GBK" w:hAnsi="方正仿宋_GBK" w:eastAsia="方正仿宋_GBK" w:cs="方正仿宋_GBK"/>
          <w:kern w:val="2"/>
          <w:sz w:val="32"/>
          <w:szCs w:val="32"/>
          <w:lang w:val="en-US" w:eastAsia="zh-CN" w:bidi="ar-SA"/>
        </w:rPr>
        <w:t>（二）禁止建设城市垃圾、粪便和易溶、有毒有害废物的堆放场所，因特殊需要建立转运站的必须经有关部门批准并采取防渗漏措施；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方正仿宋_GBK" w:hAnsi="方正仿宋_GBK" w:eastAsia="方正仿宋_GBK" w:cs="方正仿宋_GBK"/>
          <w:kern w:val="2"/>
          <w:sz w:val="32"/>
          <w:szCs w:val="32"/>
          <w:lang w:val="en-US" w:eastAsia="zh-CN" w:bidi="ar-SA"/>
        </w:rPr>
      </w:pPr>
      <w:r>
        <w:rPr>
          <w:rFonts w:hint="eastAsia" w:ascii="方正仿宋_GBK" w:hAnsi="方正仿宋_GBK" w:eastAsia="方正仿宋_GBK" w:cs="方正仿宋_GBK"/>
          <w:kern w:val="2"/>
          <w:sz w:val="32"/>
          <w:szCs w:val="32"/>
          <w:lang w:val="en-US" w:eastAsia="zh-CN" w:bidi="ar-SA"/>
        </w:rPr>
        <w:t>（三）化工原料、矿物油类及有毒有害矿产品的堆放场所必须有防雨、防渗措施；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方正仿宋_GBK" w:hAnsi="方正仿宋_GBK" w:eastAsia="方正仿宋_GBK" w:cs="方正仿宋_GBK"/>
          <w:kern w:val="2"/>
          <w:sz w:val="32"/>
          <w:szCs w:val="32"/>
          <w:lang w:val="en-US" w:eastAsia="zh-CN" w:bidi="ar-SA"/>
        </w:rPr>
      </w:pPr>
      <w:r>
        <w:rPr>
          <w:rFonts w:hint="eastAsia" w:ascii="方正仿宋_GBK" w:hAnsi="方正仿宋_GBK" w:eastAsia="方正仿宋_GBK" w:cs="方正仿宋_GBK"/>
          <w:kern w:val="2"/>
          <w:sz w:val="32"/>
          <w:szCs w:val="32"/>
          <w:lang w:val="en-US" w:eastAsia="zh-CN" w:bidi="ar-SA"/>
        </w:rPr>
        <w:t>（四）不得使用不符合GB5084的污水进行灌溉。其余技术要求参照HJ 773执行。</w:t>
      </w:r>
    </w:p>
    <w:p>
      <w:pPr>
        <w:pStyle w:val="3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jc w:val="both"/>
        <w:textAlignment w:val="auto"/>
        <w:rPr>
          <w:rFonts w:hint="eastAsia" w:ascii="方正仿宋_GBK" w:hAnsi="方正仿宋_GBK" w:eastAsia="方正仿宋_GBK" w:cs="方正仿宋_GBK"/>
          <w:kern w:val="2"/>
          <w:sz w:val="32"/>
          <w:szCs w:val="32"/>
          <w:lang w:val="en-US" w:eastAsia="zh-CN" w:bidi="ar-SA"/>
        </w:rPr>
      </w:pPr>
      <w:r>
        <w:rPr>
          <w:rFonts w:hint="eastAsia" w:ascii="方正仿宋_GBK" w:hAnsi="方正仿宋_GBK" w:eastAsia="方正仿宋_GBK" w:cs="方正仿宋_GBK"/>
          <w:kern w:val="2"/>
          <w:sz w:val="32"/>
          <w:szCs w:val="32"/>
          <w:lang w:val="en-US" w:eastAsia="zh-CN" w:bidi="ar-SA"/>
        </w:rPr>
        <w:t>（五）若扣除天然背景值影响后，补给区内</w:t>
      </w:r>
      <w:r>
        <w:rPr>
          <w:rFonts w:hint="eastAsia" w:ascii="方正仿宋_GBK" w:hAnsi="方正仿宋_GBK" w:eastAsia="方正仿宋_GBK" w:cs="方正仿宋_GBK"/>
          <w:color w:val="FF0000"/>
          <w:kern w:val="2"/>
          <w:sz w:val="32"/>
          <w:szCs w:val="32"/>
          <w:lang w:val="en-US" w:eastAsia="zh-CN" w:bidi="ar-SA"/>
        </w:rPr>
        <w:t>水井</w:t>
      </w:r>
      <w:r>
        <w:rPr>
          <w:rFonts w:hint="eastAsia" w:ascii="方正仿宋_GBK" w:hAnsi="方正仿宋_GBK" w:eastAsia="方正仿宋_GBK" w:cs="方正仿宋_GBK"/>
          <w:kern w:val="2"/>
          <w:sz w:val="32"/>
          <w:szCs w:val="32"/>
          <w:lang w:val="en-US" w:eastAsia="zh-CN" w:bidi="ar-SA"/>
        </w:rPr>
        <w:t>监测结果显示未能达到III类水质标准要求的，应制定水质达标方案或采取相应修复或风险管控措施，确保取水口水质稳定达标。</w:t>
      </w:r>
    </w:p>
    <w:p>
      <w:pPr>
        <w:ind w:firstLine="640" w:firstLineChars="200"/>
        <w:rPr>
          <w:rFonts w:hint="eastAsia" w:ascii="方正黑体_GBK" w:hAnsi="方正黑体_GBK" w:eastAsia="方正黑体_GBK" w:cs="方正黑体_GBK"/>
          <w:sz w:val="32"/>
          <w:szCs w:val="32"/>
          <w:lang w:eastAsia="zh-CN"/>
        </w:rPr>
      </w:pPr>
      <w:r>
        <w:rPr>
          <w:rFonts w:hint="eastAsia" w:ascii="方正黑体_GBK" w:hAnsi="方正黑体_GBK" w:eastAsia="方正黑体_GBK" w:cs="方正黑体_GBK"/>
          <w:sz w:val="32"/>
          <w:szCs w:val="32"/>
          <w:lang w:eastAsia="zh-CN"/>
        </w:rPr>
        <w:t>三、相关说明</w:t>
      </w:r>
    </w:p>
    <w:p>
      <w:pPr>
        <w:ind w:firstLine="640" w:firstLineChars="200"/>
        <w:rPr>
          <w:rFonts w:hint="default" w:ascii="方正仿宋_GBK" w:hAnsi="方正仿宋_GBK" w:eastAsia="方正仿宋_GBK" w:cs="方正仿宋_GBK"/>
          <w:kern w:val="2"/>
          <w:sz w:val="32"/>
          <w:szCs w:val="32"/>
          <w:lang w:val="en-US" w:eastAsia="zh-CN" w:bidi="ar-SA"/>
        </w:rPr>
      </w:pPr>
      <w:r>
        <w:rPr>
          <w:rFonts w:hint="eastAsia" w:ascii="方正仿宋_GBK" w:hAnsi="方正仿宋_GBK" w:eastAsia="方正仿宋_GBK" w:cs="方正仿宋_GBK"/>
          <w:kern w:val="2"/>
          <w:sz w:val="32"/>
          <w:szCs w:val="32"/>
          <w:lang w:val="en-US" w:eastAsia="zh-CN" w:bidi="ar-SA"/>
        </w:rPr>
        <w:t>（一）根据HJ338要求，地下水型饮用水水源补给区划为饮用水水源准保护区，补给区地下水环境管理参照饮用水水源准保护区管理要求执行。</w:t>
      </w:r>
    </w:p>
    <w:p>
      <w:pPr>
        <w:pStyle w:val="3"/>
        <w:rPr>
          <w:rFonts w:hint="eastAsia" w:ascii="方正仿宋_GBK" w:hAnsi="方正仿宋_GBK" w:eastAsia="方正仿宋_GBK" w:cs="方正仿宋_GBK"/>
          <w:kern w:val="2"/>
          <w:sz w:val="32"/>
          <w:szCs w:val="32"/>
          <w:lang w:val="en-US" w:eastAsia="zh-CN" w:bidi="ar-SA"/>
        </w:rPr>
      </w:pPr>
      <w:r>
        <w:rPr>
          <w:rFonts w:hint="eastAsia" w:ascii="方正仿宋_GBK" w:hAnsi="方正仿宋_GBK" w:eastAsia="方正仿宋_GBK" w:cs="方正仿宋_GBK"/>
          <w:kern w:val="2"/>
          <w:sz w:val="32"/>
          <w:szCs w:val="32"/>
          <w:lang w:val="en-US" w:eastAsia="zh-CN" w:bidi="ar-SA"/>
        </w:rPr>
        <w:t>（二）根据生态环境部（环办土壤函〔2019〕770号）要求，地下水型饮用水水源补给区属于地下水污染防治重点区保护类区域，应纳入“三线一单”生态环境分区管控体系优先保护单元，相关管理要求从其规定。</w:t>
      </w:r>
    </w:p>
    <w:p>
      <w:pPr>
        <w:pStyle w:val="3"/>
        <w:rPr>
          <w:rFonts w:hint="eastAsia" w:ascii="方正仿宋_GBK" w:hAnsi="方正仿宋_GBK" w:eastAsia="方正仿宋_GBK" w:cs="方正仿宋_GBK"/>
          <w:kern w:val="2"/>
          <w:sz w:val="32"/>
          <w:szCs w:val="32"/>
          <w:lang w:val="en-US" w:eastAsia="zh-CN" w:bidi="ar-SA"/>
        </w:rPr>
      </w:pPr>
      <w:r>
        <w:rPr>
          <w:rFonts w:hint="eastAsia" w:ascii="方正仿宋_GBK" w:hAnsi="方正仿宋_GBK" w:eastAsia="方正仿宋_GBK" w:cs="方正仿宋_GBK"/>
          <w:kern w:val="2"/>
          <w:sz w:val="32"/>
          <w:szCs w:val="32"/>
          <w:lang w:val="en-US" w:eastAsia="zh-CN" w:bidi="ar-SA"/>
        </w:rPr>
        <w:t>（三）附件（地下水型饮用水水源补给区名称、定界点坐标等信息详见附表、附图）</w:t>
      </w:r>
    </w:p>
    <w:p>
      <w:pPr>
        <w:jc w:val="both"/>
        <w:rPr>
          <w:rFonts w:ascii="Times New Roman" w:hAnsi="Times New Roman" w:cs="Times New Roman"/>
          <w:b/>
          <w:bCs/>
          <w:sz w:val="24"/>
          <w:szCs w:val="32"/>
        </w:rPr>
      </w:pPr>
    </w:p>
    <w:p>
      <w:pPr>
        <w:jc w:val="both"/>
        <w:rPr>
          <w:rFonts w:ascii="Times New Roman" w:hAnsi="Times New Roman" w:cs="Times New Roman"/>
          <w:b/>
          <w:bCs/>
          <w:sz w:val="24"/>
        </w:rPr>
        <w:sectPr>
          <w:footerReference r:id="rId3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widowControl/>
        <w:jc w:val="center"/>
        <w:rPr>
          <w:rFonts w:hint="eastAsia" w:ascii="Times New Roman" w:hAnsi="Times New Roman" w:eastAsia="宋体" w:cs="Times New Roman"/>
          <w:sz w:val="22"/>
          <w:szCs w:val="28"/>
          <w:lang w:eastAsia="zh-CN"/>
        </w:rPr>
      </w:pPr>
      <w:r>
        <w:rPr>
          <w:rFonts w:hint="eastAsia" w:ascii="Times New Roman" w:hAnsi="Times New Roman" w:eastAsia="宋体" w:cs="Times New Roman"/>
          <w:b/>
          <w:bCs/>
          <w:color w:val="000000"/>
          <w:kern w:val="0"/>
          <w:sz w:val="28"/>
          <w:szCs w:val="28"/>
          <w:lang w:eastAsia="zh-CN" w:bidi="ar"/>
        </w:rPr>
        <w:t>附件</w:t>
      </w:r>
      <w:r>
        <w:rPr>
          <w:rFonts w:hint="eastAsia" w:ascii="Times New Roman" w:hAnsi="Times New Roman" w:eastAsia="宋体" w:cs="Times New Roman"/>
          <w:b/>
          <w:bCs/>
          <w:color w:val="000000"/>
          <w:kern w:val="0"/>
          <w:sz w:val="28"/>
          <w:szCs w:val="28"/>
          <w:lang w:val="en-US" w:eastAsia="zh-CN" w:bidi="ar"/>
        </w:rPr>
        <w:t xml:space="preserve">  </w:t>
      </w:r>
      <w:r>
        <w:rPr>
          <w:rFonts w:hint="eastAsia" w:ascii="Times New Roman" w:hAnsi="Times New Roman" w:eastAsia="宋体" w:cs="Times New Roman"/>
          <w:b/>
          <w:bCs/>
          <w:color w:val="000000"/>
          <w:kern w:val="0"/>
          <w:sz w:val="28"/>
          <w:szCs w:val="28"/>
          <w:lang w:bidi="ar"/>
        </w:rPr>
        <w:t>湛江市集中式地下水型饮用水水源补给区（第一批）</w:t>
      </w:r>
      <w:r>
        <w:rPr>
          <w:rFonts w:ascii="Times New Roman" w:hAnsi="Times New Roman" w:eastAsia="宋体" w:cs="Times New Roman"/>
          <w:b/>
          <w:bCs/>
          <w:color w:val="000000"/>
          <w:kern w:val="0"/>
          <w:sz w:val="28"/>
          <w:szCs w:val="28"/>
          <w:lang w:bidi="ar"/>
        </w:rPr>
        <w:t>划定方案</w:t>
      </w:r>
      <w:r>
        <w:rPr>
          <w:rFonts w:hint="eastAsia" w:ascii="Times New Roman" w:hAnsi="Times New Roman" w:eastAsia="宋体" w:cs="Times New Roman"/>
          <w:b/>
          <w:bCs/>
          <w:color w:val="000000"/>
          <w:kern w:val="0"/>
          <w:sz w:val="28"/>
          <w:szCs w:val="28"/>
          <w:lang w:eastAsia="zh-CN" w:bidi="ar"/>
        </w:rPr>
        <w:t>附表</w:t>
      </w:r>
    </w:p>
    <w:tbl>
      <w:tblPr>
        <w:tblStyle w:val="8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7"/>
        <w:gridCol w:w="883"/>
        <w:gridCol w:w="1344"/>
        <w:gridCol w:w="4253"/>
        <w:gridCol w:w="4325"/>
        <w:gridCol w:w="106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4" w:hRule="atLeast"/>
          <w:jc w:val="center"/>
        </w:trPr>
        <w:tc>
          <w:tcPr>
            <w:tcW w:w="397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2"/>
              </w:rPr>
            </w:pPr>
          </w:p>
        </w:tc>
        <w:tc>
          <w:tcPr>
            <w:tcW w:w="883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2"/>
              </w:rPr>
              <w:t>行政区</w:t>
            </w:r>
          </w:p>
        </w:tc>
        <w:tc>
          <w:tcPr>
            <w:tcW w:w="1344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2"/>
              </w:rPr>
              <w:t>补给区名称</w:t>
            </w:r>
          </w:p>
        </w:tc>
        <w:tc>
          <w:tcPr>
            <w:tcW w:w="4253" w:type="dxa"/>
            <w:vAlign w:val="center"/>
          </w:tcPr>
          <w:p>
            <w:pPr>
              <w:jc w:val="center"/>
              <w:rPr>
                <w:rFonts w:hint="eastAsia" w:ascii="Times New Roman" w:hAnsi="Times New Roman" w:cs="Times New Roman"/>
                <w:b/>
                <w:bCs/>
                <w:sz w:val="20"/>
                <w:szCs w:val="22"/>
              </w:rPr>
            </w:pPr>
            <w:r>
              <w:rPr>
                <w:rFonts w:hint="eastAsia" w:ascii="Times New Roman" w:hAnsi="Times New Roman" w:cs="Times New Roman"/>
                <w:b/>
                <w:bCs/>
                <w:sz w:val="20"/>
                <w:szCs w:val="22"/>
              </w:rPr>
              <w:t>补给区范围描述</w:t>
            </w:r>
          </w:p>
        </w:tc>
        <w:tc>
          <w:tcPr>
            <w:tcW w:w="4325" w:type="dxa"/>
            <w:vAlign w:val="center"/>
          </w:tcPr>
          <w:p>
            <w:pPr>
              <w:jc w:val="center"/>
              <w:rPr>
                <w:rFonts w:hint="eastAsia" w:ascii="Times New Roman" w:hAnsi="Times New Roman" w:cs="Times New Roman"/>
                <w:b/>
                <w:bCs/>
                <w:sz w:val="20"/>
                <w:szCs w:val="22"/>
              </w:rPr>
            </w:pPr>
            <w:r>
              <w:rPr>
                <w:rFonts w:hint="eastAsia" w:ascii="Times New Roman" w:hAnsi="Times New Roman" w:cs="Times New Roman"/>
                <w:b/>
                <w:bCs/>
                <w:sz w:val="20"/>
                <w:szCs w:val="22"/>
              </w:rPr>
              <w:t>定界点坐标</w:t>
            </w:r>
          </w:p>
        </w:tc>
        <w:tc>
          <w:tcPr>
            <w:tcW w:w="1062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2"/>
              </w:rPr>
              <w:t>面积(km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2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2"/>
              </w:rPr>
              <w:t>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4" w:hRule="atLeast"/>
          <w:jc w:val="center"/>
        </w:trPr>
        <w:tc>
          <w:tcPr>
            <w:tcW w:w="397" w:type="dxa"/>
            <w:vAlign w:val="center"/>
          </w:tcPr>
          <w:p>
            <w:pPr>
              <w:jc w:val="center"/>
              <w:rPr>
                <w:rFonts w:hint="eastAsia" w:ascii="Times New Roman" w:hAnsi="Times New Roman" w:cs="Times New Roman" w:eastAsiaTheme="minorEastAsia"/>
                <w:b/>
                <w:bCs/>
                <w:sz w:val="20"/>
                <w:szCs w:val="22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b/>
                <w:bCs/>
                <w:sz w:val="20"/>
                <w:szCs w:val="22"/>
                <w:lang w:val="en-US" w:eastAsia="zh-CN"/>
              </w:rPr>
              <w:t>1</w:t>
            </w:r>
          </w:p>
        </w:tc>
        <w:tc>
          <w:tcPr>
            <w:tcW w:w="883" w:type="dxa"/>
            <w:vAlign w:val="center"/>
          </w:tcPr>
          <w:p>
            <w:pPr>
              <w:jc w:val="center"/>
              <w:rPr>
                <w:rFonts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ascii="Times New Roman" w:hAnsi="Times New Roman" w:cs="Times New Roman"/>
              </w:rPr>
              <w:t>湛江市麻章区湖光镇</w:t>
            </w:r>
          </w:p>
        </w:tc>
        <w:tc>
          <w:tcPr>
            <w:tcW w:w="1344" w:type="dxa"/>
            <w:vAlign w:val="center"/>
          </w:tcPr>
          <w:p>
            <w:pPr>
              <w:jc w:val="center"/>
              <w:rPr>
                <w:rFonts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ascii="Times New Roman" w:hAnsi="Times New Roman" w:cs="Times New Roman"/>
                <w:sz w:val="20"/>
                <w:szCs w:val="22"/>
              </w:rPr>
              <w:t>临东水源地集中式地下</w:t>
            </w:r>
            <w:r>
              <w:rPr>
                <w:rFonts w:hint="eastAsia" w:ascii="Times New Roman" w:hAnsi="Times New Roman" w:cs="Times New Roman"/>
                <w:color w:val="FF0000"/>
                <w:sz w:val="20"/>
                <w:szCs w:val="22"/>
                <w:lang w:eastAsia="zh-CN"/>
              </w:rPr>
              <w:t>水型</w:t>
            </w:r>
            <w:r>
              <w:rPr>
                <w:rFonts w:ascii="Times New Roman" w:hAnsi="Times New Roman" w:cs="Times New Roman"/>
                <w:sz w:val="20"/>
                <w:szCs w:val="22"/>
              </w:rPr>
              <w:t>饮用水水源补给区</w:t>
            </w:r>
          </w:p>
        </w:tc>
        <w:tc>
          <w:tcPr>
            <w:tcW w:w="4253" w:type="dxa"/>
            <w:vAlign w:val="center"/>
          </w:tcPr>
          <w:p>
            <w:pPr>
              <w:jc w:val="center"/>
              <w:rPr>
                <w:rFonts w:hint="eastAsia" w:ascii="Times New Roman" w:hAnsi="Times New Roman" w:cs="Times New Roman" w:eastAsiaTheme="minorEastAsia"/>
                <w:kern w:val="2"/>
                <w:sz w:val="20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cs="Times New Roman"/>
                <w:sz w:val="20"/>
                <w:szCs w:val="22"/>
              </w:rPr>
              <w:t>东部</w:t>
            </w:r>
            <w:r>
              <w:rPr>
                <w:rFonts w:hint="eastAsia" w:ascii="Times New Roman" w:hAnsi="Times New Roman" w:cs="Times New Roman"/>
                <w:sz w:val="20"/>
                <w:szCs w:val="22"/>
                <w:lang w:eastAsia="zh-CN"/>
              </w:rPr>
              <w:t>边界为</w:t>
            </w:r>
            <w:r>
              <w:rPr>
                <w:rFonts w:hint="eastAsia" w:ascii="Times New Roman" w:hAnsi="Times New Roman" w:cs="Times New Roman"/>
                <w:sz w:val="20"/>
                <w:szCs w:val="22"/>
              </w:rPr>
              <w:t>白马宫-疏港大道，南部</w:t>
            </w:r>
            <w:r>
              <w:rPr>
                <w:rFonts w:hint="eastAsia" w:ascii="Times New Roman" w:hAnsi="Times New Roman" w:cs="Times New Roman"/>
                <w:sz w:val="20"/>
                <w:szCs w:val="22"/>
                <w:lang w:eastAsia="zh-CN"/>
              </w:rPr>
              <w:t>边界为</w:t>
            </w:r>
            <w:r>
              <w:rPr>
                <w:rFonts w:hint="eastAsia" w:ascii="Times New Roman" w:hAnsi="Times New Roman" w:cs="Times New Roman"/>
                <w:sz w:val="20"/>
                <w:szCs w:val="22"/>
              </w:rPr>
              <w:t>临东村南田埂，西部</w:t>
            </w:r>
            <w:r>
              <w:rPr>
                <w:rFonts w:hint="eastAsia" w:ascii="Times New Roman" w:hAnsi="Times New Roman" w:cs="Times New Roman"/>
                <w:sz w:val="20"/>
                <w:szCs w:val="22"/>
                <w:lang w:eastAsia="zh-CN"/>
              </w:rPr>
              <w:t>边界为</w:t>
            </w:r>
            <w:r>
              <w:rPr>
                <w:rFonts w:hint="eastAsia" w:ascii="Times New Roman" w:hAnsi="Times New Roman" w:cs="Times New Roman"/>
                <w:sz w:val="20"/>
                <w:szCs w:val="22"/>
              </w:rPr>
              <w:t>疏港大道，北部</w:t>
            </w:r>
            <w:r>
              <w:rPr>
                <w:rFonts w:hint="eastAsia" w:ascii="Times New Roman" w:hAnsi="Times New Roman" w:cs="Times New Roman"/>
                <w:sz w:val="20"/>
                <w:szCs w:val="22"/>
                <w:lang w:eastAsia="zh-CN"/>
              </w:rPr>
              <w:t>边界为</w:t>
            </w:r>
            <w:r>
              <w:rPr>
                <w:rFonts w:hint="eastAsia" w:ascii="Times New Roman" w:hAnsi="Times New Roman" w:cs="Times New Roman"/>
                <w:sz w:val="20"/>
                <w:szCs w:val="22"/>
              </w:rPr>
              <w:t>环园绿道南</w:t>
            </w:r>
            <w:r>
              <w:rPr>
                <w:rFonts w:hint="eastAsia" w:ascii="Times New Roman" w:hAnsi="Times New Roman" w:cs="Times New Roman"/>
                <w:sz w:val="20"/>
                <w:szCs w:val="22"/>
                <w:lang w:eastAsia="zh-CN"/>
              </w:rPr>
              <w:t>，</w:t>
            </w:r>
            <w:r>
              <w:rPr>
                <w:rFonts w:hint="eastAsia" w:ascii="Times New Roman" w:hAnsi="Times New Roman" w:cs="Times New Roman"/>
                <w:color w:val="FF0000"/>
                <w:sz w:val="20"/>
                <w:szCs w:val="22"/>
                <w:lang w:eastAsia="zh-CN"/>
              </w:rPr>
              <w:t>且扣除客路、祝美、司马、沙沟地下水饮用水一级水源保护区范围。</w:t>
            </w:r>
          </w:p>
        </w:tc>
        <w:tc>
          <w:tcPr>
            <w:tcW w:w="4325" w:type="dxa"/>
            <w:vAlign w:val="center"/>
          </w:tcPr>
          <w:p>
            <w:pPr>
              <w:jc w:val="center"/>
              <w:rPr>
                <w:rFonts w:hint="eastAsia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ascii="Times New Roman" w:hAnsi="Times New Roman" w:cs="Times New Roman"/>
                <w:sz w:val="20"/>
                <w:szCs w:val="22"/>
              </w:rPr>
              <w:t>以坐标点（E 110.310348°、N 21.127746°、E 110.313458°、N 21.128061°、E 110.315770°、N 21.120461°、E 110.331733°、N 21.123183°、E 110.343558°、N 21.133820°、E 110.345534°、N 21.137176°、E 110.343568°、N 21.155264°、E 110.320039°、N 21.162947°、E 110.302423°、N 21.155933°）围成的外接多边形区域</w:t>
            </w:r>
          </w:p>
        </w:tc>
        <w:tc>
          <w:tcPr>
            <w:tcW w:w="1062" w:type="dxa"/>
            <w:vAlign w:val="center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ascii="Times New Roman" w:hAnsi="Times New Roman" w:cs="Times New Roman"/>
              </w:rPr>
              <w:t>16.</w:t>
            </w:r>
            <w:r>
              <w:rPr>
                <w:rFonts w:hint="eastAsia" w:ascii="Times New Roman" w:hAnsi="Times New Roman" w:cs="Times New Roman"/>
                <w:lang w:val="en-US" w:eastAsia="zh-CN"/>
              </w:rPr>
              <w:t>50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97" w:type="dxa"/>
            <w:vAlign w:val="center"/>
          </w:tcPr>
          <w:p>
            <w:pPr>
              <w:jc w:val="center"/>
              <w:rPr>
                <w:rFonts w:hint="eastAsia" w:ascii="Times New Roman" w:hAnsi="Times New Roman" w:cs="Times New Roman" w:eastAsiaTheme="minorEastAsia"/>
                <w:sz w:val="20"/>
                <w:szCs w:val="22"/>
                <w:lang w:eastAsia="zh-CN"/>
              </w:rPr>
            </w:pPr>
            <w:r>
              <w:rPr>
                <w:rFonts w:hint="eastAsia" w:ascii="Times New Roman" w:hAnsi="Times New Roman" w:cs="Times New Roman"/>
                <w:sz w:val="20"/>
                <w:szCs w:val="22"/>
                <w:lang w:val="en-US" w:eastAsia="zh-CN"/>
              </w:rPr>
              <w:t>2</w:t>
            </w:r>
          </w:p>
        </w:tc>
        <w:tc>
          <w:tcPr>
            <w:tcW w:w="883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>
              <w:rPr>
                <w:rFonts w:ascii="Times New Roman" w:hAnsi="Times New Roman" w:cs="Times New Roman"/>
                <w:sz w:val="20"/>
                <w:szCs w:val="22"/>
              </w:rPr>
              <w:t>遂溪县城月镇</w:t>
            </w:r>
          </w:p>
        </w:tc>
        <w:tc>
          <w:tcPr>
            <w:tcW w:w="1344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>
              <w:rPr>
                <w:rFonts w:ascii="Times New Roman" w:hAnsi="Times New Roman" w:cs="Times New Roman"/>
                <w:sz w:val="20"/>
                <w:szCs w:val="22"/>
              </w:rPr>
              <w:t>城月镇</w:t>
            </w:r>
            <w:r>
              <w:rPr>
                <w:rFonts w:hint="eastAsia" w:ascii="Times New Roman" w:hAnsi="Times New Roman" w:cs="Times New Roman"/>
                <w:sz w:val="20"/>
                <w:szCs w:val="22"/>
              </w:rPr>
              <w:t>水源地</w:t>
            </w:r>
            <w:r>
              <w:rPr>
                <w:rFonts w:ascii="Times New Roman" w:hAnsi="Times New Roman" w:cs="Times New Roman"/>
                <w:sz w:val="20"/>
                <w:szCs w:val="22"/>
              </w:rPr>
              <w:t>集中式地下</w:t>
            </w:r>
            <w:r>
              <w:rPr>
                <w:rFonts w:hint="eastAsia" w:ascii="Times New Roman" w:hAnsi="Times New Roman" w:cs="Times New Roman"/>
                <w:color w:val="FF0000"/>
                <w:sz w:val="20"/>
                <w:szCs w:val="22"/>
                <w:lang w:eastAsia="zh-CN"/>
              </w:rPr>
              <w:t>水型</w:t>
            </w:r>
            <w:r>
              <w:rPr>
                <w:rFonts w:ascii="Times New Roman" w:hAnsi="Times New Roman" w:cs="Times New Roman"/>
                <w:sz w:val="20"/>
                <w:szCs w:val="22"/>
              </w:rPr>
              <w:t>饮用水水源补给区</w:t>
            </w:r>
          </w:p>
        </w:tc>
        <w:tc>
          <w:tcPr>
            <w:tcW w:w="4253" w:type="dxa"/>
            <w:vAlign w:val="center"/>
          </w:tcPr>
          <w:p>
            <w:pPr>
              <w:jc w:val="center"/>
              <w:rPr>
                <w:rFonts w:hint="eastAsia" w:ascii="Times New Roman" w:hAnsi="Times New Roman" w:cs="Times New Roman" w:eastAsiaTheme="minorEastAsia"/>
                <w:sz w:val="20"/>
                <w:szCs w:val="22"/>
                <w:lang w:eastAsia="zh-CN"/>
              </w:rPr>
            </w:pPr>
            <w:r>
              <w:rPr>
                <w:rFonts w:hint="eastAsia" w:ascii="Times New Roman" w:hAnsi="Times New Roman" w:cs="Times New Roman"/>
                <w:sz w:val="20"/>
                <w:szCs w:val="22"/>
              </w:rPr>
              <w:t>东部</w:t>
            </w:r>
            <w:r>
              <w:rPr>
                <w:rFonts w:hint="eastAsia" w:ascii="Times New Roman" w:hAnsi="Times New Roman" w:cs="Times New Roman"/>
                <w:sz w:val="20"/>
                <w:szCs w:val="22"/>
                <w:lang w:eastAsia="zh-CN"/>
              </w:rPr>
              <w:t>边界为</w:t>
            </w:r>
            <w:r>
              <w:rPr>
                <w:rFonts w:hint="eastAsia" w:ascii="Times New Roman" w:hAnsi="Times New Roman" w:cs="Times New Roman"/>
                <w:sz w:val="20"/>
                <w:szCs w:val="22"/>
              </w:rPr>
              <w:t>G207国道</w:t>
            </w:r>
            <w:r>
              <w:rPr>
                <w:rFonts w:hint="eastAsia" w:ascii="Times New Roman" w:hAnsi="Times New Roman" w:cs="Times New Roman"/>
                <w:sz w:val="20"/>
                <w:szCs w:val="22"/>
                <w:lang w:eastAsia="zh-CN"/>
              </w:rPr>
              <w:t>，</w:t>
            </w:r>
            <w:r>
              <w:rPr>
                <w:rFonts w:hint="eastAsia" w:ascii="Times New Roman" w:hAnsi="Times New Roman" w:cs="Times New Roman"/>
                <w:sz w:val="20"/>
                <w:szCs w:val="22"/>
              </w:rPr>
              <w:t>南部</w:t>
            </w:r>
            <w:r>
              <w:rPr>
                <w:rFonts w:hint="eastAsia" w:ascii="Times New Roman" w:hAnsi="Times New Roman" w:cs="Times New Roman"/>
                <w:sz w:val="20"/>
                <w:szCs w:val="22"/>
                <w:lang w:eastAsia="zh-CN"/>
              </w:rPr>
              <w:t>边界为</w:t>
            </w:r>
            <w:r>
              <w:rPr>
                <w:rFonts w:hint="eastAsia" w:ascii="Times New Roman" w:hAnsi="Times New Roman" w:cs="Times New Roman"/>
                <w:sz w:val="20"/>
                <w:szCs w:val="22"/>
              </w:rPr>
              <w:t>城林大道，西部</w:t>
            </w:r>
            <w:r>
              <w:rPr>
                <w:rFonts w:hint="eastAsia" w:ascii="Times New Roman" w:hAnsi="Times New Roman" w:cs="Times New Roman"/>
                <w:sz w:val="20"/>
                <w:szCs w:val="22"/>
                <w:lang w:eastAsia="zh-CN"/>
              </w:rPr>
              <w:t>边界为</w:t>
            </w:r>
            <w:r>
              <w:rPr>
                <w:rFonts w:hint="eastAsia" w:ascii="Times New Roman" w:hAnsi="Times New Roman" w:cs="Times New Roman"/>
                <w:sz w:val="20"/>
                <w:szCs w:val="22"/>
              </w:rPr>
              <w:t>遂溪县第二人民医院-城月敬老院，北部</w:t>
            </w:r>
            <w:r>
              <w:rPr>
                <w:rFonts w:hint="eastAsia" w:ascii="Times New Roman" w:hAnsi="Times New Roman" w:cs="Times New Roman"/>
                <w:sz w:val="20"/>
                <w:szCs w:val="22"/>
                <w:lang w:eastAsia="zh-CN"/>
              </w:rPr>
              <w:t>边界为</w:t>
            </w:r>
            <w:r>
              <w:rPr>
                <w:rFonts w:hint="eastAsia" w:ascii="Times New Roman" w:hAnsi="Times New Roman" w:cs="Times New Roman"/>
                <w:sz w:val="20"/>
                <w:szCs w:val="22"/>
              </w:rPr>
              <w:t>溪村北公路</w:t>
            </w:r>
            <w:r>
              <w:rPr>
                <w:rFonts w:hint="eastAsia" w:ascii="Times New Roman" w:hAnsi="Times New Roman" w:cs="Times New Roman"/>
                <w:sz w:val="20"/>
                <w:szCs w:val="22"/>
                <w:lang w:eastAsia="zh-CN"/>
              </w:rPr>
              <w:t>，</w:t>
            </w:r>
            <w:r>
              <w:rPr>
                <w:rFonts w:hint="eastAsia" w:ascii="Times New Roman" w:hAnsi="Times New Roman" w:cs="Times New Roman"/>
                <w:color w:val="FF0000"/>
                <w:sz w:val="20"/>
                <w:szCs w:val="22"/>
                <w:lang w:eastAsia="zh-CN"/>
              </w:rPr>
              <w:t>且扣除城月镇集中式地下饮用水水源保护区一级保护区范围。</w:t>
            </w:r>
          </w:p>
        </w:tc>
        <w:tc>
          <w:tcPr>
            <w:tcW w:w="4325" w:type="dxa"/>
            <w:vAlign w:val="center"/>
          </w:tcPr>
          <w:p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0"/>
                <w:szCs w:val="22"/>
              </w:rPr>
              <w:t>以坐标点（E 110.069039°、N 21.164058°、E 110.071815°、N 21.168531°、E 110.083119°、N 21.176712°、E 110.090533°、N 21.185950°、E 110.084750°、N 21.190044°、E 110.081383°、N 21.190543°、E 110.074677°、N 21.189209°、E 110.071458°、N 21.183012°、E 110.067232°、N 21.178462°）围成的外接多边形区域</w:t>
            </w:r>
          </w:p>
        </w:tc>
        <w:tc>
          <w:tcPr>
            <w:tcW w:w="1062" w:type="dxa"/>
            <w:vAlign w:val="center"/>
          </w:tcPr>
          <w:p>
            <w:pPr>
              <w:jc w:val="center"/>
              <w:rPr>
                <w:rFonts w:hint="eastAsia" w:ascii="Times New Roman" w:hAnsi="Times New Roman" w:cs="Times New Roman" w:eastAsiaTheme="minorEastAsia"/>
                <w:sz w:val="20"/>
                <w:szCs w:val="22"/>
                <w:lang w:val="en-US" w:eastAsia="zh-CN"/>
              </w:rPr>
            </w:pPr>
            <w:r>
              <w:rPr>
                <w:rFonts w:ascii="Times New Roman" w:hAnsi="Times New Roman" w:cs="Times New Roman"/>
                <w:sz w:val="20"/>
                <w:szCs w:val="22"/>
              </w:rPr>
              <w:t>3.5</w:t>
            </w:r>
            <w:r>
              <w:rPr>
                <w:rFonts w:hint="eastAsia" w:ascii="Times New Roman" w:hAnsi="Times New Roman" w:cs="Times New Roman"/>
                <w:sz w:val="20"/>
                <w:szCs w:val="22"/>
                <w:lang w:val="en-US" w:eastAsia="zh-CN"/>
              </w:rPr>
              <w:t>0</w:t>
            </w:r>
          </w:p>
        </w:tc>
      </w:tr>
    </w:tbl>
    <w:p>
      <w:pPr>
        <w:widowControl/>
        <w:jc w:val="center"/>
        <w:rPr>
          <w:rFonts w:hint="eastAsia" w:ascii="Times New Roman" w:hAnsi="Times New Roman" w:eastAsia="宋体" w:cs="Times New Roman"/>
          <w:b/>
          <w:bCs/>
          <w:color w:val="000000"/>
          <w:kern w:val="0"/>
          <w:sz w:val="28"/>
          <w:szCs w:val="28"/>
          <w:lang w:bidi="ar"/>
        </w:rPr>
      </w:pPr>
    </w:p>
    <w:p>
      <w:pPr>
        <w:widowControl/>
        <w:jc w:val="center"/>
        <w:rPr>
          <w:rFonts w:hint="eastAsia" w:ascii="Times New Roman" w:hAnsi="Times New Roman" w:eastAsia="宋体" w:cs="Times New Roman"/>
          <w:b/>
          <w:bCs/>
          <w:color w:val="000000"/>
          <w:kern w:val="0"/>
          <w:sz w:val="28"/>
          <w:szCs w:val="28"/>
          <w:lang w:bidi="ar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439420</wp:posOffset>
            </wp:positionH>
            <wp:positionV relativeFrom="paragraph">
              <wp:posOffset>-34925</wp:posOffset>
            </wp:positionV>
            <wp:extent cx="8068945" cy="5881370"/>
            <wp:effectExtent l="0" t="0" r="8255" b="5080"/>
            <wp:wrapNone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068945" cy="588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1478915</wp:posOffset>
                </wp:positionH>
                <wp:positionV relativeFrom="paragraph">
                  <wp:posOffset>-470535</wp:posOffset>
                </wp:positionV>
                <wp:extent cx="6248400" cy="704850"/>
                <wp:effectExtent l="0" t="0" r="0" b="0"/>
                <wp:wrapNone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48400" cy="704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widowControl/>
                              <w:jc w:val="center"/>
                              <w:rPr>
                                <w:rFonts w:hint="eastAsia" w:ascii="Times New Roman" w:hAnsi="Times New Roman" w:eastAsia="宋体" w:cs="Times New Roman"/>
                                <w:sz w:val="22"/>
                                <w:szCs w:val="2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b/>
                                <w:bCs/>
                                <w:color w:val="000000"/>
                                <w:kern w:val="0"/>
                                <w:sz w:val="28"/>
                                <w:szCs w:val="28"/>
                                <w:lang w:bidi="ar"/>
                              </w:rPr>
                              <w:t>湛江市集中式地下水型饮用水水源补给区（第一批）</w:t>
                            </w:r>
                            <w:r>
                              <w:rPr>
                                <w:rFonts w:ascii="Times New Roman" w:hAnsi="Times New Roman" w:eastAsia="宋体" w:cs="Times New Roman"/>
                                <w:b/>
                                <w:bCs/>
                                <w:color w:val="000000"/>
                                <w:kern w:val="0"/>
                                <w:sz w:val="28"/>
                                <w:szCs w:val="28"/>
                                <w:lang w:bidi="ar"/>
                              </w:rPr>
                              <w:t>划定方案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b/>
                                <w:bCs/>
                                <w:color w:val="000000"/>
                                <w:kern w:val="0"/>
                                <w:sz w:val="28"/>
                                <w:szCs w:val="28"/>
                                <w:lang w:eastAsia="zh-CN" w:bidi="ar"/>
                              </w:rPr>
                              <w:t>附图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16.45pt;margin-top:-37.05pt;height:55.5pt;width:492pt;z-index:251662336;mso-width-relative:page;mso-height-relative:page;" filled="f" stroked="f" coordsize="21600,21600" o:gfxdata="UEsFBgAAAAAAAAAAAAAAAAAAAAAAAFBLAwQKAAAAAACHTuJAAAAAAAAAAAAAAAAABAAAAGRycy9Q&#10;SwMEFAAAAAgAh07iQNRE6L3bAAAACwEAAA8AAABkcnMvZG93bnJldi54bWxNj01PwzAMhu9I/IfI&#10;SNy2tB2MUZpOqNKEhNhhYxduaeO1FYlTmuwDfj3eCU6W7UevHxfLs7PiiGPoPSlIpwkIpMabnloF&#10;u/fVZAEiRE1GW0+o4BsDLMvrq0Lnxp9og8dtbAWHUMi1gi7GIZcyNB06HaZ+QOLd3o9OR27HVppR&#10;nzjcWZklyVw63RNf6PSAVYfN5/bgFLxWq7Xe1Jlb/Njq5W3/PHztPu6Vur1JkycQEc/xD4aLPqtD&#10;yU61P5AJwirIZtkjowomD3cpiAuRpXMe1QpmXGVZyP8/lL9QSwMEFAAAAAgAh07iQJW1+T4dAgAA&#10;GAQAAA4AAABkcnMvZTJvRG9jLnhtbK1TzY7TMBC+I/EOlu80aenulqrpquyqCGnFrlQQZ9exm0i2&#10;x9huk/IA8AZ74sKd5+pzMHbSbvk5IS7OeL7J/HzzeXbdakV2wvkaTEGHg5wSYTiUtdkU9MP75YsJ&#10;JT4wUzIFRhR0Lzy9nj9/NmvsVIygAlUKRzCJ8dPGFrQKwU6zzPNKaOYHYIVBUILTLODVbbLSsQaz&#10;a5WN8vwya8CV1gEX3qP3tgPpPOWXUvBwL6UXgaiCYm8hnS6d63hm8xmbbhyzVc37Ntg/dKFZbbDo&#10;KdUtC4xsXf1HKl1zBx5kGHDQGUhZc5FmwGmG+W/TrCpmRZoFyfH2RJP/f2n5u92DI3WJu6PEMI0r&#10;Ojx+PXz7cfj+hQwjPY31U4xaWYwL7WtoY2jv9+iMU7fS6fjFeQjiSPT+RK5oA+HovByNJ+McIY7Y&#10;VT6eXCT2s6e/rfPhjQBNolFQh8tLnLLdnQ9YEUOPIbGYgWWtVFqgMqTBCi8x5S8I/qEM/hhn6HqN&#10;VmjXbT/AGso9zuWgE4a3fFlj8TvmwwNzqATsF9Ud7vGQCrAI9BYlFbjPf/PHeFwQopQ0qKyC+k9b&#10;5gQl6q3B1b0ajsdRiukyvrga4cWdI+tzxGz1DaB4cT3YXTJjfFBHUzrQH/ERLGJVhJjhWLug4Wje&#10;hE7v+Ii4WCxSEIrPsnBnVpbH1B1pi20AWSemI00dNz17KL+0gP6pRH2f31PU04Oe/wR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nBAAAW0NvbnRl&#10;bnRfVHlwZXNdLnhtbFBLAQIUAAoAAAAAAIdO4kAAAAAAAAAAAAAAAAAGAAAAAAAAAAAAEAAAAIkD&#10;AABfcmVscy9QSwECFAAUAAAACACHTuJAihRmPNEAAACUAQAACwAAAAAAAAABACAAAACtAwAAX3Jl&#10;bHMvLnJlbHNQSwECFAAKAAAAAACHTuJAAAAAAAAAAAAAAAAABAAAAAAAAAAAABAAAAAWAAAAZHJz&#10;L1BLAQIUABQAAAAIAIdO4kDUROi92wAAAAsBAAAPAAAAAAAAAAEAIAAAADgAAABkcnMvZG93bnJl&#10;di54bWxQSwECFAAUAAAACACHTuJAlbX5Ph0CAAAYBAAADgAAAAAAAAABACAAAABAAQAAZHJzL2Uy&#10;b0RvYy54bWxQSwUGAAAAAAYABgBZAQAAz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widowControl/>
                        <w:jc w:val="center"/>
                        <w:rPr>
                          <w:rFonts w:hint="eastAsia" w:ascii="Times New Roman" w:hAnsi="Times New Roman" w:eastAsia="宋体" w:cs="Times New Roman"/>
                          <w:sz w:val="22"/>
                          <w:szCs w:val="28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b/>
                          <w:bCs/>
                          <w:color w:val="000000"/>
                          <w:kern w:val="0"/>
                          <w:sz w:val="28"/>
                          <w:szCs w:val="28"/>
                          <w:lang w:bidi="ar"/>
                        </w:rPr>
                        <w:t>湛江市集中式地下水型饮用水水源补给区（第一批）</w:t>
                      </w:r>
                      <w:r>
                        <w:rPr>
                          <w:rFonts w:ascii="Times New Roman" w:hAnsi="Times New Roman" w:eastAsia="宋体" w:cs="Times New Roman"/>
                          <w:b/>
                          <w:bCs/>
                          <w:color w:val="000000"/>
                          <w:kern w:val="0"/>
                          <w:sz w:val="28"/>
                          <w:szCs w:val="28"/>
                          <w:lang w:bidi="ar"/>
                        </w:rPr>
                        <w:t>划定方案</w:t>
                      </w:r>
                      <w:r>
                        <w:rPr>
                          <w:rFonts w:hint="eastAsia" w:ascii="Times New Roman" w:hAnsi="Times New Roman" w:eastAsia="宋体" w:cs="Times New Roman"/>
                          <w:b/>
                          <w:bCs/>
                          <w:color w:val="000000"/>
                          <w:kern w:val="0"/>
                          <w:sz w:val="28"/>
                          <w:szCs w:val="28"/>
                          <w:lang w:eastAsia="zh-CN" w:bidi="ar"/>
                        </w:rPr>
                        <w:t>附图</w:t>
                      </w:r>
                    </w:p>
                    <w:p/>
                  </w:txbxContent>
                </v:textbox>
              </v:shape>
            </w:pict>
          </mc:Fallback>
        </mc:AlternateContent>
      </w:r>
    </w:p>
    <w:p>
      <w:pPr>
        <w:widowControl/>
        <w:jc w:val="center"/>
        <w:rPr>
          <w:rFonts w:hint="eastAsia" w:ascii="Times New Roman" w:hAnsi="Times New Roman" w:eastAsia="宋体" w:cs="Times New Roman"/>
          <w:b/>
          <w:bCs/>
          <w:color w:val="000000"/>
          <w:kern w:val="0"/>
          <w:sz w:val="28"/>
          <w:szCs w:val="28"/>
          <w:lang w:bidi="ar"/>
        </w:rPr>
      </w:pPr>
    </w:p>
    <w:p>
      <w:pPr>
        <w:widowControl/>
        <w:jc w:val="center"/>
        <w:rPr>
          <w:rFonts w:hint="eastAsia" w:ascii="Times New Roman" w:hAnsi="Times New Roman" w:eastAsia="宋体" w:cs="Times New Roman"/>
          <w:b/>
          <w:bCs/>
          <w:color w:val="000000"/>
          <w:kern w:val="0"/>
          <w:sz w:val="28"/>
          <w:szCs w:val="28"/>
          <w:lang w:eastAsia="zh-CN" w:bidi="ar"/>
        </w:rPr>
      </w:pPr>
    </w:p>
    <w:p>
      <w:pPr>
        <w:widowControl/>
        <w:jc w:val="center"/>
        <w:rPr>
          <w:rFonts w:hint="eastAsia" w:ascii="Times New Roman" w:hAnsi="Times New Roman" w:eastAsia="宋体" w:cs="Times New Roman"/>
          <w:b/>
          <w:bCs/>
          <w:color w:val="000000"/>
          <w:kern w:val="0"/>
          <w:sz w:val="28"/>
          <w:szCs w:val="28"/>
          <w:lang w:bidi="ar"/>
        </w:rPr>
      </w:pPr>
    </w:p>
    <w:p>
      <w:pPr>
        <w:widowControl/>
        <w:jc w:val="center"/>
        <w:rPr>
          <w:rFonts w:hint="eastAsia" w:ascii="Times New Roman" w:hAnsi="Times New Roman" w:eastAsia="宋体" w:cs="Times New Roman"/>
          <w:b/>
          <w:bCs/>
          <w:color w:val="000000"/>
          <w:kern w:val="0"/>
          <w:sz w:val="28"/>
          <w:szCs w:val="28"/>
          <w:lang w:bidi="ar"/>
        </w:rPr>
      </w:pPr>
    </w:p>
    <w:p>
      <w:pPr>
        <w:widowControl/>
        <w:jc w:val="center"/>
        <w:rPr>
          <w:rFonts w:hint="eastAsia" w:ascii="Times New Roman" w:hAnsi="Times New Roman" w:eastAsia="宋体" w:cs="Times New Roman"/>
          <w:b/>
          <w:bCs/>
          <w:color w:val="000000"/>
          <w:kern w:val="0"/>
          <w:sz w:val="28"/>
          <w:szCs w:val="28"/>
          <w:lang w:bidi="ar"/>
        </w:rPr>
      </w:pPr>
    </w:p>
    <w:p>
      <w:pPr>
        <w:widowControl/>
        <w:jc w:val="center"/>
        <w:rPr>
          <w:rFonts w:hint="eastAsia" w:ascii="Times New Roman" w:hAnsi="Times New Roman" w:eastAsia="宋体" w:cs="Times New Roman"/>
          <w:b/>
          <w:bCs/>
          <w:color w:val="000000"/>
          <w:kern w:val="0"/>
          <w:sz w:val="28"/>
          <w:szCs w:val="28"/>
          <w:lang w:bidi="ar"/>
        </w:rPr>
      </w:pPr>
    </w:p>
    <w:p>
      <w:pPr>
        <w:widowControl/>
        <w:jc w:val="center"/>
        <w:rPr>
          <w:rFonts w:hint="eastAsia" w:ascii="Times New Roman" w:hAnsi="Times New Roman" w:eastAsia="宋体" w:cs="Times New Roman"/>
          <w:b/>
          <w:bCs/>
          <w:color w:val="000000"/>
          <w:kern w:val="0"/>
          <w:sz w:val="28"/>
          <w:szCs w:val="28"/>
          <w:lang w:bidi="ar"/>
        </w:rPr>
      </w:pPr>
    </w:p>
    <w:p>
      <w:pPr>
        <w:widowControl/>
        <w:jc w:val="center"/>
        <w:rPr>
          <w:rFonts w:hint="eastAsia" w:ascii="Times New Roman" w:hAnsi="Times New Roman" w:eastAsia="宋体" w:cs="Times New Roman"/>
          <w:b/>
          <w:bCs/>
          <w:color w:val="000000"/>
          <w:kern w:val="0"/>
          <w:sz w:val="28"/>
          <w:szCs w:val="28"/>
          <w:lang w:bidi="ar"/>
        </w:rPr>
      </w:pPr>
    </w:p>
    <w:p>
      <w:pPr>
        <w:widowControl/>
        <w:jc w:val="center"/>
        <w:rPr>
          <w:rFonts w:hint="eastAsia" w:ascii="Times New Roman" w:hAnsi="Times New Roman" w:eastAsia="宋体" w:cs="Times New Roman"/>
          <w:b/>
          <w:bCs/>
          <w:color w:val="000000"/>
          <w:kern w:val="0"/>
          <w:sz w:val="28"/>
          <w:szCs w:val="28"/>
          <w:lang w:bidi="ar"/>
        </w:rPr>
      </w:pPr>
    </w:p>
    <w:p>
      <w:pPr>
        <w:widowControl/>
        <w:jc w:val="center"/>
        <w:rPr>
          <w:rFonts w:hint="eastAsia" w:ascii="Times New Roman" w:hAnsi="Times New Roman" w:eastAsia="宋体" w:cs="Times New Roman"/>
          <w:b/>
          <w:bCs/>
          <w:color w:val="000000"/>
          <w:kern w:val="0"/>
          <w:sz w:val="28"/>
          <w:szCs w:val="28"/>
          <w:lang w:bidi="ar"/>
        </w:rPr>
      </w:pPr>
    </w:p>
    <w:p>
      <w:pPr>
        <w:widowControl/>
        <w:jc w:val="center"/>
        <w:rPr>
          <w:rFonts w:hint="eastAsia" w:ascii="Times New Roman" w:hAnsi="Times New Roman" w:eastAsia="宋体" w:cs="Times New Roman"/>
          <w:b/>
          <w:bCs/>
          <w:color w:val="000000"/>
          <w:kern w:val="0"/>
          <w:sz w:val="28"/>
          <w:szCs w:val="28"/>
          <w:lang w:bidi="ar"/>
        </w:rPr>
      </w:pPr>
    </w:p>
    <w:p>
      <w:pPr>
        <w:widowControl/>
        <w:jc w:val="center"/>
        <w:rPr>
          <w:rFonts w:hint="eastAsia" w:ascii="Times New Roman" w:hAnsi="Times New Roman" w:eastAsia="宋体" w:cs="Times New Roman"/>
          <w:b/>
          <w:bCs/>
          <w:color w:val="000000"/>
          <w:kern w:val="0"/>
          <w:sz w:val="28"/>
          <w:szCs w:val="28"/>
          <w:lang w:bidi="ar"/>
        </w:rPr>
      </w:pPr>
    </w:p>
    <w:p>
      <w:pPr>
        <w:widowControl/>
        <w:jc w:val="center"/>
        <w:rPr>
          <w:rFonts w:hint="eastAsia" w:ascii="Times New Roman" w:hAnsi="Times New Roman" w:eastAsia="宋体" w:cs="Times New Roman"/>
          <w:b/>
          <w:bCs/>
          <w:color w:val="000000"/>
          <w:kern w:val="0"/>
          <w:sz w:val="28"/>
          <w:szCs w:val="28"/>
          <w:lang w:bidi="ar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-102870</wp:posOffset>
            </wp:positionV>
            <wp:extent cx="8860155" cy="6431915"/>
            <wp:effectExtent l="0" t="0" r="17145" b="6985"/>
            <wp:wrapNone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860155" cy="6431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/>
        <w:jc w:val="center"/>
        <w:rPr>
          <w:rFonts w:hint="eastAsia" w:ascii="Times New Roman" w:hAnsi="Times New Roman" w:eastAsia="宋体" w:cs="Times New Roman"/>
          <w:b/>
          <w:bCs/>
          <w:color w:val="000000"/>
          <w:kern w:val="0"/>
          <w:sz w:val="28"/>
          <w:szCs w:val="28"/>
          <w:lang w:bidi="ar"/>
        </w:rPr>
      </w:pPr>
    </w:p>
    <w:p>
      <w:pPr>
        <w:pStyle w:val="3"/>
        <w:ind w:firstLine="0" w:firstLineChars="0"/>
        <w:jc w:val="center"/>
      </w:pPr>
    </w:p>
    <w:p>
      <w:pPr>
        <w:pStyle w:val="3"/>
        <w:ind w:firstLine="0" w:firstLineChars="0"/>
        <w:jc w:val="center"/>
      </w:pPr>
    </w:p>
    <w:p>
      <w:pPr>
        <w:pStyle w:val="3"/>
        <w:ind w:firstLine="0" w:firstLineChars="0"/>
        <w:jc w:val="center"/>
      </w:pPr>
    </w:p>
    <w:p>
      <w:pPr>
        <w:pStyle w:val="3"/>
        <w:ind w:firstLine="0" w:firstLineChars="0"/>
        <w:jc w:val="center"/>
        <w:rPr>
          <w:rFonts w:ascii="Times New Roman" w:hAnsi="Times New Roman" w:cs="Times New Roman"/>
        </w:rPr>
      </w:pPr>
      <w:bookmarkStart w:id="0" w:name="_GoBack"/>
      <w:bookmarkEnd w:id="0"/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DejaVu Sans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方正黑体_GBK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楷体_GB2312">
    <w:altName w:val="方正楷体_GBK"/>
    <w:panose1 w:val="02010609030101010101"/>
    <w:charset w:val="00"/>
    <w:family w:val="modern"/>
    <w:pitch w:val="default"/>
    <w:sig w:usb0="00000000" w:usb1="00000000" w:usb2="00000010" w:usb3="00000000" w:csb0="00040000" w:csb1="00000000"/>
  </w:font>
  <w:font w:name="仿宋_GB2312">
    <w:altName w:val="方正仿宋_GBK"/>
    <w:panose1 w:val="02010609030101010101"/>
    <w:charset w:val="00"/>
    <w:family w:val="modern"/>
    <w:pitch w:val="default"/>
    <w:sig w:usb0="00000000" w:usb1="00000000" w:usb2="00000010" w:usb3="00000000" w:csb0="00040000" w:csb1="00000000"/>
  </w:font>
  <w:font w:name="方正小标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仿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黑体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楷体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AF3HKwEwIAABMEAAAOAAAAZHJz&#10;L2Uyb0RvYy54bWytU02O0zAU3iNxB8t7mrSIUVU1HZUZFSFVzEgFsXYdu7Fk+1m226QcAG7Aig17&#10;ztVz8OwkHQSsEBvni9//9z4vbzujyUn4oMBWdDopKRGWQ63soaIf3m9ezCkJkdmaabCiomcR6O3q&#10;+bNl6xZiBg3oWniCSWxYtK6iTYxuURSBN8KwMAEnLBoleMMi/vpDUXvWYnaji1lZ3hQt+Np54CIE&#10;vL3vjXSV80speHyQMohIdEWxt5hPn899OovVki0OnrlG8aEN9g9dGKYsFr2mumeRkaNXf6QyinsI&#10;IOOEgylASsVFngGnmZa/TbNrmBN5FiQnuCtN4f+l5e9Oj56ouqIzSiwzuKLL1y+Xbz8u3z+TWaKn&#10;dWGBXjuHfrF7DR2uebwPeJmm7qQ36YvzELQj0ecruaKLhKeg+Ww+L9HE0Tb+YP7iKdz5EN8IMCSB&#10;inrcXiaVnbYh9q6jS6pmYaO0zhvUlrQVvXn5qswBVwsm1xZrpCH6ZhOK3b4bJttDfcbBPPTKCI5v&#10;FBbfshAfmUcpYMMo7/iAh9SARWBAlDTgP/3tPvnjhtBKSYvSqqhF7VOi31rcXFLhCPwI9iOwR3MH&#10;qNUpPhvHM8QAH/UIpQfzETW/TjXQxCzHShWNI7yLvbzxzXCxXmeno/Pq0PQBqDvH4tbuHE9lEpHB&#10;rY8RycwcJ4J6VgbeUHl5S8MrSdL+9T97Pb3l1U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WAAAAZHJzL1BLAQIUABQAAAAIAIdO4kCzSVju&#10;0AAAAAUBAAAPAAAAAAAAAAEAIAAAADgAAABkcnMvZG93bnJldi54bWxQSwECFAAUAAAACACHTuJA&#10;BdxysBMCAAATBAAADgAAAAAAAAABACAAAAA1AQAAZHJzL2Uyb0RvYy54bWxQSwUGAAAAAAYABgBZ&#10;AQAAug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25231F8"/>
    <w:multiLevelType w:val="multilevel"/>
    <w:tmpl w:val="325231F8"/>
    <w:lvl w:ilvl="0" w:tentative="0">
      <w:start w:val="1"/>
      <w:numFmt w:val="chineseCountingThousand"/>
      <w:suff w:val="space"/>
      <w:lvlText w:val="第%1章"/>
      <w:lvlJc w:val="left"/>
      <w:pPr>
        <w:ind w:left="0" w:firstLine="0"/>
      </w:pPr>
      <w:rPr>
        <w:rFonts w:hint="eastAsia"/>
      </w:rPr>
    </w:lvl>
    <w:lvl w:ilvl="1" w:tentative="0">
      <w:start w:val="1"/>
      <w:numFmt w:val="decimal"/>
      <w:isLgl/>
      <w:suff w:val="space"/>
      <w:lvlText w:val="%1.%2"/>
      <w:lvlJc w:val="left"/>
      <w:pPr>
        <w:ind w:left="-601" w:firstLine="0"/>
      </w:pPr>
      <w:rPr>
        <w:rFonts w:hint="eastAsia" w:ascii="楷体_GB2312" w:hAnsi="Times New Roman" w:eastAsia="楷体_GB2312" w:cs="Times New Roman"/>
        <w:b w:val="0"/>
      </w:rPr>
    </w:lvl>
    <w:lvl w:ilvl="2" w:tentative="0">
      <w:start w:val="1"/>
      <w:numFmt w:val="decimal"/>
      <w:lvlRestart w:val="1"/>
      <w:pStyle w:val="2"/>
      <w:isLgl/>
      <w:suff w:val="space"/>
      <w:lvlText w:val="%1.%2.%3"/>
      <w:lvlJc w:val="left"/>
      <w:pPr>
        <w:ind w:left="567" w:firstLine="0"/>
      </w:pPr>
      <w:rPr>
        <w:rFonts w:hint="eastAsia"/>
      </w:rPr>
    </w:lvl>
    <w:lvl w:ilvl="3" w:tentative="0">
      <w:start w:val="1"/>
      <w:numFmt w:val="decimal"/>
      <w:lvlRestart w:val="1"/>
      <w:isLgl/>
      <w:suff w:val="space"/>
      <w:lvlText w:val="%1.%2.%3.%4"/>
      <w:lvlJc w:val="left"/>
      <w:pPr>
        <w:ind w:left="-601" w:firstLine="0"/>
      </w:pPr>
      <w:rPr>
        <w:rFonts w:hint="eastAsia"/>
      </w:rPr>
    </w:lvl>
    <w:lvl w:ilvl="4" w:tentative="0">
      <w:start w:val="1"/>
      <w:numFmt w:val="decimal"/>
      <w:isLgl/>
      <w:lvlText w:val="%1.%2.%3.%4.%5"/>
      <w:lvlJc w:val="left"/>
      <w:pPr>
        <w:ind w:left="0" w:firstLine="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ind w:left="0" w:firstLine="0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ind w:left="0" w:firstLine="0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ind w:left="0" w:firstLine="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ind w:left="0" w:firstLine="0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JjNDVlNjMwM2E5MDM1MzJhM2RkZWVkM2IyZmM4NTMifQ=="/>
  </w:docVars>
  <w:rsids>
    <w:rsidRoot w:val="005E6019"/>
    <w:rsid w:val="000045FD"/>
    <w:rsid w:val="00093DE0"/>
    <w:rsid w:val="00173BC9"/>
    <w:rsid w:val="00230A1E"/>
    <w:rsid w:val="00243293"/>
    <w:rsid w:val="00257865"/>
    <w:rsid w:val="00292DE1"/>
    <w:rsid w:val="002B2CCB"/>
    <w:rsid w:val="00427949"/>
    <w:rsid w:val="00476545"/>
    <w:rsid w:val="00481014"/>
    <w:rsid w:val="004A21F4"/>
    <w:rsid w:val="004F5602"/>
    <w:rsid w:val="00524954"/>
    <w:rsid w:val="005867AC"/>
    <w:rsid w:val="005E6019"/>
    <w:rsid w:val="006512A6"/>
    <w:rsid w:val="00667B22"/>
    <w:rsid w:val="00696850"/>
    <w:rsid w:val="00781ADB"/>
    <w:rsid w:val="008174B5"/>
    <w:rsid w:val="00873653"/>
    <w:rsid w:val="008A1D91"/>
    <w:rsid w:val="008E4131"/>
    <w:rsid w:val="008F636F"/>
    <w:rsid w:val="00933E48"/>
    <w:rsid w:val="00995281"/>
    <w:rsid w:val="00A44068"/>
    <w:rsid w:val="00AA365F"/>
    <w:rsid w:val="00AB0CD8"/>
    <w:rsid w:val="00AC5BFE"/>
    <w:rsid w:val="00AC640C"/>
    <w:rsid w:val="00AE21A5"/>
    <w:rsid w:val="00AF60CF"/>
    <w:rsid w:val="00B55859"/>
    <w:rsid w:val="00B83094"/>
    <w:rsid w:val="00B976F8"/>
    <w:rsid w:val="00C02C28"/>
    <w:rsid w:val="00C8551A"/>
    <w:rsid w:val="00D4726F"/>
    <w:rsid w:val="00D52F5B"/>
    <w:rsid w:val="00DC370A"/>
    <w:rsid w:val="00DC79F4"/>
    <w:rsid w:val="00E24FF2"/>
    <w:rsid w:val="00E61164"/>
    <w:rsid w:val="00E83A78"/>
    <w:rsid w:val="00EC4631"/>
    <w:rsid w:val="00EF12FC"/>
    <w:rsid w:val="00F26276"/>
    <w:rsid w:val="00F46879"/>
    <w:rsid w:val="00F7484D"/>
    <w:rsid w:val="00FC0263"/>
    <w:rsid w:val="00FF663F"/>
    <w:rsid w:val="01541EA9"/>
    <w:rsid w:val="01F935C8"/>
    <w:rsid w:val="02FB9C90"/>
    <w:rsid w:val="0BDA11FD"/>
    <w:rsid w:val="0F95C3C4"/>
    <w:rsid w:val="19FCE944"/>
    <w:rsid w:val="1E7FCAEF"/>
    <w:rsid w:val="1FAB5BBD"/>
    <w:rsid w:val="23F39227"/>
    <w:rsid w:val="25017A4C"/>
    <w:rsid w:val="25FBBA69"/>
    <w:rsid w:val="2C3F2A09"/>
    <w:rsid w:val="311B3D3D"/>
    <w:rsid w:val="31968FD5"/>
    <w:rsid w:val="37BF12F2"/>
    <w:rsid w:val="3A7C0B85"/>
    <w:rsid w:val="3B0FA152"/>
    <w:rsid w:val="3BEE958D"/>
    <w:rsid w:val="3C2E4B93"/>
    <w:rsid w:val="3EFE4C88"/>
    <w:rsid w:val="3F1BDF57"/>
    <w:rsid w:val="3F529484"/>
    <w:rsid w:val="3F57E700"/>
    <w:rsid w:val="3FF7C13E"/>
    <w:rsid w:val="51F003FF"/>
    <w:rsid w:val="53EC960F"/>
    <w:rsid w:val="53F539BD"/>
    <w:rsid w:val="5B7F1CDD"/>
    <w:rsid w:val="5C8BB7A2"/>
    <w:rsid w:val="5CFFF735"/>
    <w:rsid w:val="5D2FFF22"/>
    <w:rsid w:val="5DDF8D40"/>
    <w:rsid w:val="5E7A1E94"/>
    <w:rsid w:val="5E9937DA"/>
    <w:rsid w:val="5EFDC538"/>
    <w:rsid w:val="5F3A02CA"/>
    <w:rsid w:val="5F7B2504"/>
    <w:rsid w:val="63EFCFAA"/>
    <w:rsid w:val="660051BA"/>
    <w:rsid w:val="67ADFF37"/>
    <w:rsid w:val="67FC1E62"/>
    <w:rsid w:val="68FA75C5"/>
    <w:rsid w:val="6BFF5628"/>
    <w:rsid w:val="6DFFACC9"/>
    <w:rsid w:val="6FFB6EE8"/>
    <w:rsid w:val="73EE68D3"/>
    <w:rsid w:val="766D6776"/>
    <w:rsid w:val="76FB70C2"/>
    <w:rsid w:val="77F64129"/>
    <w:rsid w:val="77FB2B9C"/>
    <w:rsid w:val="797B3A40"/>
    <w:rsid w:val="7BF76051"/>
    <w:rsid w:val="7BFCDD39"/>
    <w:rsid w:val="7C2F7BF3"/>
    <w:rsid w:val="7CD54DB8"/>
    <w:rsid w:val="7DC94A2F"/>
    <w:rsid w:val="7DDFDA8C"/>
    <w:rsid w:val="7DF8D6CC"/>
    <w:rsid w:val="7E6F91E7"/>
    <w:rsid w:val="7EBF5D6C"/>
    <w:rsid w:val="7EF575B0"/>
    <w:rsid w:val="7F6308E7"/>
    <w:rsid w:val="7FC73DA0"/>
    <w:rsid w:val="7FDBC4CF"/>
    <w:rsid w:val="7FF78501"/>
    <w:rsid w:val="7FFBF73C"/>
    <w:rsid w:val="89FF9257"/>
    <w:rsid w:val="8B39C9CC"/>
    <w:rsid w:val="9BEEDF6C"/>
    <w:rsid w:val="9C7FBA94"/>
    <w:rsid w:val="9FFDBC92"/>
    <w:rsid w:val="A5CFEB0F"/>
    <w:rsid w:val="A7EF391B"/>
    <w:rsid w:val="B7F93325"/>
    <w:rsid w:val="B8FF140E"/>
    <w:rsid w:val="BBAF3C78"/>
    <w:rsid w:val="BE7F2C6A"/>
    <w:rsid w:val="BF586E75"/>
    <w:rsid w:val="BFE367F4"/>
    <w:rsid w:val="BFEB4DED"/>
    <w:rsid w:val="C5BCA634"/>
    <w:rsid w:val="CDFFB503"/>
    <w:rsid w:val="CEB71491"/>
    <w:rsid w:val="D76E5506"/>
    <w:rsid w:val="D7F77D0F"/>
    <w:rsid w:val="DBF7C412"/>
    <w:rsid w:val="DC6FE137"/>
    <w:rsid w:val="DDBFAD89"/>
    <w:rsid w:val="DDEE430D"/>
    <w:rsid w:val="DEA5D5CE"/>
    <w:rsid w:val="E5F583C7"/>
    <w:rsid w:val="E9CFA640"/>
    <w:rsid w:val="EEFED52F"/>
    <w:rsid w:val="EF9FEFCE"/>
    <w:rsid w:val="EFF1EB37"/>
    <w:rsid w:val="F2E7E67E"/>
    <w:rsid w:val="F3D56DB1"/>
    <w:rsid w:val="F74A0764"/>
    <w:rsid w:val="F7BE5A86"/>
    <w:rsid w:val="F7DE8C17"/>
    <w:rsid w:val="F7F6D11B"/>
    <w:rsid w:val="F9FF31C9"/>
    <w:rsid w:val="FB46107C"/>
    <w:rsid w:val="FB7EA663"/>
    <w:rsid w:val="FC6712DC"/>
    <w:rsid w:val="FDDF498A"/>
    <w:rsid w:val="FDFA8483"/>
    <w:rsid w:val="FDFDACEB"/>
    <w:rsid w:val="FE7BD30B"/>
    <w:rsid w:val="FEF7657A"/>
    <w:rsid w:val="FEF7B31C"/>
    <w:rsid w:val="FF7D5D34"/>
    <w:rsid w:val="FF7FEE5A"/>
    <w:rsid w:val="FF8FAEDA"/>
    <w:rsid w:val="FF9B9B53"/>
    <w:rsid w:val="FFF310AF"/>
    <w:rsid w:val="FFF63F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nhideWhenUsed="0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99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qFormat/>
    <w:uiPriority w:val="0"/>
    <w:pPr>
      <w:numPr>
        <w:ilvl w:val="2"/>
        <w:numId w:val="1"/>
      </w:numPr>
      <w:adjustRightInd w:val="0"/>
      <w:snapToGrid w:val="0"/>
      <w:ind w:firstLineChars="0"/>
      <w:jc w:val="left"/>
      <w:outlineLvl w:val="2"/>
    </w:pPr>
    <w:rPr>
      <w:rFonts w:eastAsia="仿宋_GB2312"/>
      <w:sz w:val="30"/>
      <w:szCs w:val="30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Indent"/>
    <w:basedOn w:val="1"/>
    <w:qFormat/>
    <w:uiPriority w:val="99"/>
    <w:pPr>
      <w:ind w:firstLine="420" w:firstLineChars="200"/>
    </w:p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6">
    <w:name w:val="Normal (Web)"/>
    <w:basedOn w:val="1"/>
    <w:qFormat/>
    <w:uiPriority w:val="0"/>
    <w:rPr>
      <w:sz w:val="24"/>
    </w:rPr>
  </w:style>
  <w:style w:type="table" w:styleId="8">
    <w:name w:val="Table Grid"/>
    <w:basedOn w:val="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10">
    <w:name w:val="Revision"/>
    <w:hidden/>
    <w:semiHidden/>
    <w:qFormat/>
    <w:uiPriority w:val="99"/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numbering" Target="numbering.xml"/><Relationship Id="rId7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131</Words>
  <Characters>751</Characters>
  <Lines>6</Lines>
  <Paragraphs>1</Paragraphs>
  <TotalTime>63</TotalTime>
  <ScaleCrop>false</ScaleCrop>
  <LinksUpToDate>false</LinksUpToDate>
  <CharactersWithSpaces>881</CharactersWithSpaces>
  <Application>WPS Office_11.8.2.10599_F1E327BC-269C-435d-A152-05C5408002CA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2023-03-24T11:05:00Z</dcterms:created>
  <dc:creator>thinkpad</dc:creator>
  <cp:lastModifiedBy>ht706</cp:lastModifiedBy>
  <cp:lastPrinted>2023-04-10T09:28:00Z</cp:lastPrinted>
  <dcterms:modified xsi:type="dcterms:W3CDTF">2023-04-17T09:36:34Z</dcterms:modified>
  <cp:revision>53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2052-11.8.2.10599</vt:lpwstr>
  </property>
  <property fmtid="{D5CDD505-2E9C-101B-9397-08002B2CF9AE}" pid="3" name="ICV">
    <vt:lpwstr>A40223E4522249A38BD7EC54EB75C62B</vt:lpwstr>
  </property>
</Properties>
</file>