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湛江市市场监督管理局</w:t>
      </w:r>
      <w:r>
        <w:rPr>
          <w:rFonts w:hint="eastAsia" w:ascii="黑体" w:hAnsi="黑体" w:eastAsia="黑体" w:cs="黑体"/>
          <w:sz w:val="36"/>
          <w:szCs w:val="36"/>
        </w:rPr>
        <w:t>“三公”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经费安排情况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一、“三公”经费安排情况说明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>104.7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厉行节约，减少公务用车购置及运行维护费和接待费支出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>95.5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1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>95.5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20.9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厉行节约，减少公务用车购置及运行维护费支出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9.2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厉行节约，减少接待费支出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288" w:lineRule="auto"/>
        <w:ind w:firstLine="964" w:firstLineChars="3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二、名词解释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“三公”经费指部门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单位）使用</w:t>
      </w:r>
      <w:r>
        <w:rPr>
          <w:rFonts w:hint="eastAsia" w:ascii="仿宋_GB2312" w:eastAsia="仿宋_GB2312"/>
          <w:sz w:val="32"/>
          <w:szCs w:val="32"/>
        </w:rPr>
        <w:t>财政拨款安排的因公出国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（境）</w:t>
      </w:r>
      <w:r>
        <w:rPr>
          <w:rFonts w:hint="eastAsia" w:ascii="仿宋_GB2312" w:eastAsia="仿宋_GB2312"/>
          <w:sz w:val="32"/>
          <w:szCs w:val="32"/>
        </w:rPr>
        <w:t>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因公出国（境）费用具体包括国际旅费、国外城市间交通费、住宿费、伙食费、培训费、公杂费等支出；公务用车购置费具体包括公务用车购置支出（含车辆购置税、牌照费），公务用车运行维护费具体包括按规定保留的公务用车燃料费、维修费、过路过桥费、保险费、安全奖励费用等支出；</w:t>
      </w:r>
      <w:r>
        <w:rPr>
          <w:rFonts w:hint="eastAsia" w:ascii="仿宋_GB2312" w:eastAsia="仿宋_GB2312"/>
          <w:sz w:val="32"/>
          <w:szCs w:val="32"/>
        </w:rPr>
        <w:t>公务接待费具体包括按规定开支的各类公务接待（外宾接待）费用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湛江市市场监督管理局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1914.32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.32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513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104.7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104.7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95.5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95.5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95.5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95.5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TU4OTM1YmJjMTJjMzM3NTMxOTQ1Mjg1YjYxZWQifQ=="/>
  </w:docVars>
  <w:rsids>
    <w:rsidRoot w:val="00000000"/>
    <w:rsid w:val="2D476FB7"/>
    <w:rsid w:val="7B44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809</Characters>
  <Lines>0</Lines>
  <Paragraphs>0</Paragraphs>
  <TotalTime>0</TotalTime>
  <ScaleCrop>false</ScaleCrop>
  <LinksUpToDate>false</LinksUpToDate>
  <CharactersWithSpaces>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2023-03-06T11:18:55Z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0660AD0B875A47A592D2628CB94B17EA</vt:lpwstr>
  </property>
</Properties>
</file>