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exact"/>
        <w:jc w:val="left"/>
        <w:rPr>
          <w:rFonts w:ascii="黑体" w:hAnsi="宋体" w:eastAsia="黑体" w:cs="宋体"/>
          <w:kern w:val="0"/>
          <w:szCs w:val="32"/>
        </w:rPr>
      </w:pPr>
    </w:p>
    <w:p>
      <w:pPr>
        <w:widowControl/>
        <w:spacing w:line="540" w:lineRule="exact"/>
        <w:jc w:val="center"/>
        <w:rPr>
          <w:rFonts w:hint="eastAsia" w:ascii="方正小标宋简体" w:hAnsi="宋体" w:eastAsia="方正小标宋简体" w:cs="宋体"/>
          <w:kern w:val="0"/>
          <w:sz w:val="44"/>
          <w:szCs w:val="44"/>
          <w:lang w:eastAsia="zh-CN"/>
        </w:rPr>
      </w:pPr>
      <w:r>
        <w:rPr>
          <w:rFonts w:hint="eastAsia" w:ascii="方正小标宋简体" w:hAnsi="宋体" w:eastAsia="方正小标宋简体" w:cs="宋体"/>
          <w:kern w:val="0"/>
          <w:sz w:val="44"/>
          <w:szCs w:val="44"/>
        </w:rPr>
        <w:t>2022年勘察设计质量检查情况</w:t>
      </w:r>
      <w:r>
        <w:rPr>
          <w:rFonts w:hint="eastAsia" w:ascii="方正小标宋简体" w:hAnsi="宋体" w:eastAsia="方正小标宋简体" w:cs="宋体"/>
          <w:kern w:val="0"/>
          <w:sz w:val="44"/>
          <w:szCs w:val="44"/>
          <w:lang w:val="en-US" w:eastAsia="zh-CN"/>
        </w:rPr>
        <w:t>通报</w:t>
      </w:r>
      <w:r>
        <w:rPr>
          <w:rFonts w:hint="eastAsia" w:ascii="方正小标宋简体" w:hAnsi="宋体" w:eastAsia="方正小标宋简体" w:cs="宋体"/>
          <w:kern w:val="0"/>
          <w:sz w:val="44"/>
          <w:szCs w:val="44"/>
        </w:rPr>
        <w:t>表</w:t>
      </w:r>
    </w:p>
    <w:p>
      <w:pPr>
        <w:pStyle w:val="2"/>
        <w:ind w:firstLine="480"/>
      </w:pPr>
    </w:p>
    <w:p>
      <w:pPr>
        <w:pStyle w:val="2"/>
        <w:ind w:firstLine="0" w:firstLineChars="0"/>
        <w:rPr>
          <w:rFonts w:ascii="方正公文小标宋" w:hAnsi="方正公文小标宋" w:eastAsia="方正公文小标宋" w:cs="方正公文小标宋"/>
          <w:sz w:val="15"/>
          <w:szCs w:val="10"/>
        </w:rPr>
      </w:pPr>
      <w:r>
        <w:rPr>
          <w:rFonts w:hint="eastAsia" w:ascii="方正公文小标宋" w:hAnsi="方正公文小标宋" w:eastAsia="方正公文小标宋" w:cs="方正公文小标宋"/>
          <w:kern w:val="0"/>
          <w:sz w:val="22"/>
          <w:szCs w:val="22"/>
        </w:rPr>
        <w:t xml:space="preserve">项目名称：鼎能东盟城商住小区三期3栋                                                </w:t>
      </w:r>
    </w:p>
    <w:tbl>
      <w:tblPr>
        <w:tblStyle w:val="6"/>
        <w:tblW w:w="15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1062"/>
        <w:gridCol w:w="5450"/>
        <w:gridCol w:w="6325"/>
        <w:gridCol w:w="1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990" w:type="dxa"/>
            <w:gridSpan w:val="2"/>
            <w:vAlign w:val="center"/>
          </w:tcPr>
          <w:p>
            <w:pPr>
              <w:widowControl/>
              <w:spacing w:line="240" w:lineRule="auto"/>
              <w:jc w:val="center"/>
              <w:rPr>
                <w:rFonts w:ascii="黑体" w:hAnsi="黑体" w:eastAsia="黑体" w:cs="黑体"/>
                <w:kern w:val="0"/>
                <w:sz w:val="24"/>
              </w:rPr>
            </w:pPr>
            <w:r>
              <w:rPr>
                <w:rFonts w:hint="eastAsia" w:ascii="黑体" w:hAnsi="黑体" w:eastAsia="黑体" w:cs="黑体"/>
                <w:kern w:val="0"/>
                <w:sz w:val="24"/>
              </w:rPr>
              <w:t>检查项目</w:t>
            </w:r>
          </w:p>
        </w:tc>
        <w:tc>
          <w:tcPr>
            <w:tcW w:w="5450" w:type="dxa"/>
            <w:vAlign w:val="center"/>
          </w:tcPr>
          <w:p>
            <w:pPr>
              <w:widowControl/>
              <w:spacing w:line="240" w:lineRule="auto"/>
              <w:jc w:val="center"/>
              <w:rPr>
                <w:rFonts w:ascii="黑体" w:hAnsi="黑体" w:eastAsia="黑体" w:cs="黑体"/>
                <w:kern w:val="0"/>
                <w:sz w:val="24"/>
              </w:rPr>
            </w:pPr>
            <w:r>
              <w:rPr>
                <w:rFonts w:hint="eastAsia" w:ascii="黑体" w:hAnsi="黑体" w:eastAsia="黑体" w:cs="黑体"/>
                <w:kern w:val="0"/>
                <w:sz w:val="24"/>
              </w:rPr>
              <w:t>检查内容</w:t>
            </w:r>
          </w:p>
        </w:tc>
        <w:tc>
          <w:tcPr>
            <w:tcW w:w="6325" w:type="dxa"/>
            <w:vAlign w:val="center"/>
          </w:tcPr>
          <w:p>
            <w:pPr>
              <w:widowControl/>
              <w:spacing w:line="240" w:lineRule="auto"/>
              <w:jc w:val="center"/>
              <w:rPr>
                <w:rFonts w:ascii="黑体" w:hAnsi="黑体" w:eastAsia="黑体" w:cs="黑体"/>
                <w:kern w:val="0"/>
                <w:sz w:val="24"/>
              </w:rPr>
            </w:pPr>
            <w:r>
              <w:rPr>
                <w:rFonts w:hint="eastAsia" w:ascii="黑体" w:hAnsi="黑体" w:eastAsia="黑体" w:cs="黑体"/>
                <w:kern w:val="0"/>
                <w:sz w:val="24"/>
              </w:rPr>
              <w:t>检查情况</w:t>
            </w:r>
          </w:p>
        </w:tc>
        <w:tc>
          <w:tcPr>
            <w:tcW w:w="1426" w:type="dxa"/>
            <w:vAlign w:val="center"/>
          </w:tcPr>
          <w:p>
            <w:pPr>
              <w:widowControl/>
              <w:spacing w:line="240" w:lineRule="auto"/>
              <w:jc w:val="center"/>
              <w:rPr>
                <w:rFonts w:hint="eastAsia" w:ascii="黑体" w:hAnsi="黑体" w:eastAsia="黑体" w:cs="黑体"/>
                <w:kern w:val="0"/>
                <w:sz w:val="24"/>
                <w:lang w:eastAsia="zh-CN"/>
              </w:rPr>
            </w:pPr>
            <w:r>
              <w:rPr>
                <w:rFonts w:hint="eastAsia" w:ascii="黑体" w:hAnsi="黑体" w:eastAsia="黑体" w:cs="黑体"/>
                <w:kern w:val="0"/>
                <w:sz w:val="24"/>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1" w:type="dxa"/>
            <w:gridSpan w:val="5"/>
            <w:vAlign w:val="center"/>
          </w:tcPr>
          <w:p>
            <w:pPr>
              <w:widowControl/>
              <w:spacing w:line="540" w:lineRule="exact"/>
              <w:jc w:val="center"/>
              <w:rPr>
                <w:rFonts w:ascii="楷体_GB2312" w:hAnsi="楷体_GB2312" w:eastAsia="楷体_GB2312" w:cs="楷体_GB2312"/>
                <w:b/>
                <w:bCs/>
                <w:kern w:val="0"/>
                <w:sz w:val="24"/>
              </w:rPr>
            </w:pPr>
            <w:r>
              <w:rPr>
                <w:rFonts w:hint="eastAsia" w:ascii="楷体_GB2312" w:hAnsi="楷体_GB2312" w:eastAsia="楷体_GB2312" w:cs="楷体_GB2312"/>
                <w:b/>
                <w:bCs/>
                <w:kern w:val="0"/>
                <w:sz w:val="24"/>
              </w:rPr>
              <w:t>勘察（如有）</w:t>
            </w:r>
            <w:r>
              <w:rPr>
                <w:rFonts w:hint="eastAsia" w:ascii="楷体_GB2312" w:hAnsi="楷体_GB2312" w:eastAsia="楷体_GB2312" w:cs="楷体_GB2312"/>
                <w:b/>
                <w:bCs/>
                <w:kern w:val="0"/>
                <w:sz w:val="24"/>
              </w:rPr>
              <w:sym w:font="Wingdings 2" w:char="0052"/>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restart"/>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现场及试验室工作执行标准情况、工程勘察实施情况</w:t>
            </w: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勘探及取样是否满足要求，勘察技术方法和勘察工作量是否合理。包括勘探点布置是否合理，勘探孔孔距是否满足规范和设计要求，勘探孔深是否满足规范、设计及施工要求，</w:t>
            </w:r>
            <w:r>
              <w:rPr>
                <w:rFonts w:hint="eastAsia" w:ascii="仿宋_GB2312" w:hAnsi="仿宋_GB2312" w:cs="仿宋_GB2312"/>
                <w:bCs/>
                <w:sz w:val="21"/>
                <w:szCs w:val="21"/>
              </w:rPr>
              <w:t>技术孔、控制性钻孔比例是否满足规范要求；地质异常段是否加密勘探孔，遇断裂、洞穴等不良地质时勘探孔加深是否足够，</w:t>
            </w:r>
            <w:r>
              <w:rPr>
                <w:rFonts w:hint="eastAsia" w:ascii="仿宋_GB2312" w:hAnsi="仿宋_GB2312" w:cs="仿宋_GB2312"/>
                <w:sz w:val="21"/>
                <w:szCs w:val="21"/>
              </w:rPr>
              <w:t>取样数量、方法是否满足规范要求。</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both"/>
              <w:textAlignment w:val="auto"/>
              <w:rPr>
                <w:rFonts w:ascii="仿宋_GB2312" w:hAnsi="仿宋_GB2312" w:cs="仿宋_GB2312"/>
                <w:sz w:val="21"/>
                <w:szCs w:val="21"/>
              </w:rPr>
            </w:pPr>
            <w:r>
              <w:rPr>
                <w:rFonts w:hint="eastAsia" w:ascii="仿宋_GB2312" w:hAnsi="仿宋_GB2312" w:cs="仿宋_GB2312"/>
                <w:sz w:val="21"/>
                <w:szCs w:val="21"/>
              </w:rPr>
              <w:t>基本满足要求</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原位测试手段选用、设备性能、数量、深度是否满足要求，水文地质试验方法选择是否合理（必要时）等。</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both"/>
              <w:textAlignment w:val="auto"/>
              <w:rPr>
                <w:rFonts w:ascii="仿宋_GB2312" w:hAnsi="仿宋_GB2312" w:cs="仿宋_GB2312"/>
                <w:sz w:val="21"/>
                <w:szCs w:val="21"/>
              </w:rPr>
            </w:pPr>
            <w:r>
              <w:rPr>
                <w:rFonts w:hint="eastAsia" w:ascii="仿宋_GB2312" w:hAnsi="仿宋_GB2312" w:cs="仿宋_GB2312"/>
                <w:sz w:val="21"/>
                <w:szCs w:val="21"/>
              </w:rPr>
              <w:t>满足要求</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室内试验项目是否满足岩土性质、工程类型、设计、施工需要，</w:t>
            </w:r>
            <w:r>
              <w:rPr>
                <w:rFonts w:hint="eastAsia" w:ascii="仿宋_GB2312" w:hAnsi="仿宋_GB2312" w:cs="仿宋_GB2312"/>
                <w:bCs/>
                <w:sz w:val="21"/>
                <w:szCs w:val="21"/>
              </w:rPr>
              <w:t>主要土层试验数量是否满足规范要求。</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both"/>
              <w:textAlignment w:val="auto"/>
              <w:rPr>
                <w:rFonts w:ascii="仿宋_GB2312" w:hAnsi="仿宋_GB2312" w:cs="仿宋_GB2312"/>
                <w:sz w:val="21"/>
                <w:szCs w:val="21"/>
              </w:rPr>
            </w:pPr>
            <w:r>
              <w:rPr>
                <w:rFonts w:hint="eastAsia" w:ascii="仿宋_GB2312" w:hAnsi="仿宋_GB2312" w:cs="仿宋_GB2312"/>
                <w:sz w:val="21"/>
                <w:szCs w:val="21"/>
              </w:rPr>
              <w:t>基本满足要求</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restart"/>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编制技术文件、工程勘察成果情况</w:t>
            </w: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bCs/>
                <w:sz w:val="21"/>
                <w:szCs w:val="21"/>
              </w:rPr>
              <w:t>岩土层划分依据是否合理、岩土层划分是否正确。</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both"/>
              <w:textAlignment w:val="auto"/>
              <w:rPr>
                <w:rFonts w:ascii="仿宋_GB2312" w:hAnsi="仿宋_GB2312" w:cs="仿宋_GB2312"/>
                <w:bCs/>
                <w:sz w:val="21"/>
                <w:szCs w:val="21"/>
              </w:rPr>
            </w:pPr>
            <w:r>
              <w:rPr>
                <w:rFonts w:hint="eastAsia" w:ascii="仿宋_GB2312" w:hAnsi="仿宋_GB2312" w:cs="仿宋_GB2312"/>
                <w:bCs/>
                <w:sz w:val="21"/>
                <w:szCs w:val="21"/>
              </w:rPr>
              <w:t>正确</w:t>
            </w:r>
          </w:p>
        </w:tc>
        <w:tc>
          <w:tcPr>
            <w:tcW w:w="1426" w:type="dxa"/>
            <w:vAlign w:val="center"/>
          </w:tcPr>
          <w:p>
            <w:pPr>
              <w:snapToGrid w:val="0"/>
              <w:spacing w:line="240" w:lineRule="auto"/>
              <w:jc w:val="center"/>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bCs/>
                <w:sz w:val="21"/>
                <w:szCs w:val="21"/>
              </w:rPr>
              <w:t>岩土物理力学参数等</w:t>
            </w:r>
            <w:r>
              <w:rPr>
                <w:rFonts w:hint="eastAsia" w:ascii="仿宋_GB2312" w:hAnsi="仿宋_GB2312" w:cs="仿宋_GB2312"/>
                <w:sz w:val="21"/>
                <w:szCs w:val="21"/>
              </w:rPr>
              <w:t>勘察成果是否准确，地层、水文地质参数、岩土参数是否与实际情况相符。</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both"/>
              <w:textAlignment w:val="auto"/>
              <w:rPr>
                <w:rFonts w:ascii="仿宋_GB2312" w:hAnsi="仿宋_GB2312" w:cs="仿宋_GB2312"/>
                <w:bCs/>
                <w:sz w:val="21"/>
                <w:szCs w:val="21"/>
              </w:rPr>
            </w:pPr>
            <w:r>
              <w:rPr>
                <w:rFonts w:hint="eastAsia" w:ascii="仿宋_GB2312" w:hAnsi="仿宋_GB2312" w:cs="仿宋_GB2312"/>
                <w:bCs/>
                <w:sz w:val="21"/>
                <w:szCs w:val="21"/>
              </w:rPr>
              <w:t>基本相符</w:t>
            </w:r>
          </w:p>
        </w:tc>
        <w:tc>
          <w:tcPr>
            <w:tcW w:w="1426" w:type="dxa"/>
            <w:vAlign w:val="center"/>
          </w:tcPr>
          <w:p>
            <w:pPr>
              <w:snapToGrid w:val="0"/>
              <w:spacing w:line="240" w:lineRule="auto"/>
              <w:jc w:val="center"/>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bCs/>
                <w:sz w:val="21"/>
                <w:szCs w:val="21"/>
              </w:rPr>
              <w:t>场地与地基的建筑抗震设计基本条件是否准确</w:t>
            </w:r>
            <w:r>
              <w:rPr>
                <w:rFonts w:hint="eastAsia" w:ascii="仿宋_GB2312" w:hAnsi="仿宋_GB2312" w:cs="仿宋_GB2312"/>
                <w:sz w:val="21"/>
                <w:szCs w:val="21"/>
              </w:rPr>
              <w:t>，包括场地类别划分、抗震影响基本参数、地震液化的判别是否准确等。</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both"/>
              <w:textAlignment w:val="auto"/>
              <w:rPr>
                <w:rFonts w:ascii="仿宋_GB2312" w:hAnsi="仿宋_GB2312" w:cs="仿宋_GB2312"/>
                <w:bCs/>
                <w:sz w:val="21"/>
                <w:szCs w:val="21"/>
              </w:rPr>
            </w:pPr>
            <w:r>
              <w:rPr>
                <w:rFonts w:hint="eastAsia" w:ascii="仿宋_GB2312" w:hAnsi="仿宋_GB2312" w:cs="仿宋_GB2312"/>
                <w:bCs/>
                <w:sz w:val="21"/>
                <w:szCs w:val="21"/>
              </w:rPr>
              <w:t>准确</w:t>
            </w:r>
          </w:p>
        </w:tc>
        <w:tc>
          <w:tcPr>
            <w:tcW w:w="1426" w:type="dxa"/>
            <w:vAlign w:val="center"/>
          </w:tcPr>
          <w:p>
            <w:pPr>
              <w:snapToGrid w:val="0"/>
              <w:spacing w:line="240" w:lineRule="auto"/>
              <w:jc w:val="center"/>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对地质灾害和特殊性岩土的评价是否正确；水和土对建筑材料腐蚀性影响评价是否正确；</w:t>
            </w:r>
            <w:r>
              <w:rPr>
                <w:rFonts w:hint="eastAsia" w:ascii="仿宋_GB2312" w:hAnsi="仿宋_GB2312" w:cs="仿宋_GB2312"/>
                <w:bCs/>
                <w:sz w:val="21"/>
                <w:szCs w:val="21"/>
              </w:rPr>
              <w:t>工程地质、水文地质条件评价及措施建议是否准确合理。</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both"/>
              <w:textAlignment w:val="auto"/>
              <w:rPr>
                <w:rFonts w:ascii="仿宋_GB2312" w:hAnsi="仿宋_GB2312" w:cs="仿宋_GB2312"/>
                <w:sz w:val="21"/>
                <w:szCs w:val="21"/>
              </w:rPr>
            </w:pPr>
            <w:r>
              <w:rPr>
                <w:rFonts w:hint="eastAsia" w:ascii="仿宋_GB2312" w:hAnsi="仿宋_GB2312" w:cs="仿宋_GB2312"/>
                <w:sz w:val="21"/>
                <w:szCs w:val="21"/>
              </w:rPr>
              <w:t xml:space="preserve">基本准确 </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bCs/>
                <w:sz w:val="21"/>
                <w:szCs w:val="21"/>
              </w:rPr>
              <w:t>场地稳定性、适宜性评价是否准确、全面。</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both"/>
              <w:textAlignment w:val="auto"/>
              <w:rPr>
                <w:rFonts w:ascii="仿宋_GB2312" w:hAnsi="仿宋_GB2312" w:cs="仿宋_GB2312"/>
                <w:bCs/>
                <w:sz w:val="21"/>
                <w:szCs w:val="21"/>
              </w:rPr>
            </w:pPr>
            <w:r>
              <w:rPr>
                <w:rFonts w:hint="eastAsia" w:ascii="仿宋_GB2312" w:hAnsi="仿宋_GB2312" w:cs="仿宋_GB2312"/>
                <w:bCs/>
                <w:sz w:val="21"/>
                <w:szCs w:val="21"/>
              </w:rPr>
              <w:t xml:space="preserve">准确 </w:t>
            </w:r>
          </w:p>
        </w:tc>
        <w:tc>
          <w:tcPr>
            <w:tcW w:w="1426" w:type="dxa"/>
            <w:vAlign w:val="center"/>
          </w:tcPr>
          <w:p>
            <w:pPr>
              <w:snapToGrid w:val="0"/>
              <w:spacing w:line="240" w:lineRule="auto"/>
              <w:jc w:val="center"/>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bCs/>
                <w:sz w:val="21"/>
                <w:szCs w:val="21"/>
              </w:rPr>
              <w:t>成果是否经过内部审核、是否按照强制审查意见进行修改完善。</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both"/>
              <w:textAlignment w:val="auto"/>
              <w:rPr>
                <w:rFonts w:ascii="仿宋_GB2312" w:hAnsi="仿宋_GB2312" w:cs="仿宋_GB2312"/>
                <w:bCs/>
                <w:sz w:val="21"/>
                <w:szCs w:val="21"/>
              </w:rPr>
            </w:pPr>
            <w:r>
              <w:rPr>
                <w:rFonts w:hint="eastAsia" w:ascii="仿宋_GB2312" w:hAnsi="仿宋_GB2312" w:cs="仿宋_GB2312"/>
                <w:bCs/>
                <w:sz w:val="21"/>
                <w:szCs w:val="21"/>
              </w:rPr>
              <w:t>已完善</w:t>
            </w:r>
          </w:p>
        </w:tc>
        <w:tc>
          <w:tcPr>
            <w:tcW w:w="1426" w:type="dxa"/>
            <w:vAlign w:val="center"/>
          </w:tcPr>
          <w:p>
            <w:pPr>
              <w:snapToGrid w:val="0"/>
              <w:spacing w:line="240" w:lineRule="auto"/>
              <w:jc w:val="center"/>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工程勘察报告是否有注册土木工程师（岩土）签章，签章是否齐全。</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both"/>
              <w:textAlignment w:val="auto"/>
              <w:rPr>
                <w:rFonts w:ascii="仿宋_GB2312" w:hAnsi="仿宋_GB2312" w:cs="仿宋_GB2312"/>
                <w:sz w:val="21"/>
                <w:szCs w:val="21"/>
              </w:rPr>
            </w:pPr>
            <w:r>
              <w:rPr>
                <w:rFonts w:hint="eastAsia" w:ascii="仿宋_GB2312" w:hAnsi="仿宋_GB2312" w:cs="仿宋_GB2312"/>
                <w:sz w:val="21"/>
                <w:szCs w:val="21"/>
              </w:rPr>
              <w:t>齐全</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技术文件内容是否存在重要缺漏。</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both"/>
              <w:textAlignment w:val="auto"/>
              <w:rPr>
                <w:rFonts w:ascii="仿宋_GB2312" w:hAnsi="仿宋_GB2312" w:cs="仿宋_GB2312"/>
                <w:sz w:val="21"/>
                <w:szCs w:val="21"/>
              </w:rPr>
            </w:pPr>
            <w:r>
              <w:rPr>
                <w:rFonts w:hint="eastAsia" w:ascii="仿宋_GB2312" w:hAnsi="仿宋_GB2312" w:cs="仿宋_GB2312"/>
                <w:sz w:val="21"/>
                <w:szCs w:val="21"/>
              </w:rPr>
              <w:t>否</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是否有其他文字、数据、图纸的错误。</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both"/>
              <w:textAlignment w:val="auto"/>
              <w:rPr>
                <w:rFonts w:ascii="仿宋_GB2312" w:hAnsi="仿宋_GB2312" w:cs="仿宋_GB2312"/>
                <w:sz w:val="21"/>
                <w:szCs w:val="21"/>
              </w:rPr>
            </w:pPr>
            <w:r>
              <w:rPr>
                <w:rFonts w:hint="eastAsia" w:ascii="仿宋_GB2312" w:hAnsi="仿宋_GB2312" w:cs="仿宋_GB2312"/>
                <w:sz w:val="21"/>
                <w:szCs w:val="21"/>
              </w:rPr>
              <w:t>否</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强制性标准条文</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是否严格执行。如违反，应指出违反的具体规范条文。</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both"/>
              <w:textAlignment w:val="auto"/>
              <w:rPr>
                <w:rFonts w:ascii="仿宋_GB2312" w:hAnsi="仿宋_GB2312" w:cs="仿宋_GB2312"/>
                <w:sz w:val="21"/>
                <w:szCs w:val="21"/>
              </w:rPr>
            </w:pPr>
            <w:r>
              <w:rPr>
                <w:rFonts w:hint="eastAsia" w:ascii="仿宋_GB2312" w:hAnsi="仿宋_GB2312" w:cs="仿宋_GB2312"/>
                <w:sz w:val="21"/>
                <w:szCs w:val="21"/>
              </w:rPr>
              <w:t>无违反强制性条文</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一般标准条文</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是否违反，影响工程质量程度如何。</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both"/>
              <w:textAlignment w:val="auto"/>
              <w:rPr>
                <w:rFonts w:ascii="仿宋_GB2312" w:hAnsi="仿宋_GB2312" w:cs="仿宋_GB2312"/>
                <w:sz w:val="21"/>
                <w:szCs w:val="21"/>
              </w:rPr>
            </w:pPr>
            <w:r>
              <w:rPr>
                <w:rFonts w:hint="eastAsia" w:ascii="仿宋_GB2312" w:hAnsi="仿宋_GB2312" w:cs="仿宋_GB2312"/>
                <w:sz w:val="21"/>
                <w:szCs w:val="21"/>
              </w:rPr>
              <w:t>是，影响轻微</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落实工程质量责任制情况</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bCs/>
                <w:sz w:val="21"/>
                <w:szCs w:val="21"/>
              </w:rPr>
              <w:t>项目负责人是否取得法定代表人授权书，是否签署工程质量终身责任承诺书等。</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both"/>
              <w:textAlignment w:val="auto"/>
              <w:rPr>
                <w:rFonts w:ascii="仿宋_GB2312" w:hAnsi="仿宋_GB2312" w:cs="仿宋_GB2312"/>
                <w:bCs/>
                <w:sz w:val="21"/>
                <w:szCs w:val="21"/>
              </w:rPr>
            </w:pPr>
            <w:r>
              <w:rPr>
                <w:rFonts w:hint="eastAsia" w:ascii="仿宋_GB2312" w:hAnsi="仿宋_GB2312" w:cs="仿宋_GB2312"/>
                <w:bCs/>
                <w:sz w:val="21"/>
                <w:szCs w:val="21"/>
              </w:rPr>
              <w:t>已落实</w:t>
            </w:r>
          </w:p>
        </w:tc>
        <w:tc>
          <w:tcPr>
            <w:tcW w:w="1426" w:type="dxa"/>
            <w:vAlign w:val="center"/>
          </w:tcPr>
          <w:p>
            <w:pPr>
              <w:snapToGrid w:val="0"/>
              <w:spacing w:line="240" w:lineRule="auto"/>
              <w:jc w:val="center"/>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其他工程勘察质量相关内容</w:t>
            </w:r>
          </w:p>
        </w:tc>
        <w:tc>
          <w:tcPr>
            <w:tcW w:w="6325" w:type="dxa"/>
            <w:vAlign w:val="center"/>
          </w:tcPr>
          <w:p>
            <w:pPr>
              <w:keepNext w:val="0"/>
              <w:keepLines w:val="0"/>
              <w:pageBreakBefore w:val="0"/>
              <w:kinsoku/>
              <w:wordWrap/>
              <w:overflowPunct/>
              <w:topLinePunct w:val="0"/>
              <w:autoSpaceDE/>
              <w:autoSpaceDN/>
              <w:bidi w:val="0"/>
              <w:adjustRightInd/>
              <w:snapToGrid w:val="0"/>
              <w:spacing w:line="300" w:lineRule="exact"/>
              <w:jc w:val="both"/>
              <w:textAlignment w:val="auto"/>
              <w:rPr>
                <w:rFonts w:ascii="仿宋_GB2312" w:hAnsi="仿宋_GB2312" w:cs="仿宋_GB2312"/>
                <w:sz w:val="21"/>
                <w:szCs w:val="21"/>
              </w:rPr>
            </w:pPr>
          </w:p>
        </w:tc>
        <w:tc>
          <w:tcPr>
            <w:tcW w:w="1426" w:type="dxa"/>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1" w:type="dxa"/>
            <w:gridSpan w:val="5"/>
            <w:vAlign w:val="center"/>
          </w:tcPr>
          <w:p>
            <w:pPr>
              <w:keepNext w:val="0"/>
              <w:keepLines w:val="0"/>
              <w:pageBreakBefore w:val="0"/>
              <w:widowControl/>
              <w:kinsoku/>
              <w:wordWrap/>
              <w:overflowPunct/>
              <w:topLinePunct w:val="0"/>
              <w:autoSpaceDE/>
              <w:autoSpaceDN/>
              <w:bidi w:val="0"/>
              <w:adjustRightInd/>
              <w:spacing w:line="300" w:lineRule="exact"/>
              <w:jc w:val="both"/>
              <w:textAlignment w:val="auto"/>
              <w:rPr>
                <w:rFonts w:ascii="楷体_GB2312" w:hAnsi="楷体_GB2312" w:eastAsia="楷体_GB2312" w:cs="楷体_GB2312"/>
                <w:b/>
                <w:bCs/>
                <w:kern w:val="0"/>
                <w:sz w:val="21"/>
                <w:szCs w:val="21"/>
              </w:rPr>
            </w:pPr>
            <w:r>
              <w:rPr>
                <w:rFonts w:hint="eastAsia" w:ascii="楷体_GB2312" w:hAnsi="楷体_GB2312" w:eastAsia="楷体_GB2312" w:cs="楷体_GB2312"/>
                <w:b/>
                <w:bCs/>
                <w:kern w:val="0"/>
                <w:sz w:val="21"/>
                <w:szCs w:val="21"/>
              </w:rPr>
              <w:t>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设计依据</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设计依据的规范、标准是否准确；基础资料是否满足要求；设计是否执行立项、规划、人防等主管部门批文。</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280" w:lineRule="exact"/>
              <w:jc w:val="both"/>
              <w:textAlignment w:val="auto"/>
              <w:rPr>
                <w:rFonts w:ascii="仿宋_GB2312" w:hAnsi="仿宋_GB2312" w:cs="仿宋_GB2312"/>
                <w:sz w:val="21"/>
                <w:szCs w:val="21"/>
              </w:rPr>
            </w:pPr>
            <w:r>
              <w:rPr>
                <w:rFonts w:hint="eastAsia" w:ascii="仿宋_GB2312" w:hAnsi="仿宋_GB2312" w:cs="仿宋_GB2312"/>
                <w:sz w:val="21"/>
                <w:szCs w:val="21"/>
              </w:rPr>
              <w:t>基本符合要求，节能报告设计依据未填写</w:t>
            </w:r>
            <w:r>
              <w:rPr>
                <w:rFonts w:hint="eastAsia"/>
                <w:sz w:val="21"/>
                <w:szCs w:val="21"/>
              </w:rPr>
              <w:t>《民用建筑热工设计规范》版本年号，节能专篇填写的验收依据版本已废止</w:t>
            </w:r>
            <w:r>
              <w:rPr>
                <w:rFonts w:hint="eastAsia" w:ascii="宋体" w:hAnsi="宋体" w:cs="宋体"/>
                <w:b/>
                <w:bCs/>
                <w:sz w:val="21"/>
                <w:szCs w:val="21"/>
              </w:rPr>
              <w:t>。</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设计文件编制深度</w:t>
            </w:r>
          </w:p>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完整性</w:t>
            </w:r>
          </w:p>
        </w:tc>
        <w:tc>
          <w:tcPr>
            <w:tcW w:w="5450" w:type="dxa"/>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专业图纸是否齐全；是否符合现行相关规定要求；单位和个人签章是否完备并符合要求；涉及危大工程的是否注明危大工程的重点部位和环节，提出保障工程周边环境安全和工程施工安全的意见，必要时进行专项设计。</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280" w:lineRule="exact"/>
              <w:jc w:val="both"/>
              <w:textAlignment w:val="auto"/>
              <w:rPr>
                <w:rFonts w:ascii="仿宋" w:hAnsi="仿宋" w:eastAsia="仿宋" w:cs="仿宋"/>
                <w:sz w:val="21"/>
                <w:szCs w:val="21"/>
              </w:rPr>
            </w:pPr>
            <w:r>
              <w:rPr>
                <w:rFonts w:hint="eastAsia" w:ascii="仿宋_GB2312" w:hAnsi="仿宋_GB2312" w:cs="仿宋_GB2312"/>
                <w:sz w:val="21"/>
                <w:szCs w:val="21"/>
              </w:rPr>
              <w:t>基本符合要求</w:t>
            </w:r>
          </w:p>
          <w:p>
            <w:pPr>
              <w:keepNext w:val="0"/>
              <w:keepLines w:val="0"/>
              <w:pageBreakBefore w:val="0"/>
              <w:widowControl w:val="0"/>
              <w:kinsoku/>
              <w:wordWrap/>
              <w:overflowPunct/>
              <w:topLinePunct w:val="0"/>
              <w:autoSpaceDE/>
              <w:autoSpaceDN/>
              <w:bidi w:val="0"/>
              <w:adjustRightInd/>
              <w:snapToGrid w:val="0"/>
              <w:spacing w:line="280" w:lineRule="exact"/>
              <w:jc w:val="both"/>
              <w:textAlignment w:val="auto"/>
              <w:rPr>
                <w:rFonts w:ascii="仿宋" w:hAnsi="仿宋" w:eastAsia="仿宋" w:cs="仿宋"/>
                <w:sz w:val="21"/>
                <w:szCs w:val="21"/>
              </w:rPr>
            </w:pPr>
            <w:r>
              <w:rPr>
                <w:rFonts w:hint="eastAsia" w:ascii="仿宋" w:hAnsi="仿宋" w:eastAsia="仿宋" w:cs="仿宋"/>
                <w:sz w:val="21"/>
                <w:szCs w:val="21"/>
              </w:rPr>
              <w:t>1、缺“各层用水点用水压力计算书”、“关键连接构件计算书”。</w:t>
            </w:r>
          </w:p>
          <w:p>
            <w:pPr>
              <w:keepNext w:val="0"/>
              <w:keepLines w:val="0"/>
              <w:pageBreakBefore w:val="0"/>
              <w:widowControl w:val="0"/>
              <w:kinsoku/>
              <w:wordWrap/>
              <w:overflowPunct/>
              <w:topLinePunct w:val="0"/>
              <w:autoSpaceDE/>
              <w:autoSpaceDN/>
              <w:bidi w:val="0"/>
              <w:adjustRightInd/>
              <w:snapToGrid w:val="0"/>
              <w:spacing w:line="280" w:lineRule="exact"/>
              <w:jc w:val="both"/>
              <w:textAlignment w:val="auto"/>
              <w:rPr>
                <w:rFonts w:ascii="仿宋_GB2312" w:hAnsi="仿宋_GB2312" w:cs="仿宋_GB2312"/>
                <w:sz w:val="21"/>
                <w:szCs w:val="21"/>
              </w:rPr>
            </w:pPr>
            <w:r>
              <w:rPr>
                <w:rFonts w:hint="eastAsia" w:ascii="仿宋" w:hAnsi="仿宋" w:eastAsia="仿宋" w:cs="仿宋"/>
                <w:sz w:val="21"/>
                <w:szCs w:val="21"/>
              </w:rPr>
              <w:t>2、绿色建筑设计技术措施编写深度不足，应明确建筑装修后室内空气中的氨、甲醛、苯、总挥发性有机物、氢等污染物浓度具体控制指标要求。</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强制性标准条文</w:t>
            </w:r>
          </w:p>
        </w:tc>
        <w:tc>
          <w:tcPr>
            <w:tcW w:w="5450" w:type="dxa"/>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是否严格执行。如违反，应指出违反的具体规范条文。</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280" w:lineRule="exact"/>
              <w:jc w:val="both"/>
              <w:textAlignment w:val="auto"/>
              <w:rPr>
                <w:rFonts w:ascii="仿宋_GB2312" w:hAnsi="仿宋_GB2312" w:cs="仿宋_GB2312"/>
                <w:sz w:val="21"/>
                <w:szCs w:val="21"/>
              </w:rPr>
            </w:pPr>
            <w:r>
              <w:rPr>
                <w:rFonts w:hint="eastAsia" w:ascii="仿宋_GB2312" w:hAnsi="仿宋_GB2312" w:cs="仿宋_GB2312"/>
                <w:sz w:val="21"/>
                <w:szCs w:val="21"/>
              </w:rPr>
              <w:t>无</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一般标准条文</w:t>
            </w:r>
          </w:p>
        </w:tc>
        <w:tc>
          <w:tcPr>
            <w:tcW w:w="5450" w:type="dxa"/>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是否违反，影响工程质量程度如何。</w:t>
            </w:r>
          </w:p>
        </w:tc>
        <w:tc>
          <w:tcPr>
            <w:tcW w:w="6325" w:type="dxa"/>
            <w:vAlign w:val="center"/>
          </w:tcPr>
          <w:p>
            <w:pPr>
              <w:keepNext w:val="0"/>
              <w:keepLines w:val="0"/>
              <w:pageBreakBefore w:val="0"/>
              <w:widowControl w:val="0"/>
              <w:numPr>
                <w:ilvl w:val="0"/>
                <w:numId w:val="1"/>
              </w:numPr>
              <w:kinsoku/>
              <w:wordWrap/>
              <w:overflowPunct/>
              <w:topLinePunct w:val="0"/>
              <w:autoSpaceDE/>
              <w:autoSpaceDN/>
              <w:bidi w:val="0"/>
              <w:adjustRightInd/>
              <w:snapToGrid w:val="0"/>
              <w:spacing w:line="280" w:lineRule="exact"/>
              <w:jc w:val="both"/>
              <w:textAlignment w:val="auto"/>
              <w:rPr>
                <w:rFonts w:ascii="仿宋" w:hAnsi="仿宋" w:eastAsia="仿宋" w:cs="仿宋"/>
                <w:sz w:val="21"/>
                <w:szCs w:val="21"/>
              </w:rPr>
            </w:pPr>
            <w:r>
              <w:rPr>
                <w:rFonts w:hint="eastAsia" w:ascii="仿宋" w:hAnsi="仿宋" w:eastAsia="仿宋" w:cs="仿宋"/>
                <w:sz w:val="21"/>
                <w:szCs w:val="21"/>
              </w:rPr>
              <w:t>绿色建筑设计说明专篇未编入施工图图册中，应按《房屋建筑制图统一标准（GB／T 50001）》要求按工程图文件形式加上图框图签，编入建筑专业施工图图纸目录。</w:t>
            </w:r>
          </w:p>
          <w:p>
            <w:pPr>
              <w:pStyle w:val="2"/>
              <w:keepNext w:val="0"/>
              <w:keepLines w:val="0"/>
              <w:pageBreakBefore w:val="0"/>
              <w:widowControl w:val="0"/>
              <w:kinsoku/>
              <w:wordWrap/>
              <w:overflowPunct/>
              <w:topLinePunct w:val="0"/>
              <w:autoSpaceDE/>
              <w:autoSpaceDN/>
              <w:bidi w:val="0"/>
              <w:adjustRightInd/>
              <w:spacing w:line="280" w:lineRule="exact"/>
              <w:ind w:firstLine="0" w:firstLineChars="0"/>
              <w:jc w:val="both"/>
              <w:textAlignment w:val="auto"/>
              <w:rPr>
                <w:rFonts w:ascii="仿宋" w:hAnsi="仿宋" w:eastAsia="仿宋" w:cs="仿宋"/>
                <w:sz w:val="21"/>
                <w:szCs w:val="21"/>
              </w:rPr>
            </w:pPr>
            <w:r>
              <w:rPr>
                <w:rFonts w:hint="eastAsia" w:ascii="仿宋" w:hAnsi="仿宋" w:eastAsia="仿宋" w:cs="仿宋"/>
                <w:sz w:val="21"/>
                <w:szCs w:val="21"/>
              </w:rPr>
              <w:t>2、建筑入口未设置可以实现非接触式通行及非接触体温监测的条件，违反《广东省绿色建筑设计规范》5.2.14规定。</w:t>
            </w:r>
          </w:p>
          <w:p>
            <w:pPr>
              <w:keepNext w:val="0"/>
              <w:keepLines w:val="0"/>
              <w:pageBreakBefore w:val="0"/>
              <w:widowControl w:val="0"/>
              <w:kinsoku/>
              <w:wordWrap/>
              <w:overflowPunct/>
              <w:topLinePunct w:val="0"/>
              <w:autoSpaceDE/>
              <w:autoSpaceDN/>
              <w:bidi w:val="0"/>
              <w:adjustRightInd/>
              <w:snapToGrid w:val="0"/>
              <w:spacing w:line="280" w:lineRule="exact"/>
              <w:jc w:val="both"/>
              <w:textAlignment w:val="auto"/>
              <w:rPr>
                <w:rFonts w:ascii="仿宋" w:hAnsi="仿宋" w:eastAsia="仿宋" w:cs="仿宋"/>
                <w:sz w:val="21"/>
                <w:szCs w:val="21"/>
              </w:rPr>
            </w:pPr>
            <w:r>
              <w:rPr>
                <w:rFonts w:hint="eastAsia" w:ascii="仿宋" w:hAnsi="仿宋" w:eastAsia="仿宋" w:cs="仿宋"/>
                <w:sz w:val="21"/>
                <w:szCs w:val="21"/>
              </w:rPr>
              <w:t>3、结构设计图、建筑设计图均未表达空调室外机遮蔽百叶（格栅）与主体结构连的设计要求，未设置检修和维护条件。违反《广东省绿色建筑设计规范》第6.2.4条</w:t>
            </w:r>
          </w:p>
          <w:p>
            <w:pPr>
              <w:keepNext w:val="0"/>
              <w:keepLines w:val="0"/>
              <w:pageBreakBefore w:val="0"/>
              <w:widowControl w:val="0"/>
              <w:kinsoku/>
              <w:wordWrap/>
              <w:overflowPunct/>
              <w:topLinePunct w:val="0"/>
              <w:autoSpaceDE/>
              <w:autoSpaceDN/>
              <w:bidi w:val="0"/>
              <w:adjustRightInd/>
              <w:snapToGrid w:val="0"/>
              <w:spacing w:line="280" w:lineRule="exact"/>
              <w:jc w:val="both"/>
              <w:textAlignment w:val="auto"/>
              <w:rPr>
                <w:rFonts w:ascii="仿宋_GB2312" w:hAnsi="仿宋_GB2312" w:cs="仿宋_GB2312"/>
                <w:sz w:val="21"/>
                <w:szCs w:val="21"/>
              </w:rPr>
            </w:pPr>
            <w:r>
              <w:rPr>
                <w:rFonts w:hint="eastAsia" w:ascii="仿宋" w:hAnsi="仿宋" w:eastAsia="仿宋" w:cs="仿宋"/>
                <w:sz w:val="21"/>
                <w:szCs w:val="21"/>
              </w:rPr>
              <w:t>4、外窗玻璃可见光透射比取值有误，对建筑室内天然采光质量有一定影响；门窗技术要求选用已废止的门窗构造标准图集98ZJ641, 98ZJ721，选用已废止的非节能型门窗构造图集，会影响建筑围护结构热工性能，影响建筑能耗。</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落实工程质量责任制情况</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bCs/>
                <w:sz w:val="21"/>
                <w:szCs w:val="21"/>
              </w:rPr>
              <w:t>项目负责人是否取得法定代表人授权书，是否签署工程质量终身责任承诺书等。</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280" w:lineRule="exact"/>
              <w:jc w:val="both"/>
              <w:textAlignment w:val="auto"/>
              <w:rPr>
                <w:rFonts w:ascii="仿宋_GB2312" w:hAnsi="仿宋_GB2312" w:cs="仿宋_GB2312"/>
                <w:bCs/>
                <w:sz w:val="21"/>
                <w:szCs w:val="21"/>
              </w:rPr>
            </w:pPr>
            <w:r>
              <w:rPr>
                <w:rFonts w:hint="eastAsia" w:ascii="仿宋_GB2312" w:hAnsi="仿宋_GB2312" w:cs="仿宋_GB2312"/>
                <w:bCs/>
                <w:sz w:val="21"/>
                <w:szCs w:val="21"/>
              </w:rPr>
              <w:t>是</w:t>
            </w:r>
          </w:p>
        </w:tc>
        <w:tc>
          <w:tcPr>
            <w:tcW w:w="1426" w:type="dxa"/>
            <w:vAlign w:val="center"/>
          </w:tcPr>
          <w:p>
            <w:pPr>
              <w:snapToGrid w:val="0"/>
              <w:spacing w:line="240" w:lineRule="auto"/>
              <w:jc w:val="center"/>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内部审核</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内部审核制度是否完善，校审意见单是否齐全，内部评审、方案会审记录是否齐全，专业间互提资料单是否齐全，内部各级复、审核意见是否落实全面，文件的签署、专业会签是否完整。</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280" w:lineRule="exact"/>
              <w:jc w:val="both"/>
              <w:textAlignment w:val="auto"/>
              <w:rPr>
                <w:rFonts w:ascii="仿宋_GB2312" w:hAnsi="仿宋_GB2312" w:cs="仿宋_GB2312"/>
                <w:sz w:val="21"/>
                <w:szCs w:val="21"/>
              </w:rPr>
            </w:pPr>
            <w:r>
              <w:rPr>
                <w:rFonts w:hint="eastAsia" w:ascii="仿宋_GB2312" w:hAnsi="仿宋_GB2312" w:cs="仿宋_GB2312"/>
                <w:sz w:val="21"/>
                <w:szCs w:val="21"/>
              </w:rPr>
              <w:t>是</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初步设计审查落实</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施工图设计中是否说明初步设计专家意见（包括其它评审意见）的执行情况。</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280" w:lineRule="exact"/>
              <w:jc w:val="both"/>
              <w:textAlignment w:val="auto"/>
              <w:rPr>
                <w:rFonts w:ascii="仿宋_GB2312" w:hAnsi="仿宋_GB2312" w:cs="仿宋_GB2312"/>
                <w:sz w:val="21"/>
                <w:szCs w:val="21"/>
              </w:rPr>
            </w:pPr>
            <w:r>
              <w:rPr>
                <w:rFonts w:hint="eastAsia" w:ascii="仿宋_GB2312" w:hAnsi="仿宋_GB2312" w:cs="仿宋_GB2312"/>
                <w:sz w:val="21"/>
                <w:szCs w:val="21"/>
              </w:rPr>
              <w:t>无</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设计交底</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是否按照要求执行设计交底制度，是否按照要求执行图纸会审制度。</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280" w:lineRule="exact"/>
              <w:jc w:val="both"/>
              <w:textAlignment w:val="auto"/>
              <w:rPr>
                <w:rFonts w:ascii="仿宋_GB2312" w:hAnsi="仿宋_GB2312" w:cs="仿宋_GB2312"/>
                <w:sz w:val="21"/>
                <w:szCs w:val="21"/>
              </w:rPr>
            </w:pPr>
            <w:r>
              <w:rPr>
                <w:rFonts w:hint="eastAsia" w:ascii="仿宋_GB2312" w:hAnsi="仿宋_GB2312" w:cs="仿宋_GB2312"/>
                <w:sz w:val="21"/>
                <w:szCs w:val="21"/>
              </w:rPr>
              <w:t>无</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pacing w:val="20"/>
                <w:sz w:val="21"/>
                <w:szCs w:val="21"/>
              </w:rPr>
              <w:t>设计文件修改、变更</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设计文件修改、变更是否合理，设计变更是否履行规定的程序。</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280" w:lineRule="exact"/>
              <w:jc w:val="both"/>
              <w:textAlignment w:val="auto"/>
              <w:rPr>
                <w:rFonts w:ascii="仿宋_GB2312" w:hAnsi="仿宋_GB2312" w:cs="仿宋_GB2312"/>
                <w:sz w:val="21"/>
                <w:szCs w:val="21"/>
              </w:rPr>
            </w:pPr>
            <w:r>
              <w:rPr>
                <w:rFonts w:hint="eastAsia" w:ascii="仿宋_GB2312" w:hAnsi="仿宋_GB2312" w:cs="仿宋_GB2312"/>
                <w:sz w:val="21"/>
                <w:szCs w:val="21"/>
              </w:rPr>
              <w:t>无</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建筑</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总平面设计是否满足规划部门要求，单体建筑功能、主要特征等是否符合立项、规划部门要求，主要技术经济指标表述是否全面，并满足相关主管部门要求，</w:t>
            </w:r>
            <w:r>
              <w:rPr>
                <w:rFonts w:hint="eastAsia" w:ascii="仿宋_GB2312" w:hAnsi="仿宋_GB2312" w:cs="仿宋_GB2312"/>
                <w:sz w:val="21"/>
                <w:szCs w:val="21"/>
                <w:shd w:val="clear" w:color="auto" w:fill="FFFFFF"/>
                <w:lang w:val="en-GB"/>
              </w:rPr>
              <w:t>绿色建筑设计目标是否明确，建筑节能和绿色建筑设计拟采取的相应技术措施是否合理可行并符合规范要求</w:t>
            </w:r>
            <w:r>
              <w:rPr>
                <w:rFonts w:hint="eastAsia" w:ascii="仿宋_GB2312" w:hAnsi="仿宋_GB2312" w:cs="仿宋_GB2312"/>
                <w:sz w:val="21"/>
                <w:szCs w:val="21"/>
                <w:shd w:val="clear" w:color="auto" w:fill="FFFFFF"/>
              </w:rPr>
              <w:t>。</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280" w:lineRule="exact"/>
              <w:jc w:val="both"/>
              <w:textAlignment w:val="auto"/>
              <w:rPr>
                <w:rFonts w:ascii="仿宋_GB2312" w:hAnsi="仿宋_GB2312" w:cs="仿宋_GB2312"/>
                <w:sz w:val="21"/>
                <w:szCs w:val="21"/>
              </w:rPr>
            </w:pPr>
            <w:r>
              <w:rPr>
                <w:rFonts w:hint="eastAsia" w:ascii="仿宋_GB2312" w:hAnsi="仿宋_GB2312" w:cs="仿宋_GB2312"/>
                <w:sz w:val="21"/>
                <w:szCs w:val="21"/>
                <w:shd w:val="clear" w:color="auto" w:fill="FFFFFF"/>
              </w:rPr>
              <w:t>设计文件已明确</w:t>
            </w:r>
            <w:r>
              <w:rPr>
                <w:rFonts w:hint="eastAsia" w:ascii="仿宋_GB2312" w:hAnsi="仿宋_GB2312" w:cs="仿宋_GB2312"/>
                <w:sz w:val="21"/>
                <w:szCs w:val="21"/>
                <w:shd w:val="clear" w:color="auto" w:fill="FFFFFF"/>
                <w:lang w:val="en-GB"/>
              </w:rPr>
              <w:t>绿色建筑设计目标是</w:t>
            </w:r>
            <w:r>
              <w:rPr>
                <w:rFonts w:hint="eastAsia" w:ascii="仿宋_GB2312" w:hAnsi="仿宋_GB2312" w:cs="仿宋_GB2312"/>
                <w:sz w:val="21"/>
                <w:szCs w:val="21"/>
                <w:shd w:val="clear" w:color="auto" w:fill="FFFFFF"/>
              </w:rPr>
              <w:t>基本级</w:t>
            </w:r>
            <w:r>
              <w:rPr>
                <w:rFonts w:hint="eastAsia" w:ascii="仿宋_GB2312" w:hAnsi="仿宋_GB2312" w:cs="仿宋_GB2312"/>
                <w:sz w:val="21"/>
                <w:szCs w:val="21"/>
                <w:shd w:val="clear" w:color="auto" w:fill="FFFFFF"/>
                <w:lang w:val="en-GB"/>
              </w:rPr>
              <w:t>，</w:t>
            </w:r>
            <w:r>
              <w:rPr>
                <w:rFonts w:hint="eastAsia" w:ascii="仿宋_GB2312" w:hAnsi="仿宋_GB2312" w:cs="仿宋_GB2312"/>
                <w:sz w:val="21"/>
                <w:szCs w:val="21"/>
                <w:shd w:val="clear" w:color="auto" w:fill="FFFFFF"/>
              </w:rPr>
              <w:t>施工图中采取的</w:t>
            </w:r>
            <w:r>
              <w:rPr>
                <w:rFonts w:hint="eastAsia" w:ascii="仿宋_GB2312" w:hAnsi="仿宋_GB2312" w:cs="仿宋_GB2312"/>
                <w:sz w:val="21"/>
                <w:szCs w:val="21"/>
                <w:shd w:val="clear" w:color="auto" w:fill="FFFFFF"/>
                <w:lang w:val="en-GB"/>
              </w:rPr>
              <w:t>建筑节能和绿色建筑技术措施</w:t>
            </w:r>
            <w:r>
              <w:rPr>
                <w:rFonts w:hint="eastAsia" w:ascii="仿宋_GB2312" w:hAnsi="仿宋_GB2312" w:cs="仿宋_GB2312"/>
                <w:sz w:val="21"/>
                <w:szCs w:val="21"/>
                <w:shd w:val="clear" w:color="auto" w:fill="FFFFFF"/>
              </w:rPr>
              <w:t>基本</w:t>
            </w:r>
            <w:r>
              <w:rPr>
                <w:rFonts w:hint="eastAsia" w:ascii="仿宋_GB2312" w:hAnsi="仿宋_GB2312" w:cs="仿宋_GB2312"/>
                <w:sz w:val="21"/>
                <w:szCs w:val="21"/>
                <w:shd w:val="clear" w:color="auto" w:fill="FFFFFF"/>
                <w:lang w:val="en-GB"/>
              </w:rPr>
              <w:t>合理可行并符合规范要求。</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建筑设计质量检查要点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lang w:val="en-GB"/>
              </w:rPr>
              <w:t>平面布置中功能分区是否明确，交通组织是否合理，楼层净高尺寸是否满足相关规范要求。消防设计是否满足有关要求，</w:t>
            </w:r>
            <w:r>
              <w:rPr>
                <w:rFonts w:hint="eastAsia" w:ascii="仿宋_GB2312" w:hAnsi="仿宋_GB2312" w:cs="仿宋_GB2312"/>
                <w:sz w:val="21"/>
                <w:szCs w:val="21"/>
              </w:rPr>
              <w:t>消防车道、消防登高救援场地、建筑间距、防火分区、安全疏散、疏散距离、疏散宽度及防火构造措施等是否满足相应的规定。无障碍设计是否满足规范要求。</w:t>
            </w:r>
            <w:r>
              <w:rPr>
                <w:rFonts w:hint="eastAsia" w:ascii="仿宋_GB2312" w:hAnsi="仿宋_GB2312" w:cs="仿宋_GB2312"/>
                <w:sz w:val="21"/>
                <w:szCs w:val="21"/>
                <w:lang w:val="en-GB"/>
              </w:rPr>
              <w:t>项目的使用功能是否满足相关建筑设计规范要求等。</w:t>
            </w:r>
          </w:p>
        </w:tc>
        <w:tc>
          <w:tcPr>
            <w:tcW w:w="6325" w:type="dxa"/>
            <w:vAlign w:val="center"/>
          </w:tcPr>
          <w:p>
            <w:pPr>
              <w:keepNext w:val="0"/>
              <w:keepLines w:val="0"/>
              <w:pageBreakBefore w:val="0"/>
              <w:widowControl w:val="0"/>
              <w:kinsoku/>
              <w:wordWrap/>
              <w:overflowPunct/>
              <w:topLinePunct w:val="0"/>
              <w:autoSpaceDE/>
              <w:autoSpaceDN/>
              <w:bidi w:val="0"/>
              <w:adjustRightInd/>
              <w:spacing w:line="280" w:lineRule="exact"/>
              <w:jc w:val="both"/>
              <w:textAlignment w:val="auto"/>
              <w:rPr>
                <w:rFonts w:ascii="仿宋_GB2312" w:hAnsi="仿宋_GB2312" w:cs="仿宋_GB2312"/>
                <w:sz w:val="21"/>
                <w:szCs w:val="21"/>
              </w:rPr>
            </w:pPr>
            <w:r>
              <w:rPr>
                <w:rFonts w:hint="eastAsia" w:ascii="仿宋_GB2312" w:hAnsi="仿宋_GB2312" w:cs="仿宋_GB2312"/>
                <w:sz w:val="21"/>
                <w:szCs w:val="21"/>
              </w:rPr>
              <w:t>标准层平面图</w:t>
            </w:r>
            <w:r>
              <w:rPr>
                <w:rFonts w:ascii="仿宋_GB2312" w:hAnsi="仿宋_GB2312" w:cs="仿宋_GB2312"/>
                <w:sz w:val="21"/>
                <w:szCs w:val="21"/>
              </w:rPr>
              <w:t>J3-02~07</w:t>
            </w:r>
            <w:r>
              <w:rPr>
                <w:rFonts w:hint="eastAsia" w:ascii="仿宋_GB2312" w:hAnsi="仿宋_GB2312" w:cs="仿宋_GB2312"/>
                <w:sz w:val="21"/>
                <w:szCs w:val="21"/>
              </w:rPr>
              <w:t>：</w:t>
            </w:r>
          </w:p>
          <w:p>
            <w:pPr>
              <w:pStyle w:val="9"/>
              <w:keepNext w:val="0"/>
              <w:keepLines w:val="0"/>
              <w:pageBreakBefore w:val="0"/>
              <w:widowControl w:val="0"/>
              <w:numPr>
                <w:ilvl w:val="0"/>
                <w:numId w:val="2"/>
              </w:numPr>
              <w:kinsoku/>
              <w:wordWrap/>
              <w:overflowPunct/>
              <w:topLinePunct w:val="0"/>
              <w:autoSpaceDE/>
              <w:autoSpaceDN/>
              <w:bidi w:val="0"/>
              <w:adjustRightInd/>
              <w:spacing w:line="280" w:lineRule="exact"/>
              <w:ind w:firstLineChars="0"/>
              <w:jc w:val="both"/>
              <w:textAlignment w:val="auto"/>
              <w:rPr>
                <w:rFonts w:ascii="仿宋_GB2312" w:hAnsi="仿宋_GB2312" w:eastAsia="仿宋_GB2312" w:cs="仿宋_GB2312"/>
                <w:sz w:val="21"/>
                <w:szCs w:val="21"/>
              </w:rPr>
            </w:pPr>
            <w:r>
              <w:rPr>
                <w:rFonts w:hint="eastAsia" w:ascii="仿宋_GB2312" w:hAnsi="仿宋_GB2312" w:eastAsia="仿宋_GB2312" w:cs="仿宋_GB2312"/>
                <w:sz w:val="21"/>
                <w:szCs w:val="21"/>
              </w:rPr>
              <w:t>未明确热水器位置；厨房未见排气道位置；</w:t>
            </w:r>
          </w:p>
          <w:p>
            <w:pPr>
              <w:pStyle w:val="9"/>
              <w:keepNext w:val="0"/>
              <w:keepLines w:val="0"/>
              <w:pageBreakBefore w:val="0"/>
              <w:widowControl w:val="0"/>
              <w:numPr>
                <w:ilvl w:val="0"/>
                <w:numId w:val="2"/>
              </w:numPr>
              <w:kinsoku/>
              <w:wordWrap/>
              <w:overflowPunct/>
              <w:topLinePunct w:val="0"/>
              <w:autoSpaceDE/>
              <w:autoSpaceDN/>
              <w:bidi w:val="0"/>
              <w:adjustRightInd/>
              <w:spacing w:line="280" w:lineRule="exact"/>
              <w:ind w:firstLineChars="0"/>
              <w:jc w:val="both"/>
              <w:textAlignment w:val="auto"/>
              <w:rPr>
                <w:rFonts w:ascii="仿宋_GB2312" w:hAnsi="仿宋_GB2312" w:eastAsia="仿宋_GB2312" w:cs="仿宋_GB2312"/>
                <w:sz w:val="21"/>
                <w:szCs w:val="21"/>
              </w:rPr>
            </w:pPr>
            <w:r>
              <w:rPr>
                <w:rFonts w:hint="eastAsia" w:ascii="仿宋_GB2312" w:hAnsi="仿宋_GB2312" w:eastAsia="仿宋_GB2312" w:cs="仿宋_GB2312"/>
                <w:sz w:val="21"/>
                <w:szCs w:val="21"/>
              </w:rPr>
              <w:t>补充标注前室面积；</w:t>
            </w:r>
          </w:p>
          <w:p>
            <w:pPr>
              <w:pStyle w:val="9"/>
              <w:keepNext w:val="0"/>
              <w:keepLines w:val="0"/>
              <w:pageBreakBefore w:val="0"/>
              <w:widowControl w:val="0"/>
              <w:numPr>
                <w:ilvl w:val="0"/>
                <w:numId w:val="2"/>
              </w:numPr>
              <w:kinsoku/>
              <w:wordWrap/>
              <w:overflowPunct/>
              <w:topLinePunct w:val="0"/>
              <w:autoSpaceDE/>
              <w:autoSpaceDN/>
              <w:bidi w:val="0"/>
              <w:adjustRightInd/>
              <w:snapToGrid w:val="0"/>
              <w:spacing w:line="280" w:lineRule="exact"/>
              <w:ind w:firstLineChars="0"/>
              <w:jc w:val="both"/>
              <w:textAlignment w:val="auto"/>
              <w:rPr>
                <w:rFonts w:ascii="仿宋_GB2312" w:hAnsi="仿宋_GB2312" w:eastAsia="仿宋_GB2312" w:cs="仿宋_GB2312"/>
                <w:sz w:val="21"/>
                <w:szCs w:val="21"/>
              </w:rPr>
            </w:pPr>
            <w:r>
              <w:rPr>
                <w:rFonts w:hint="eastAsia" w:ascii="仿宋_GB2312" w:hAnsi="仿宋_GB2312" w:eastAsia="仿宋_GB2312" w:cs="仿宋_GB2312"/>
                <w:sz w:val="21"/>
                <w:szCs w:val="21"/>
              </w:rPr>
              <w:t>户型4的阳台未设排水；</w:t>
            </w:r>
          </w:p>
          <w:p>
            <w:pPr>
              <w:pStyle w:val="2"/>
              <w:keepNext w:val="0"/>
              <w:keepLines w:val="0"/>
              <w:pageBreakBefore w:val="0"/>
              <w:widowControl w:val="0"/>
              <w:kinsoku/>
              <w:wordWrap/>
              <w:overflowPunct/>
              <w:topLinePunct w:val="0"/>
              <w:autoSpaceDE/>
              <w:autoSpaceDN/>
              <w:bidi w:val="0"/>
              <w:adjustRightInd/>
              <w:spacing w:line="280" w:lineRule="exact"/>
              <w:ind w:left="360" w:firstLine="0" w:firstLineChars="0"/>
              <w:jc w:val="both"/>
              <w:textAlignment w:val="auto"/>
              <w:rPr>
                <w:sz w:val="21"/>
                <w:szCs w:val="21"/>
              </w:rPr>
            </w:pPr>
          </w:p>
          <w:p>
            <w:pPr>
              <w:keepNext w:val="0"/>
              <w:keepLines w:val="0"/>
              <w:pageBreakBefore w:val="0"/>
              <w:widowControl w:val="0"/>
              <w:kinsoku/>
              <w:wordWrap/>
              <w:overflowPunct/>
              <w:topLinePunct w:val="0"/>
              <w:autoSpaceDE/>
              <w:autoSpaceDN/>
              <w:bidi w:val="0"/>
              <w:adjustRightInd/>
              <w:snapToGrid w:val="0"/>
              <w:spacing w:line="280" w:lineRule="exact"/>
              <w:jc w:val="both"/>
              <w:textAlignment w:val="auto"/>
              <w:rPr>
                <w:rFonts w:ascii="仿宋_GB2312" w:hAnsi="仿宋_GB2312" w:cs="仿宋_GB2312"/>
                <w:sz w:val="21"/>
                <w:szCs w:val="21"/>
              </w:rPr>
            </w:pPr>
            <w:r>
              <w:rPr>
                <w:rFonts w:hint="eastAsia" w:ascii="仿宋_GB2312" w:hAnsi="仿宋_GB2312" w:cs="仿宋_GB2312"/>
                <w:sz w:val="21"/>
                <w:szCs w:val="21"/>
              </w:rPr>
              <w:t>二十九层平面图J</w:t>
            </w:r>
            <w:r>
              <w:rPr>
                <w:rFonts w:ascii="仿宋_GB2312" w:hAnsi="仿宋_GB2312" w:cs="仿宋_GB2312"/>
                <w:sz w:val="21"/>
                <w:szCs w:val="21"/>
              </w:rPr>
              <w:t>3-08</w:t>
            </w:r>
            <w:r>
              <w:rPr>
                <w:rFonts w:hint="eastAsia" w:ascii="仿宋_GB2312" w:hAnsi="仿宋_GB2312" w:cs="仿宋_GB2312"/>
                <w:sz w:val="21"/>
                <w:szCs w:val="21"/>
              </w:rPr>
              <w:t>：</w:t>
            </w:r>
          </w:p>
          <w:p>
            <w:pPr>
              <w:keepNext w:val="0"/>
              <w:keepLines w:val="0"/>
              <w:pageBreakBefore w:val="0"/>
              <w:widowControl w:val="0"/>
              <w:kinsoku/>
              <w:wordWrap/>
              <w:overflowPunct/>
              <w:topLinePunct w:val="0"/>
              <w:autoSpaceDE/>
              <w:autoSpaceDN/>
              <w:bidi w:val="0"/>
              <w:adjustRightInd/>
              <w:spacing w:line="280" w:lineRule="exact"/>
              <w:jc w:val="both"/>
              <w:textAlignment w:val="auto"/>
              <w:rPr>
                <w:rFonts w:ascii="仿宋_GB2312" w:hAnsi="仿宋_GB2312" w:cs="仿宋_GB2312"/>
                <w:sz w:val="21"/>
                <w:szCs w:val="21"/>
              </w:rPr>
            </w:pPr>
            <w:r>
              <w:rPr>
                <w:rFonts w:hint="eastAsia" w:ascii="仿宋_GB2312" w:hAnsi="仿宋_GB2312" w:cs="仿宋_GB2312"/>
                <w:sz w:val="21"/>
                <w:szCs w:val="21"/>
              </w:rPr>
              <w:t>1）合用前室外窗外有结构板封板，还有另一层外窗，最外一层外窗与住宅户内外窗需满足1米距离，违反《建筑设计防火规范》GB50016-2014(2018年版)</w:t>
            </w:r>
            <w:r>
              <w:rPr>
                <w:rFonts w:ascii="仿宋_GB2312" w:hAnsi="仿宋_GB2312" w:cs="仿宋_GB2312"/>
                <w:sz w:val="21"/>
                <w:szCs w:val="21"/>
              </w:rPr>
              <w:t>6.4.1-1</w:t>
            </w:r>
            <w:r>
              <w:rPr>
                <w:rFonts w:hint="eastAsia" w:ascii="仿宋_GB2312" w:hAnsi="仿宋_GB2312" w:cs="仿宋_GB2312"/>
                <w:sz w:val="21"/>
                <w:szCs w:val="21"/>
              </w:rPr>
              <w:t>；</w:t>
            </w:r>
          </w:p>
          <w:p>
            <w:pPr>
              <w:keepNext w:val="0"/>
              <w:keepLines w:val="0"/>
              <w:pageBreakBefore w:val="0"/>
              <w:widowControl w:val="0"/>
              <w:kinsoku/>
              <w:wordWrap/>
              <w:overflowPunct/>
              <w:topLinePunct w:val="0"/>
              <w:autoSpaceDE/>
              <w:autoSpaceDN/>
              <w:bidi w:val="0"/>
              <w:adjustRightInd/>
              <w:snapToGrid w:val="0"/>
              <w:spacing w:line="280" w:lineRule="exact"/>
              <w:jc w:val="both"/>
              <w:textAlignment w:val="auto"/>
              <w:rPr>
                <w:rFonts w:ascii="仿宋_GB2312" w:hAnsi="仿宋_GB2312" w:cs="仿宋_GB2312"/>
                <w:sz w:val="21"/>
                <w:szCs w:val="21"/>
                <w:lang w:val="en-GB"/>
              </w:rPr>
            </w:pPr>
            <w:r>
              <w:rPr>
                <w:rFonts w:hint="eastAsia" w:ascii="仿宋_GB2312" w:hAnsi="仿宋_GB2312" w:cs="仿宋_GB2312"/>
                <w:sz w:val="21"/>
                <w:szCs w:val="21"/>
              </w:rPr>
              <w:t>2）复核并标注复式上层户内最远点到复式下层户门距离（户内楼梯应计算1</w:t>
            </w:r>
            <w:r>
              <w:rPr>
                <w:rFonts w:ascii="仿宋_GB2312" w:hAnsi="仿宋_GB2312" w:cs="仿宋_GB2312"/>
                <w:sz w:val="21"/>
                <w:szCs w:val="21"/>
              </w:rPr>
              <w:t>.5</w:t>
            </w:r>
            <w:r>
              <w:rPr>
                <w:rFonts w:hint="eastAsia" w:ascii="仿宋_GB2312" w:hAnsi="仿宋_GB2312" w:cs="仿宋_GB2312"/>
                <w:sz w:val="21"/>
                <w:szCs w:val="21"/>
              </w:rPr>
              <w:t>倍距离，距离不应超过2</w:t>
            </w:r>
            <w:r>
              <w:rPr>
                <w:rFonts w:ascii="仿宋_GB2312" w:hAnsi="仿宋_GB2312" w:cs="仿宋_GB2312"/>
                <w:sz w:val="21"/>
                <w:szCs w:val="21"/>
              </w:rPr>
              <w:t>0</w:t>
            </w:r>
            <w:r>
              <w:rPr>
                <w:rFonts w:hint="eastAsia" w:ascii="仿宋_GB2312" w:hAnsi="仿宋_GB2312" w:cs="仿宋_GB2312"/>
                <w:sz w:val="21"/>
                <w:szCs w:val="21"/>
              </w:rPr>
              <w:t>米）；</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结构</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结构选型、结构布置是否存在不合理或投资浪费等问题；荷载取值、结构计算、</w:t>
            </w:r>
            <w:r>
              <w:rPr>
                <w:rFonts w:hint="eastAsia" w:ascii="仿宋_GB2312" w:hAnsi="仿宋_GB2312" w:cs="仿宋_GB2312"/>
                <w:sz w:val="21"/>
                <w:szCs w:val="21"/>
                <w:shd w:val="clear" w:color="auto" w:fill="FFFFFF"/>
              </w:rPr>
              <w:t>结构安全等级、结构重要性系数、结构使用年限及耐久性、抗震设防类别和抗震等级、抗震构造措施等是否符合规范。</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280" w:lineRule="exact"/>
              <w:jc w:val="both"/>
              <w:textAlignment w:val="auto"/>
              <w:rPr>
                <w:rFonts w:ascii="仿宋_GB2312" w:hAnsi="仿宋_GB2312" w:cs="仿宋_GB2312"/>
                <w:sz w:val="21"/>
                <w:szCs w:val="21"/>
              </w:rPr>
            </w:pPr>
            <w:r>
              <w:rPr>
                <w:rFonts w:ascii="仿宋_GB2312" w:hAnsi="仿宋_GB2312" w:cs="仿宋_GB2312"/>
                <w:sz w:val="21"/>
                <w:szCs w:val="21"/>
              </w:rPr>
              <w:t>合理</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地基基础设计质量检查要点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基础选型及埋深、天然地基持力层、桩端持力层及进入持力层的深度是否合理，是否满足地基承载力、变形及整体稳定要求。抗浮设防水位是否正确，采取的抗浮措施是否合理、可靠。</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280" w:lineRule="exact"/>
              <w:jc w:val="both"/>
              <w:textAlignment w:val="auto"/>
              <w:rPr>
                <w:rFonts w:ascii="仿宋_GB2312" w:hAnsi="仿宋_GB2312" w:cs="仿宋_GB2312"/>
                <w:sz w:val="21"/>
                <w:szCs w:val="21"/>
              </w:rPr>
            </w:pPr>
            <w:r>
              <w:rPr>
                <w:rFonts w:ascii="仿宋_GB2312" w:hAnsi="仿宋_GB2312" w:cs="仿宋_GB2312"/>
                <w:sz w:val="21"/>
                <w:szCs w:val="21"/>
              </w:rPr>
              <w:t>合理（地下室抗浮非本次抽查范围）</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上部结构及地下室结构设计质量要点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合理设置变形缝，采用的结构体系和结构布置是否合理；钢结构、大跨度空间结构所采用的结构方案是否合理，是否满足稳定设计要求，支撑系统及主要节点和支座形式是否合理、可行；幕墙结构选取的结构形式是否合理、安全、设计参数是否符合规范要求，是否计入幕墙对主体结构的荷载作用；大体积混凝土结构与超长结构的处理措施是否合理；结构构件配筋、钢结构构造等是否满足规范要求。</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280" w:lineRule="exact"/>
              <w:jc w:val="both"/>
              <w:textAlignment w:val="auto"/>
              <w:rPr>
                <w:rFonts w:ascii="仿宋_GB2312" w:hAnsi="仿宋_GB2312" w:cs="仿宋_GB2312"/>
                <w:sz w:val="21"/>
                <w:szCs w:val="21"/>
              </w:rPr>
            </w:pPr>
            <w:r>
              <w:rPr>
                <w:rFonts w:ascii="仿宋_GB2312" w:hAnsi="仿宋_GB2312" w:cs="仿宋_GB2312"/>
                <w:sz w:val="21"/>
                <w:szCs w:val="21"/>
              </w:rPr>
              <w:t>合理</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给排水</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总平面给排水设计是否满足规划部门要求，主要技术经济指标表述是否全面，并满足相关主管部门要求，绿色建筑设计目标是否明确，建筑节能和绿色建筑设计拟采取的相应技术措施是否合理可行并符合规范要求。</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280" w:lineRule="exact"/>
              <w:jc w:val="both"/>
              <w:textAlignment w:val="auto"/>
              <w:rPr>
                <w:rFonts w:ascii="仿宋" w:hAnsi="仿宋" w:eastAsia="仿宋" w:cs="仿宋_GB2312"/>
                <w:sz w:val="21"/>
                <w:szCs w:val="21"/>
              </w:rPr>
            </w:pPr>
            <w:r>
              <w:rPr>
                <w:rFonts w:hint="eastAsia" w:ascii="仿宋_GB2312" w:hAnsi="仿宋_GB2312" w:cs="仿宋_GB2312"/>
                <w:sz w:val="21"/>
                <w:szCs w:val="21"/>
                <w:shd w:val="clear" w:color="auto" w:fill="FFFFFF"/>
              </w:rPr>
              <w:t>设计文件已明确</w:t>
            </w:r>
            <w:r>
              <w:rPr>
                <w:rFonts w:hint="eastAsia" w:ascii="仿宋_GB2312" w:hAnsi="仿宋_GB2312" w:cs="仿宋_GB2312"/>
                <w:sz w:val="21"/>
                <w:szCs w:val="21"/>
                <w:shd w:val="clear" w:color="auto" w:fill="FFFFFF"/>
                <w:lang w:val="en-GB"/>
              </w:rPr>
              <w:t>绿色建筑设计目标是</w:t>
            </w:r>
            <w:r>
              <w:rPr>
                <w:rFonts w:hint="eastAsia" w:ascii="仿宋_GB2312" w:hAnsi="仿宋_GB2312" w:cs="仿宋_GB2312"/>
                <w:sz w:val="21"/>
                <w:szCs w:val="21"/>
                <w:shd w:val="clear" w:color="auto" w:fill="FFFFFF"/>
              </w:rPr>
              <w:t>基本级</w:t>
            </w:r>
            <w:r>
              <w:rPr>
                <w:rFonts w:hint="eastAsia" w:ascii="仿宋_GB2312" w:hAnsi="仿宋_GB2312" w:cs="仿宋_GB2312"/>
                <w:sz w:val="21"/>
                <w:szCs w:val="21"/>
                <w:shd w:val="clear" w:color="auto" w:fill="FFFFFF"/>
                <w:lang w:val="en-GB"/>
              </w:rPr>
              <w:t>，</w:t>
            </w:r>
            <w:r>
              <w:rPr>
                <w:rFonts w:hint="eastAsia" w:ascii="仿宋_GB2312" w:hAnsi="仿宋_GB2312" w:cs="仿宋_GB2312"/>
                <w:sz w:val="21"/>
                <w:szCs w:val="21"/>
                <w:shd w:val="clear" w:color="auto" w:fill="FFFFFF"/>
              </w:rPr>
              <w:t>施工图中采取的</w:t>
            </w:r>
            <w:r>
              <w:rPr>
                <w:rFonts w:hint="eastAsia" w:ascii="仿宋_GB2312" w:hAnsi="仿宋_GB2312" w:cs="仿宋_GB2312"/>
                <w:sz w:val="21"/>
                <w:szCs w:val="21"/>
                <w:shd w:val="clear" w:color="auto" w:fill="FFFFFF"/>
                <w:lang w:val="en-GB"/>
              </w:rPr>
              <w:t>建筑节能和绿色建筑技术措施</w:t>
            </w:r>
            <w:r>
              <w:rPr>
                <w:rFonts w:hint="eastAsia" w:ascii="仿宋_GB2312" w:hAnsi="仿宋_GB2312" w:cs="仿宋_GB2312"/>
                <w:sz w:val="21"/>
                <w:szCs w:val="21"/>
                <w:shd w:val="clear" w:color="auto" w:fill="FFFFFF"/>
              </w:rPr>
              <w:t>基本</w:t>
            </w:r>
            <w:r>
              <w:rPr>
                <w:rFonts w:hint="eastAsia" w:ascii="仿宋_GB2312" w:hAnsi="仿宋_GB2312" w:cs="仿宋_GB2312"/>
                <w:sz w:val="21"/>
                <w:szCs w:val="21"/>
                <w:shd w:val="clear" w:color="auto" w:fill="FFFFFF"/>
                <w:lang w:val="en-GB"/>
              </w:rPr>
              <w:t>合理可行并符合规范要求。</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给排水设计质量检查要点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给水、排水等各系统设计是否合理，设计技术参数是否符合标准规范要求；设备、设施的选型是否满足要求；消火栓、自动喷水、气体消防等系统和设施等是否设置合理并满足标准规范要求；污水排水量是否正确，雨水排水量采用设计参数是否正确，排水是否采用污水与雨水分流制，并符合规范要求等。</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280" w:lineRule="exact"/>
              <w:jc w:val="both"/>
              <w:textAlignment w:val="auto"/>
              <w:rPr>
                <w:rFonts w:ascii="仿宋_GB2312" w:hAnsi="仿宋_GB2312" w:cs="仿宋_GB2312"/>
                <w:sz w:val="21"/>
                <w:szCs w:val="21"/>
              </w:rPr>
            </w:pPr>
            <w:r>
              <w:rPr>
                <w:rFonts w:hint="eastAsia" w:ascii="仿宋_GB2312" w:hAnsi="仿宋_GB2312" w:cs="仿宋_GB2312"/>
                <w:sz w:val="21"/>
                <w:szCs w:val="21"/>
              </w:rPr>
              <w:t>给排水系统设计合理，符合规范要求。</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电气</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总平面电气设计是否满足规划部门要求，主要技术经济指标表述是否全面，并满足相关主管部门要求；设备选用是否存在不合理或投资浪费等问题；防雷措施、接地系统等是否满足要求；绿色建筑设计目标是否明确，建筑节能和绿色建筑设计拟采取的相应技术措施是否合理可行并符合规范要求。</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280" w:lineRule="exact"/>
              <w:jc w:val="both"/>
              <w:textAlignment w:val="auto"/>
              <w:rPr>
                <w:rFonts w:ascii="仿宋_GB2312" w:hAnsi="仿宋_GB2312" w:cs="仿宋_GB2312"/>
                <w:sz w:val="21"/>
                <w:szCs w:val="21"/>
              </w:rPr>
            </w:pPr>
            <w:r>
              <w:rPr>
                <w:rFonts w:hint="eastAsia" w:ascii="仿宋_GB2312" w:hAnsi="仿宋_GB2312" w:cs="仿宋_GB2312"/>
                <w:sz w:val="21"/>
                <w:szCs w:val="21"/>
                <w:shd w:val="clear" w:color="auto" w:fill="FFFFFF"/>
              </w:rPr>
              <w:t>设计文件已明确</w:t>
            </w:r>
            <w:r>
              <w:rPr>
                <w:rFonts w:hint="eastAsia" w:ascii="仿宋_GB2312" w:hAnsi="仿宋_GB2312" w:cs="仿宋_GB2312"/>
                <w:sz w:val="21"/>
                <w:szCs w:val="21"/>
                <w:shd w:val="clear" w:color="auto" w:fill="FFFFFF"/>
                <w:lang w:val="en-GB"/>
              </w:rPr>
              <w:t>绿色建筑设计目标是</w:t>
            </w:r>
            <w:r>
              <w:rPr>
                <w:rFonts w:hint="eastAsia" w:ascii="仿宋_GB2312" w:hAnsi="仿宋_GB2312" w:cs="仿宋_GB2312"/>
                <w:sz w:val="21"/>
                <w:szCs w:val="21"/>
                <w:shd w:val="clear" w:color="auto" w:fill="FFFFFF"/>
              </w:rPr>
              <w:t>基本级</w:t>
            </w:r>
            <w:r>
              <w:rPr>
                <w:rFonts w:hint="eastAsia" w:ascii="仿宋_GB2312" w:hAnsi="仿宋_GB2312" w:cs="仿宋_GB2312"/>
                <w:sz w:val="21"/>
                <w:szCs w:val="21"/>
                <w:shd w:val="clear" w:color="auto" w:fill="FFFFFF"/>
                <w:lang w:val="en-GB"/>
              </w:rPr>
              <w:t>，</w:t>
            </w:r>
            <w:r>
              <w:rPr>
                <w:rFonts w:hint="eastAsia" w:ascii="仿宋_GB2312" w:hAnsi="仿宋_GB2312" w:cs="仿宋_GB2312"/>
                <w:sz w:val="21"/>
                <w:szCs w:val="21"/>
                <w:shd w:val="clear" w:color="auto" w:fill="FFFFFF"/>
              </w:rPr>
              <w:t>施工图中采取的</w:t>
            </w:r>
            <w:r>
              <w:rPr>
                <w:rFonts w:hint="eastAsia" w:ascii="仿宋_GB2312" w:hAnsi="仿宋_GB2312" w:cs="仿宋_GB2312"/>
                <w:sz w:val="21"/>
                <w:szCs w:val="21"/>
                <w:shd w:val="clear" w:color="auto" w:fill="FFFFFF"/>
                <w:lang w:val="en-GB"/>
              </w:rPr>
              <w:t>建筑节能和绿色建筑技术措施</w:t>
            </w:r>
            <w:r>
              <w:rPr>
                <w:rFonts w:hint="eastAsia" w:ascii="仿宋_GB2312" w:hAnsi="仿宋_GB2312" w:cs="仿宋_GB2312"/>
                <w:sz w:val="21"/>
                <w:szCs w:val="21"/>
                <w:shd w:val="clear" w:color="auto" w:fill="FFFFFF"/>
              </w:rPr>
              <w:t>基本</w:t>
            </w:r>
            <w:r>
              <w:rPr>
                <w:rFonts w:hint="eastAsia" w:ascii="仿宋_GB2312" w:hAnsi="仿宋_GB2312" w:cs="仿宋_GB2312"/>
                <w:sz w:val="21"/>
                <w:szCs w:val="21"/>
                <w:shd w:val="clear" w:color="auto" w:fill="FFFFFF"/>
                <w:lang w:val="en-GB"/>
              </w:rPr>
              <w:t>合理可行并符合规范要求。</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电气设计质量检查要点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系统负荷分级、负荷指标选择、负荷计算及变压器容量的选择及配置是否正确；应急电源和备用电源形式、容量和性能指标选择是否合理、安全；建筑物防雷及电子信息系统防雷措施设计是否合理、满足规范要求，重要及特殊建、构筑物是否有相关特殊防雷措施，接地系统是否满足规范要求；电气材料选择、线路敷设、电气防火措施等是否满足规范要求。</w:t>
            </w:r>
          </w:p>
        </w:tc>
        <w:tc>
          <w:tcPr>
            <w:tcW w:w="6325" w:type="dxa"/>
            <w:vAlign w:val="center"/>
          </w:tcPr>
          <w:p>
            <w:pPr>
              <w:pStyle w:val="9"/>
              <w:keepNext w:val="0"/>
              <w:keepLines w:val="0"/>
              <w:pageBreakBefore w:val="0"/>
              <w:widowControl w:val="0"/>
              <w:numPr>
                <w:ilvl w:val="0"/>
                <w:numId w:val="3"/>
              </w:numPr>
              <w:kinsoku/>
              <w:wordWrap/>
              <w:overflowPunct/>
              <w:topLinePunct w:val="0"/>
              <w:autoSpaceDE/>
              <w:autoSpaceDN/>
              <w:bidi w:val="0"/>
              <w:adjustRightInd/>
              <w:spacing w:line="280" w:lineRule="exact"/>
              <w:ind w:firstLineChars="0"/>
              <w:jc w:val="both"/>
              <w:textAlignment w:val="auto"/>
              <w:rPr>
                <w:rFonts w:ascii="仿宋_GB2312" w:hAnsi="仿宋_GB2312" w:eastAsia="仿宋_GB2312" w:cs="仿宋_GB2312"/>
                <w:sz w:val="21"/>
                <w:szCs w:val="21"/>
              </w:rPr>
            </w:pPr>
            <w:r>
              <w:rPr>
                <w:rFonts w:ascii="仿宋_GB2312" w:hAnsi="仿宋_GB2312" w:eastAsia="仿宋_GB2312" w:cs="仿宋_GB2312"/>
                <w:sz w:val="21"/>
                <w:szCs w:val="21"/>
              </w:rPr>
              <w:t>图号</w:t>
            </w:r>
            <w:r>
              <w:rPr>
                <w:rFonts w:hint="eastAsia" w:ascii="仿宋_GB2312" w:hAnsi="仿宋_GB2312" w:eastAsia="仿宋_GB2312" w:cs="仿宋_GB2312"/>
                <w:sz w:val="21"/>
                <w:szCs w:val="21"/>
              </w:rPr>
              <w:t>D</w:t>
            </w:r>
            <w:r>
              <w:rPr>
                <w:rFonts w:ascii="仿宋_GB2312" w:hAnsi="仿宋_GB2312" w:eastAsia="仿宋_GB2312" w:cs="仿宋_GB2312"/>
                <w:sz w:val="21"/>
                <w:szCs w:val="21"/>
              </w:rPr>
              <w:t>S-SM-11说明补充</w:t>
            </w:r>
            <w:r>
              <w:rPr>
                <w:rFonts w:hint="eastAsia" w:ascii="仿宋_GB2312" w:hAnsi="仿宋_GB2312" w:eastAsia="仿宋_GB2312" w:cs="仿宋_GB2312"/>
                <w:sz w:val="21"/>
                <w:szCs w:val="21"/>
              </w:rPr>
              <w:t>：《建筑物防雷设计规范》GB50057-2010/ 4.3.5条6款相关说明；</w:t>
            </w:r>
          </w:p>
          <w:p>
            <w:pPr>
              <w:pStyle w:val="9"/>
              <w:keepNext w:val="0"/>
              <w:keepLines w:val="0"/>
              <w:pageBreakBefore w:val="0"/>
              <w:widowControl w:val="0"/>
              <w:numPr>
                <w:ilvl w:val="0"/>
                <w:numId w:val="3"/>
              </w:numPr>
              <w:kinsoku/>
              <w:wordWrap/>
              <w:overflowPunct/>
              <w:topLinePunct w:val="0"/>
              <w:autoSpaceDE/>
              <w:autoSpaceDN/>
              <w:bidi w:val="0"/>
              <w:adjustRightInd/>
              <w:spacing w:line="280" w:lineRule="exact"/>
              <w:ind w:firstLineChars="0"/>
              <w:jc w:val="both"/>
              <w:textAlignment w:val="auto"/>
              <w:rPr>
                <w:rFonts w:ascii="仿宋_GB2312" w:hAnsi="仿宋_GB2312" w:eastAsia="仿宋_GB2312" w:cs="仿宋_GB2312"/>
                <w:sz w:val="21"/>
                <w:szCs w:val="21"/>
              </w:rPr>
            </w:pPr>
            <w:r>
              <w:rPr>
                <w:rFonts w:ascii="仿宋_GB2312" w:hAnsi="仿宋_GB2312" w:eastAsia="仿宋_GB2312" w:cs="仿宋_GB2312"/>
                <w:sz w:val="21"/>
                <w:szCs w:val="21"/>
              </w:rPr>
              <w:t>DS3-28</w:t>
            </w:r>
            <w:r>
              <w:rPr>
                <w:rFonts w:hint="eastAsia" w:ascii="仿宋_GB2312" w:hAnsi="仿宋_GB2312" w:eastAsia="仿宋_GB2312" w:cs="仿宋_GB2312"/>
                <w:sz w:val="21"/>
                <w:szCs w:val="21"/>
              </w:rPr>
              <w:t>~</w:t>
            </w:r>
            <w:r>
              <w:rPr>
                <w:rFonts w:ascii="仿宋_GB2312" w:hAnsi="仿宋_GB2312" w:eastAsia="仿宋_GB2312" w:cs="仿宋_GB2312"/>
                <w:sz w:val="21"/>
                <w:szCs w:val="21"/>
              </w:rPr>
              <w:t>34防雷平面图</w:t>
            </w:r>
            <w:r>
              <w:rPr>
                <w:rFonts w:hint="eastAsia" w:ascii="仿宋_GB2312" w:hAnsi="仿宋_GB2312" w:eastAsia="仿宋_GB2312" w:cs="仿宋_GB2312"/>
                <w:sz w:val="21"/>
                <w:szCs w:val="21"/>
              </w:rPr>
              <w:t>：《民用建筑电气设计标准》GB51348-2019第 12.10.4条 装有淋浴器或浴盆的房间，应设置辅助保护等电位联结；</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暖通</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空调通风设计主要技术经济指标表述是否全面，并满足要求；设备选用是否存在不合理或投资浪费等问题；绿色建筑设计目标是否明确，建筑节能和绿色建筑设计拟采取的相应技术措施是否合理可行并符合规范要求。</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280" w:lineRule="exact"/>
              <w:jc w:val="both"/>
              <w:textAlignment w:val="auto"/>
              <w:rPr>
                <w:rFonts w:ascii="仿宋_GB2312" w:hAnsi="仿宋_GB2312" w:cs="仿宋_GB2312"/>
                <w:sz w:val="21"/>
                <w:szCs w:val="21"/>
              </w:rPr>
            </w:pPr>
            <w:r>
              <w:rPr>
                <w:rFonts w:hint="eastAsia" w:ascii="仿宋_GB2312" w:hAnsi="仿宋_GB2312" w:cs="仿宋_GB2312"/>
                <w:sz w:val="21"/>
                <w:szCs w:val="21"/>
                <w:shd w:val="clear" w:color="auto" w:fill="FFFFFF"/>
              </w:rPr>
              <w:t>设计文件已明确</w:t>
            </w:r>
            <w:r>
              <w:rPr>
                <w:rFonts w:hint="eastAsia" w:ascii="仿宋_GB2312" w:hAnsi="仿宋_GB2312" w:cs="仿宋_GB2312"/>
                <w:sz w:val="21"/>
                <w:szCs w:val="21"/>
                <w:shd w:val="clear" w:color="auto" w:fill="FFFFFF"/>
                <w:lang w:val="en-GB"/>
              </w:rPr>
              <w:t>绿色建筑设计目标是</w:t>
            </w:r>
            <w:r>
              <w:rPr>
                <w:rFonts w:hint="eastAsia" w:ascii="仿宋_GB2312" w:hAnsi="仿宋_GB2312" w:cs="仿宋_GB2312"/>
                <w:sz w:val="21"/>
                <w:szCs w:val="21"/>
                <w:shd w:val="clear" w:color="auto" w:fill="FFFFFF"/>
              </w:rPr>
              <w:t>基本级</w:t>
            </w:r>
            <w:r>
              <w:rPr>
                <w:rFonts w:hint="eastAsia" w:ascii="仿宋_GB2312" w:hAnsi="仿宋_GB2312" w:cs="仿宋_GB2312"/>
                <w:sz w:val="21"/>
                <w:szCs w:val="21"/>
                <w:shd w:val="clear" w:color="auto" w:fill="FFFFFF"/>
                <w:lang w:val="en-GB"/>
              </w:rPr>
              <w:t>，</w:t>
            </w:r>
            <w:r>
              <w:rPr>
                <w:rFonts w:hint="eastAsia" w:ascii="仿宋_GB2312" w:hAnsi="仿宋_GB2312" w:cs="仿宋_GB2312"/>
                <w:sz w:val="21"/>
                <w:szCs w:val="21"/>
                <w:shd w:val="clear" w:color="auto" w:fill="FFFFFF"/>
              </w:rPr>
              <w:t>施工图中采取的</w:t>
            </w:r>
            <w:r>
              <w:rPr>
                <w:rFonts w:hint="eastAsia" w:ascii="仿宋_GB2312" w:hAnsi="仿宋_GB2312" w:cs="仿宋_GB2312"/>
                <w:sz w:val="21"/>
                <w:szCs w:val="21"/>
                <w:shd w:val="clear" w:color="auto" w:fill="FFFFFF"/>
                <w:lang w:val="en-GB"/>
              </w:rPr>
              <w:t>建筑节能和绿色建筑技术措施</w:t>
            </w:r>
            <w:r>
              <w:rPr>
                <w:rFonts w:hint="eastAsia" w:ascii="仿宋_GB2312" w:hAnsi="仿宋_GB2312" w:cs="仿宋_GB2312"/>
                <w:sz w:val="21"/>
                <w:szCs w:val="21"/>
                <w:shd w:val="clear" w:color="auto" w:fill="FFFFFF"/>
              </w:rPr>
              <w:t>基本</w:t>
            </w:r>
            <w:r>
              <w:rPr>
                <w:rFonts w:hint="eastAsia" w:ascii="仿宋_GB2312" w:hAnsi="仿宋_GB2312" w:cs="仿宋_GB2312"/>
                <w:sz w:val="21"/>
                <w:szCs w:val="21"/>
                <w:shd w:val="clear" w:color="auto" w:fill="FFFFFF"/>
                <w:lang w:val="en-GB"/>
              </w:rPr>
              <w:t>合理可行并符合规范要求。</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电气设计质量检查要点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空调负荷计算是否合理，通风空调系统设置是否合理，通风空调系统设备机房布置是否合理，设计是否符合规范要求等。</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280" w:lineRule="exact"/>
              <w:jc w:val="both"/>
              <w:textAlignment w:val="auto"/>
              <w:rPr>
                <w:rFonts w:ascii="仿宋_GB2312" w:hAnsi="仿宋_GB2312" w:cs="仿宋_GB2312"/>
                <w:sz w:val="21"/>
                <w:szCs w:val="21"/>
              </w:rPr>
            </w:pPr>
            <w:r>
              <w:rPr>
                <w:rFonts w:ascii="仿宋_GB2312" w:hAnsi="仿宋_GB2312" w:cs="仿宋_GB2312"/>
                <w:sz w:val="21"/>
                <w:szCs w:val="21"/>
              </w:rPr>
              <w:t>本项目未涉及到</w:t>
            </w:r>
            <w:r>
              <w:rPr>
                <w:rFonts w:hint="eastAsia" w:ascii="仿宋_GB2312" w:hAnsi="仿宋_GB2312" w:cs="仿宋_GB2312"/>
                <w:sz w:val="21"/>
                <w:szCs w:val="21"/>
              </w:rPr>
              <w:t>空调负荷计算。屋面的电梯机房通风系统设置合理。</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消防</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总平面消防车道、消防车登高操作场地布置是否合理、是否满足使用要求；平面布置、安全出口布置、消防电梯布置是否合理、是否满足使用要求；消防设施的设置是否合理、是否满足使用要求；应急照明和疏散指示标志设置是否合理、是否满足使用要求。</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280" w:lineRule="exact"/>
              <w:jc w:val="both"/>
              <w:textAlignment w:val="auto"/>
              <w:rPr>
                <w:rFonts w:ascii="仿宋_GB2312" w:hAnsi="仿宋_GB2312" w:cs="仿宋_GB2312"/>
                <w:sz w:val="21"/>
                <w:szCs w:val="21"/>
              </w:rPr>
            </w:pPr>
            <w:r>
              <w:rPr>
                <w:rFonts w:hint="eastAsia" w:ascii="仿宋_GB2312" w:hAnsi="仿宋_GB2312" w:cs="仿宋_GB2312"/>
                <w:sz w:val="21"/>
                <w:szCs w:val="21"/>
              </w:rPr>
              <w:t>合理</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消防设计质量检查要点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建筑类别和耐火等级：建筑类别，建筑耐火等级，建筑构件的耐火极限和燃烧性能；总平面布局和平面布置：总平面布置，防火分区和层数，平面布置，安全疏散和避难；建筑构造防火：防火墙，建筑构件和管道井，屋顶、闷顶和建筑缝隙，疏散楼梯和疏散楼梯，防火门、窗和防火卷帘，天桥、栈桥和管沟，建筑保温和外墙装饰；灭火救援设施：消防车道，救援场地和入口，消防电梯， 直升机停机坪；消防设施的设置：室内消火栓系统，自动灭火系统，火灾自动报警系统，防烟和排烟设施；消防电气：应急照明和疏散指示标志</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280" w:lineRule="exact"/>
              <w:jc w:val="both"/>
              <w:textAlignment w:val="auto"/>
              <w:rPr>
                <w:sz w:val="21"/>
                <w:szCs w:val="21"/>
              </w:rPr>
            </w:pPr>
            <w:r>
              <w:rPr>
                <w:rFonts w:hint="eastAsia"/>
                <w:sz w:val="21"/>
                <w:szCs w:val="21"/>
              </w:rPr>
              <w:t>建筑：</w:t>
            </w:r>
          </w:p>
          <w:p>
            <w:pPr>
              <w:keepNext w:val="0"/>
              <w:keepLines w:val="0"/>
              <w:pageBreakBefore w:val="0"/>
              <w:widowControl w:val="0"/>
              <w:kinsoku/>
              <w:wordWrap/>
              <w:overflowPunct/>
              <w:topLinePunct w:val="0"/>
              <w:autoSpaceDE/>
              <w:autoSpaceDN/>
              <w:bidi w:val="0"/>
              <w:adjustRightInd/>
              <w:snapToGrid w:val="0"/>
              <w:spacing w:line="280" w:lineRule="exact"/>
              <w:jc w:val="both"/>
              <w:textAlignment w:val="auto"/>
              <w:rPr>
                <w:sz w:val="21"/>
                <w:szCs w:val="21"/>
              </w:rPr>
            </w:pPr>
            <w:r>
              <w:rPr>
                <w:rFonts w:hint="eastAsia"/>
                <w:sz w:val="21"/>
                <w:szCs w:val="21"/>
              </w:rPr>
              <w:t>二十九层平面图J</w:t>
            </w:r>
            <w:r>
              <w:rPr>
                <w:sz w:val="21"/>
                <w:szCs w:val="21"/>
              </w:rPr>
              <w:t>3-08</w:t>
            </w:r>
            <w:r>
              <w:rPr>
                <w:rFonts w:hint="eastAsia"/>
                <w:sz w:val="21"/>
                <w:szCs w:val="21"/>
              </w:rPr>
              <w:t>：</w:t>
            </w:r>
          </w:p>
          <w:p>
            <w:pPr>
              <w:keepNext w:val="0"/>
              <w:keepLines w:val="0"/>
              <w:pageBreakBefore w:val="0"/>
              <w:widowControl w:val="0"/>
              <w:kinsoku/>
              <w:wordWrap/>
              <w:overflowPunct/>
              <w:topLinePunct w:val="0"/>
              <w:autoSpaceDE/>
              <w:autoSpaceDN/>
              <w:bidi w:val="0"/>
              <w:adjustRightInd/>
              <w:spacing w:line="280" w:lineRule="exact"/>
              <w:jc w:val="both"/>
              <w:textAlignment w:val="auto"/>
              <w:rPr>
                <w:sz w:val="21"/>
                <w:szCs w:val="21"/>
              </w:rPr>
            </w:pPr>
            <w:r>
              <w:rPr>
                <w:rFonts w:hint="eastAsia"/>
                <w:sz w:val="21"/>
                <w:szCs w:val="21"/>
              </w:rPr>
              <w:t>1）合用前室外窗外有结构板封板，还有另一层外窗，最外一层外窗与住宅户内外窗需满足1米距离，违反《建筑设计防火规范》GB50016-2014(2018年版)6.4.1-1；</w:t>
            </w:r>
          </w:p>
          <w:p>
            <w:pPr>
              <w:keepNext w:val="0"/>
              <w:keepLines w:val="0"/>
              <w:pageBreakBefore w:val="0"/>
              <w:widowControl w:val="0"/>
              <w:kinsoku/>
              <w:wordWrap/>
              <w:overflowPunct/>
              <w:topLinePunct w:val="0"/>
              <w:autoSpaceDE/>
              <w:autoSpaceDN/>
              <w:bidi w:val="0"/>
              <w:adjustRightInd/>
              <w:spacing w:line="280" w:lineRule="exact"/>
              <w:jc w:val="both"/>
              <w:textAlignment w:val="auto"/>
              <w:rPr>
                <w:rFonts w:hint="eastAsia"/>
                <w:sz w:val="21"/>
                <w:szCs w:val="21"/>
              </w:rPr>
            </w:pPr>
            <w:r>
              <w:rPr>
                <w:rFonts w:hint="eastAsia"/>
                <w:sz w:val="21"/>
                <w:szCs w:val="21"/>
              </w:rPr>
              <w:t>2）复核并标注复式上层户内最远点到复式下层户门距离（户内楼梯应计算1.5倍距离，距离不应超过20米）；</w:t>
            </w:r>
          </w:p>
          <w:p>
            <w:pPr>
              <w:pStyle w:val="2"/>
              <w:keepNext w:val="0"/>
              <w:keepLines w:val="0"/>
              <w:pageBreakBefore w:val="0"/>
              <w:widowControl w:val="0"/>
              <w:kinsoku/>
              <w:wordWrap/>
              <w:overflowPunct/>
              <w:topLinePunct w:val="0"/>
              <w:autoSpaceDE/>
              <w:autoSpaceDN/>
              <w:bidi w:val="0"/>
              <w:adjustRightInd/>
              <w:spacing w:line="280" w:lineRule="exact"/>
              <w:textAlignment w:val="auto"/>
            </w:pPr>
          </w:p>
          <w:p>
            <w:pPr>
              <w:keepNext w:val="0"/>
              <w:keepLines w:val="0"/>
              <w:pageBreakBefore w:val="0"/>
              <w:widowControl w:val="0"/>
              <w:kinsoku/>
              <w:wordWrap/>
              <w:overflowPunct/>
              <w:topLinePunct w:val="0"/>
              <w:autoSpaceDE/>
              <w:autoSpaceDN/>
              <w:bidi w:val="0"/>
              <w:adjustRightInd/>
              <w:spacing w:line="280" w:lineRule="exact"/>
              <w:jc w:val="both"/>
              <w:textAlignment w:val="auto"/>
              <w:rPr>
                <w:sz w:val="21"/>
                <w:szCs w:val="21"/>
              </w:rPr>
            </w:pPr>
            <w:r>
              <w:rPr>
                <w:rFonts w:hint="eastAsia"/>
                <w:sz w:val="21"/>
                <w:szCs w:val="21"/>
              </w:rPr>
              <w:t>电气：</w:t>
            </w:r>
          </w:p>
          <w:p>
            <w:pPr>
              <w:pStyle w:val="9"/>
              <w:keepNext w:val="0"/>
              <w:keepLines w:val="0"/>
              <w:pageBreakBefore w:val="0"/>
              <w:widowControl w:val="0"/>
              <w:kinsoku/>
              <w:wordWrap/>
              <w:overflowPunct/>
              <w:topLinePunct w:val="0"/>
              <w:autoSpaceDE/>
              <w:autoSpaceDN/>
              <w:bidi w:val="0"/>
              <w:adjustRightInd/>
              <w:spacing w:line="280" w:lineRule="exact"/>
              <w:ind w:firstLine="0" w:firstLineChars="0"/>
              <w:jc w:val="both"/>
              <w:textAlignment w:val="auto"/>
              <w:rPr>
                <w:rFonts w:ascii="仿宋_GB2312" w:hAnsi="仿宋_GB2312" w:eastAsia="仿宋_GB2312" w:cs="仿宋_GB2312"/>
                <w:sz w:val="21"/>
                <w:szCs w:val="21"/>
              </w:rPr>
            </w:pPr>
            <w:r>
              <w:rPr>
                <w:rFonts w:ascii="仿宋_GB2312" w:hAnsi="仿宋_GB2312" w:eastAsia="仿宋_GB2312" w:cs="仿宋_GB2312"/>
                <w:sz w:val="21"/>
                <w:szCs w:val="21"/>
              </w:rPr>
              <w:t>1</w:t>
            </w:r>
            <w:r>
              <w:rPr>
                <w:rFonts w:hint="eastAsia" w:ascii="仿宋_GB2312" w:hAnsi="仿宋_GB2312" w:eastAsia="仿宋_GB2312" w:cs="仿宋_GB2312"/>
                <w:sz w:val="21"/>
                <w:szCs w:val="21"/>
              </w:rPr>
              <w:t>.</w:t>
            </w:r>
            <w:r>
              <w:rPr>
                <w:rFonts w:ascii="仿宋_GB2312" w:hAnsi="仿宋_GB2312" w:eastAsia="仿宋_GB2312" w:cs="仿宋_GB2312"/>
                <w:sz w:val="21"/>
                <w:szCs w:val="21"/>
              </w:rPr>
              <w:t>图号</w:t>
            </w:r>
            <w:r>
              <w:rPr>
                <w:rFonts w:hint="eastAsia" w:ascii="仿宋_GB2312" w:hAnsi="仿宋_GB2312" w:eastAsia="仿宋_GB2312" w:cs="仿宋_GB2312"/>
                <w:sz w:val="21"/>
                <w:szCs w:val="21"/>
              </w:rPr>
              <w:t>D</w:t>
            </w:r>
            <w:r>
              <w:rPr>
                <w:rFonts w:ascii="仿宋_GB2312" w:hAnsi="仿宋_GB2312" w:eastAsia="仿宋_GB2312" w:cs="仿宋_GB2312"/>
                <w:sz w:val="21"/>
                <w:szCs w:val="21"/>
              </w:rPr>
              <w:t>S-SM-07说明第11点</w:t>
            </w:r>
            <w:r>
              <w:rPr>
                <w:rFonts w:hint="eastAsia" w:ascii="仿宋_GB2312" w:hAnsi="仿宋_GB2312" w:eastAsia="仿宋_GB2312" w:cs="仿宋_GB2312"/>
                <w:sz w:val="21"/>
                <w:szCs w:val="21"/>
              </w:rPr>
              <w:t>：应急照明蓄电池的持续时间与D</w:t>
            </w:r>
            <w:r>
              <w:rPr>
                <w:rFonts w:ascii="仿宋_GB2312" w:hAnsi="仿宋_GB2312" w:eastAsia="仿宋_GB2312" w:cs="仿宋_GB2312"/>
                <w:sz w:val="21"/>
                <w:szCs w:val="21"/>
              </w:rPr>
              <w:t>S-SM-02说明</w:t>
            </w:r>
            <w:r>
              <w:rPr>
                <w:rFonts w:hint="eastAsia" w:ascii="仿宋_GB2312" w:hAnsi="仿宋_GB2312" w:eastAsia="仿宋_GB2312" w:cs="仿宋_GB2312"/>
                <w:sz w:val="21"/>
                <w:szCs w:val="21"/>
              </w:rPr>
              <w:t>第四中的时间不一致，请统一标准，并满足规范要求；</w:t>
            </w:r>
          </w:p>
          <w:p>
            <w:pPr>
              <w:pStyle w:val="9"/>
              <w:keepNext w:val="0"/>
              <w:keepLines w:val="0"/>
              <w:pageBreakBefore w:val="0"/>
              <w:widowControl w:val="0"/>
              <w:kinsoku/>
              <w:wordWrap/>
              <w:overflowPunct/>
              <w:topLinePunct w:val="0"/>
              <w:autoSpaceDE/>
              <w:autoSpaceDN/>
              <w:bidi w:val="0"/>
              <w:adjustRightInd/>
              <w:spacing w:line="280" w:lineRule="exact"/>
              <w:ind w:firstLine="0" w:firstLineChars="0"/>
              <w:jc w:val="both"/>
              <w:textAlignment w:val="auto"/>
              <w:rPr>
                <w:rFonts w:ascii="仿宋_GB2312" w:hAnsi="仿宋_GB2312" w:eastAsia="仿宋_GB2312" w:cs="仿宋_GB2312"/>
                <w:sz w:val="21"/>
                <w:szCs w:val="21"/>
              </w:rPr>
            </w:pPr>
            <w:r>
              <w:rPr>
                <w:rFonts w:ascii="仿宋_GB2312" w:hAnsi="仿宋_GB2312" w:eastAsia="仿宋_GB2312" w:cs="仿宋_GB2312"/>
                <w:sz w:val="21"/>
                <w:szCs w:val="21"/>
              </w:rPr>
              <w:t>2</w:t>
            </w:r>
            <w:r>
              <w:rPr>
                <w:rFonts w:hint="eastAsia" w:ascii="仿宋_GB2312" w:hAnsi="仿宋_GB2312" w:eastAsia="仿宋_GB2312" w:cs="仿宋_GB2312"/>
                <w:sz w:val="21"/>
                <w:szCs w:val="21"/>
              </w:rPr>
              <w:t>.</w:t>
            </w:r>
            <w:r>
              <w:rPr>
                <w:rFonts w:ascii="仿宋_GB2312" w:hAnsi="仿宋_GB2312" w:eastAsia="仿宋_GB2312" w:cs="仿宋_GB2312"/>
                <w:sz w:val="21"/>
                <w:szCs w:val="21"/>
              </w:rPr>
              <w:t>图号DS3-09首层配电平面图</w:t>
            </w:r>
            <w:r>
              <w:rPr>
                <w:rFonts w:hint="eastAsia" w:ascii="仿宋_GB2312" w:hAnsi="仿宋_GB2312" w:eastAsia="仿宋_GB2312" w:cs="仿宋_GB2312"/>
                <w:sz w:val="21"/>
                <w:szCs w:val="21"/>
              </w:rPr>
              <w:t>：消防应急照明和疏散指示系统，应分清疏散出口和安全出口，具体做法详见应急照明设计及安装图集</w:t>
            </w:r>
            <w:r>
              <w:rPr>
                <w:rFonts w:ascii="仿宋_GB2312" w:hAnsi="仿宋_GB2312" w:eastAsia="仿宋_GB2312" w:cs="仿宋_GB2312"/>
                <w:sz w:val="21"/>
                <w:szCs w:val="21"/>
              </w:rPr>
              <w:t>19D702-7</w:t>
            </w:r>
            <w:r>
              <w:rPr>
                <w:rFonts w:hint="eastAsia" w:ascii="仿宋_GB2312" w:hAnsi="仿宋_GB2312" w:eastAsia="仿宋_GB2312" w:cs="仿宋_GB2312"/>
                <w:sz w:val="21"/>
                <w:szCs w:val="21"/>
              </w:rPr>
              <w:t>;</w:t>
            </w:r>
          </w:p>
          <w:p>
            <w:pPr>
              <w:pStyle w:val="9"/>
              <w:keepNext w:val="0"/>
              <w:keepLines w:val="0"/>
              <w:pageBreakBefore w:val="0"/>
              <w:widowControl w:val="0"/>
              <w:kinsoku/>
              <w:wordWrap/>
              <w:overflowPunct/>
              <w:topLinePunct w:val="0"/>
              <w:autoSpaceDE/>
              <w:autoSpaceDN/>
              <w:bidi w:val="0"/>
              <w:adjustRightInd/>
              <w:spacing w:line="280" w:lineRule="exact"/>
              <w:ind w:firstLine="0" w:firstLineChars="0"/>
              <w:jc w:val="both"/>
              <w:textAlignment w:val="auto"/>
              <w:rPr>
                <w:rFonts w:ascii="仿宋_GB2312" w:hAnsi="仿宋_GB2312" w:eastAsia="仿宋_GB2312" w:cs="仿宋_GB2312"/>
                <w:sz w:val="21"/>
                <w:szCs w:val="21"/>
              </w:rPr>
            </w:pPr>
            <w:r>
              <w:rPr>
                <w:rFonts w:ascii="仿宋_GB2312" w:hAnsi="仿宋_GB2312" w:eastAsia="仿宋_GB2312" w:cs="仿宋_GB2312"/>
                <w:sz w:val="21"/>
                <w:szCs w:val="21"/>
              </w:rPr>
              <w:t>3</w:t>
            </w:r>
            <w:r>
              <w:rPr>
                <w:rFonts w:hint="eastAsia" w:ascii="仿宋_GB2312" w:hAnsi="仿宋_GB2312" w:eastAsia="仿宋_GB2312" w:cs="仿宋_GB2312"/>
                <w:sz w:val="21"/>
                <w:szCs w:val="21"/>
              </w:rPr>
              <w:t>.</w:t>
            </w:r>
            <w:r>
              <w:rPr>
                <w:rFonts w:ascii="仿宋_GB2312" w:hAnsi="仿宋_GB2312" w:eastAsia="仿宋_GB2312" w:cs="仿宋_GB2312"/>
                <w:sz w:val="21"/>
                <w:szCs w:val="21"/>
              </w:rPr>
              <w:t>图号DS3-09首层配电平面图</w:t>
            </w:r>
            <w:r>
              <w:rPr>
                <w:rFonts w:hint="eastAsia" w:ascii="仿宋_GB2312" w:hAnsi="仿宋_GB2312" w:eastAsia="仿宋_GB2312" w:cs="仿宋_GB2312"/>
                <w:sz w:val="21"/>
                <w:szCs w:val="21"/>
              </w:rPr>
              <w:t>：《消防应急照明和疏散指示系统技术标准》GB51309-2018表3.2.5 Ⅳ-6，安全出口外侧应设置疏散灯具；</w:t>
            </w:r>
          </w:p>
          <w:p>
            <w:pPr>
              <w:pStyle w:val="9"/>
              <w:keepNext w:val="0"/>
              <w:keepLines w:val="0"/>
              <w:pageBreakBefore w:val="0"/>
              <w:widowControl w:val="0"/>
              <w:kinsoku/>
              <w:wordWrap/>
              <w:overflowPunct/>
              <w:topLinePunct w:val="0"/>
              <w:autoSpaceDE/>
              <w:autoSpaceDN/>
              <w:bidi w:val="0"/>
              <w:adjustRightInd/>
              <w:spacing w:line="280" w:lineRule="exact"/>
              <w:ind w:firstLine="0" w:firstLineChars="0"/>
              <w:jc w:val="both"/>
              <w:textAlignment w:val="auto"/>
              <w:rPr>
                <w:rFonts w:ascii="仿宋_GB2312" w:hAnsi="仿宋_GB2312" w:eastAsia="仿宋_GB2312" w:cs="仿宋_GB2312"/>
                <w:sz w:val="21"/>
                <w:szCs w:val="21"/>
              </w:rPr>
            </w:pPr>
            <w:r>
              <w:rPr>
                <w:rFonts w:ascii="仿宋_GB2312" w:hAnsi="仿宋_GB2312" w:eastAsia="仿宋_GB2312" w:cs="仿宋_GB2312"/>
                <w:sz w:val="21"/>
                <w:szCs w:val="21"/>
              </w:rPr>
              <w:t>4</w:t>
            </w:r>
            <w:r>
              <w:rPr>
                <w:rFonts w:hint="eastAsia" w:ascii="仿宋_GB2312" w:hAnsi="仿宋_GB2312" w:eastAsia="仿宋_GB2312" w:cs="仿宋_GB2312"/>
                <w:sz w:val="21"/>
                <w:szCs w:val="21"/>
              </w:rPr>
              <w:t>.</w:t>
            </w:r>
            <w:r>
              <w:rPr>
                <w:rFonts w:ascii="仿宋_GB2312" w:hAnsi="仿宋_GB2312" w:eastAsia="仿宋_GB2312" w:cs="仿宋_GB2312"/>
                <w:sz w:val="21"/>
                <w:szCs w:val="21"/>
              </w:rPr>
              <w:t>DS3-18~26</w:t>
            </w:r>
            <w:r>
              <w:rPr>
                <w:rFonts w:hint="eastAsia" w:ascii="仿宋_GB2312" w:hAnsi="仿宋_GB2312" w:eastAsia="仿宋_GB2312" w:cs="仿宋_GB2312"/>
                <w:sz w:val="21"/>
                <w:szCs w:val="21"/>
              </w:rPr>
              <w:t>火灾自动报警平面图：《民用建筑电气设计标准》(GB51348-2019）第13.8.5.6条消防专用电话、消防应急广播应独立穿导管或槽盒，或共用槽盒且加金属隔板分隔；</w:t>
            </w:r>
          </w:p>
          <w:p>
            <w:pPr>
              <w:pStyle w:val="9"/>
              <w:keepNext w:val="0"/>
              <w:keepLines w:val="0"/>
              <w:pageBreakBefore w:val="0"/>
              <w:widowControl w:val="0"/>
              <w:kinsoku/>
              <w:wordWrap/>
              <w:overflowPunct/>
              <w:topLinePunct w:val="0"/>
              <w:autoSpaceDE/>
              <w:autoSpaceDN/>
              <w:bidi w:val="0"/>
              <w:adjustRightInd/>
              <w:spacing w:line="280" w:lineRule="exact"/>
              <w:ind w:firstLine="0" w:firstLineChars="0"/>
              <w:jc w:val="both"/>
              <w:textAlignment w:val="auto"/>
              <w:rPr>
                <w:rFonts w:hint="eastAsia" w:ascii="仿宋_GB2312" w:hAnsi="仿宋_GB2312" w:eastAsia="仿宋_GB2312" w:cs="仿宋_GB2312"/>
                <w:sz w:val="21"/>
                <w:szCs w:val="21"/>
              </w:rPr>
            </w:pPr>
            <w:r>
              <w:rPr>
                <w:rFonts w:ascii="仿宋_GB2312" w:hAnsi="仿宋_GB2312" w:eastAsia="仿宋_GB2312" w:cs="仿宋_GB2312"/>
                <w:sz w:val="21"/>
                <w:szCs w:val="21"/>
              </w:rPr>
              <w:t>5</w:t>
            </w:r>
            <w:r>
              <w:rPr>
                <w:rFonts w:hint="eastAsia" w:ascii="仿宋_GB2312" w:hAnsi="仿宋_GB2312" w:eastAsia="仿宋_GB2312" w:cs="仿宋_GB2312"/>
                <w:sz w:val="21"/>
                <w:szCs w:val="21"/>
              </w:rPr>
              <w:t>.</w:t>
            </w:r>
            <w:r>
              <w:rPr>
                <w:rFonts w:ascii="仿宋_GB2312" w:hAnsi="仿宋_GB2312" w:eastAsia="仿宋_GB2312" w:cs="仿宋_GB2312"/>
                <w:sz w:val="21"/>
                <w:szCs w:val="21"/>
              </w:rPr>
              <w:t>DS3-26三十层</w:t>
            </w:r>
            <w:r>
              <w:rPr>
                <w:rFonts w:hint="eastAsia" w:ascii="仿宋_GB2312" w:hAnsi="仿宋_GB2312" w:eastAsia="仿宋_GB2312" w:cs="仿宋_GB2312"/>
                <w:sz w:val="21"/>
                <w:szCs w:val="21"/>
              </w:rPr>
              <w:t>火灾自动报警平面图《火灾自动报警系统设计规范》</w:t>
            </w:r>
            <w:r>
              <w:rPr>
                <w:rFonts w:ascii="仿宋_GB2312" w:hAnsi="仿宋_GB2312" w:eastAsia="仿宋_GB2312" w:cs="仿宋_GB2312"/>
                <w:sz w:val="21"/>
                <w:szCs w:val="21"/>
              </w:rPr>
              <w:t xml:space="preserve">GB50116-2013 </w:t>
            </w:r>
            <w:r>
              <w:rPr>
                <w:rFonts w:hint="eastAsia" w:ascii="仿宋_GB2312" w:hAnsi="仿宋_GB2312" w:eastAsia="仿宋_GB2312" w:cs="仿宋_GB2312"/>
                <w:sz w:val="21"/>
                <w:szCs w:val="21"/>
              </w:rPr>
              <w:t>第</w:t>
            </w:r>
            <w:r>
              <w:rPr>
                <w:rFonts w:ascii="仿宋_GB2312" w:hAnsi="仿宋_GB2312" w:eastAsia="仿宋_GB2312" w:cs="仿宋_GB2312"/>
                <w:sz w:val="21"/>
                <w:szCs w:val="21"/>
              </w:rPr>
              <w:t xml:space="preserve">4.7.2 </w:t>
            </w:r>
            <w:r>
              <w:rPr>
                <w:rFonts w:hint="eastAsia" w:ascii="仿宋_GB2312" w:hAnsi="仿宋_GB2312" w:eastAsia="仿宋_GB2312" w:cs="仿宋_GB2312"/>
                <w:sz w:val="21"/>
                <w:szCs w:val="21"/>
              </w:rPr>
              <w:t>条电梯运行的状态及其停于首层的反馈信息应在消防控制室显示，且电梯轿厢内应设置能直接与消防控制室通话的专用电话；</w:t>
            </w:r>
          </w:p>
          <w:p>
            <w:pPr>
              <w:pStyle w:val="9"/>
              <w:keepNext w:val="0"/>
              <w:keepLines w:val="0"/>
              <w:pageBreakBefore w:val="0"/>
              <w:widowControl w:val="0"/>
              <w:kinsoku/>
              <w:wordWrap/>
              <w:overflowPunct/>
              <w:topLinePunct w:val="0"/>
              <w:autoSpaceDE/>
              <w:autoSpaceDN/>
              <w:bidi w:val="0"/>
              <w:adjustRightInd/>
              <w:spacing w:line="280" w:lineRule="exact"/>
              <w:ind w:firstLine="0" w:firstLineChars="0"/>
              <w:jc w:val="both"/>
              <w:textAlignment w:val="auto"/>
              <w:rPr>
                <w:rFonts w:hint="eastAsia" w:ascii="仿宋_GB2312" w:hAnsi="仿宋_GB2312" w:eastAsia="仿宋_GB2312" w:cs="仿宋_GB2312"/>
                <w:sz w:val="21"/>
                <w:szCs w:val="21"/>
              </w:rPr>
            </w:pPr>
          </w:p>
          <w:p>
            <w:pPr>
              <w:keepNext w:val="0"/>
              <w:keepLines w:val="0"/>
              <w:pageBreakBefore w:val="0"/>
              <w:widowControl w:val="0"/>
              <w:kinsoku/>
              <w:wordWrap/>
              <w:overflowPunct/>
              <w:topLinePunct w:val="0"/>
              <w:autoSpaceDE/>
              <w:autoSpaceDN/>
              <w:bidi w:val="0"/>
              <w:adjustRightInd/>
              <w:snapToGrid w:val="0"/>
              <w:spacing w:line="280" w:lineRule="exact"/>
              <w:jc w:val="both"/>
              <w:textAlignment w:val="auto"/>
              <w:rPr>
                <w:rFonts w:ascii="仿宋_GB2312" w:hAnsi="仿宋_GB2312" w:cs="仿宋_GB2312"/>
                <w:sz w:val="21"/>
                <w:szCs w:val="21"/>
              </w:rPr>
            </w:pPr>
            <w:r>
              <w:rPr>
                <w:rFonts w:ascii="仿宋_GB2312" w:hAnsi="仿宋_GB2312" w:cs="仿宋_GB2312"/>
                <w:sz w:val="21"/>
                <w:szCs w:val="21"/>
              </w:rPr>
              <w:t>暖通</w:t>
            </w:r>
            <w:r>
              <w:rPr>
                <w:rFonts w:hint="eastAsia" w:ascii="仿宋_GB2312" w:hAnsi="仿宋_GB2312" w:cs="仿宋_GB2312"/>
                <w:sz w:val="21"/>
                <w:szCs w:val="21"/>
              </w:rPr>
              <w:t>：</w:t>
            </w:r>
          </w:p>
          <w:p>
            <w:pPr>
              <w:pStyle w:val="9"/>
              <w:keepNext w:val="0"/>
              <w:keepLines w:val="0"/>
              <w:pageBreakBefore w:val="0"/>
              <w:widowControl w:val="0"/>
              <w:kinsoku/>
              <w:wordWrap/>
              <w:overflowPunct/>
              <w:topLinePunct w:val="0"/>
              <w:autoSpaceDE/>
              <w:autoSpaceDN/>
              <w:bidi w:val="0"/>
              <w:adjustRightInd/>
              <w:spacing w:line="280" w:lineRule="exact"/>
              <w:ind w:firstLine="0" w:firstLineChars="0"/>
              <w:jc w:val="both"/>
              <w:textAlignment w:val="auto"/>
              <w:rPr>
                <w:rFonts w:ascii="仿宋_GB2312" w:hAnsi="仿宋_GB2312" w:eastAsia="仿宋_GB2312" w:cs="仿宋_GB2312"/>
                <w:sz w:val="21"/>
                <w:szCs w:val="21"/>
              </w:rPr>
            </w:pPr>
            <w:r>
              <w:rPr>
                <w:rFonts w:hint="eastAsia" w:ascii="仿宋_GB2312" w:hAnsi="仿宋_GB2312" w:eastAsia="仿宋_GB2312" w:cs="仿宋_GB2312"/>
                <w:sz w:val="21"/>
                <w:szCs w:val="21"/>
              </w:rPr>
              <w:t>3.1、图NS-T-01、02（空调与通风设计、施工总说明）:</w:t>
            </w:r>
          </w:p>
          <w:p>
            <w:pPr>
              <w:pStyle w:val="9"/>
              <w:keepNext w:val="0"/>
              <w:keepLines w:val="0"/>
              <w:pageBreakBefore w:val="0"/>
              <w:widowControl w:val="0"/>
              <w:kinsoku/>
              <w:wordWrap/>
              <w:overflowPunct/>
              <w:topLinePunct w:val="0"/>
              <w:autoSpaceDE/>
              <w:autoSpaceDN/>
              <w:bidi w:val="0"/>
              <w:adjustRightInd/>
              <w:spacing w:line="280" w:lineRule="exact"/>
              <w:ind w:firstLine="0" w:firstLineChars="0"/>
              <w:jc w:val="both"/>
              <w:textAlignment w:val="auto"/>
              <w:rPr>
                <w:rFonts w:ascii="仿宋_GB2312" w:hAnsi="仿宋_GB2312" w:eastAsia="仿宋_GB2312" w:cs="仿宋_GB2312"/>
                <w:sz w:val="21"/>
                <w:szCs w:val="21"/>
              </w:rPr>
            </w:pPr>
            <w:r>
              <w:rPr>
                <w:rFonts w:hint="eastAsia" w:ascii="仿宋_GB2312" w:hAnsi="仿宋_GB2312" w:eastAsia="仿宋_GB2312" w:cs="仿宋_GB2312"/>
                <w:sz w:val="21"/>
                <w:szCs w:val="21"/>
              </w:rPr>
              <w:t>1)未见明确加压送风楼梯间、前室的压差大小要求，需予以核实、补充完善。</w:t>
            </w:r>
          </w:p>
          <w:p>
            <w:pPr>
              <w:pStyle w:val="9"/>
              <w:keepNext w:val="0"/>
              <w:keepLines w:val="0"/>
              <w:pageBreakBefore w:val="0"/>
              <w:widowControl w:val="0"/>
              <w:kinsoku/>
              <w:wordWrap/>
              <w:overflowPunct/>
              <w:topLinePunct w:val="0"/>
              <w:autoSpaceDE/>
              <w:autoSpaceDN/>
              <w:bidi w:val="0"/>
              <w:adjustRightInd/>
              <w:spacing w:line="280" w:lineRule="exact"/>
              <w:ind w:firstLine="0" w:firstLineChars="0"/>
              <w:jc w:val="both"/>
              <w:textAlignment w:val="auto"/>
              <w:rPr>
                <w:rFonts w:ascii="仿宋_GB2312" w:hAnsi="仿宋_GB2312" w:eastAsia="仿宋_GB2312" w:cs="仿宋_GB2312"/>
                <w:sz w:val="21"/>
                <w:szCs w:val="21"/>
              </w:rPr>
            </w:pPr>
            <w:r>
              <w:rPr>
                <w:rFonts w:hint="eastAsia" w:ascii="仿宋_GB2312" w:hAnsi="仿宋_GB2312" w:eastAsia="仿宋_GB2312" w:cs="仿宋_GB2312"/>
                <w:sz w:val="21"/>
                <w:szCs w:val="21"/>
              </w:rPr>
              <w:t>2）有合用前室采用可开启外窗自然通风的情况，补充明确：防排烟可开启外窗应方便直接开启，设置在高处不便于直接开启的可开启外窗应在距地面高度为1.3m〜1.5m的位置设置手动开启装置。</w:t>
            </w:r>
          </w:p>
          <w:p>
            <w:pPr>
              <w:pStyle w:val="9"/>
              <w:keepNext w:val="0"/>
              <w:keepLines w:val="0"/>
              <w:pageBreakBefore w:val="0"/>
              <w:widowControl w:val="0"/>
              <w:kinsoku/>
              <w:wordWrap/>
              <w:overflowPunct/>
              <w:topLinePunct w:val="0"/>
              <w:autoSpaceDE/>
              <w:autoSpaceDN/>
              <w:bidi w:val="0"/>
              <w:adjustRightInd/>
              <w:spacing w:line="280" w:lineRule="exact"/>
              <w:ind w:firstLine="0" w:firstLineChars="0"/>
              <w:jc w:val="both"/>
              <w:textAlignment w:val="auto"/>
              <w:rPr>
                <w:rFonts w:ascii="仿宋_GB2312" w:hAnsi="仿宋_GB2312" w:eastAsia="仿宋_GB2312" w:cs="仿宋_GB2312"/>
                <w:sz w:val="21"/>
                <w:szCs w:val="21"/>
              </w:rPr>
            </w:pPr>
            <w:r>
              <w:rPr>
                <w:rFonts w:hint="eastAsia" w:ascii="仿宋_GB2312" w:hAnsi="仿宋_GB2312" w:eastAsia="仿宋_GB2312" w:cs="仿宋_GB2312"/>
                <w:sz w:val="21"/>
                <w:szCs w:val="21"/>
              </w:rPr>
              <w:t>3）应明确加压送风管法兰垫片需为不燃材料。</w:t>
            </w:r>
          </w:p>
          <w:p>
            <w:pPr>
              <w:pStyle w:val="9"/>
              <w:keepNext w:val="0"/>
              <w:keepLines w:val="0"/>
              <w:pageBreakBefore w:val="0"/>
              <w:widowControl w:val="0"/>
              <w:kinsoku/>
              <w:wordWrap/>
              <w:overflowPunct/>
              <w:topLinePunct w:val="0"/>
              <w:autoSpaceDE/>
              <w:autoSpaceDN/>
              <w:bidi w:val="0"/>
              <w:adjustRightInd/>
              <w:spacing w:line="280" w:lineRule="exact"/>
              <w:ind w:firstLine="0" w:firstLineChars="0"/>
              <w:jc w:val="both"/>
              <w:textAlignment w:val="auto"/>
              <w:rPr>
                <w:rFonts w:ascii="仿宋_GB2312" w:hAnsi="仿宋_GB2312" w:eastAsia="仿宋_GB2312" w:cs="仿宋_GB2312"/>
                <w:sz w:val="21"/>
                <w:szCs w:val="21"/>
              </w:rPr>
            </w:pPr>
            <w:r>
              <w:rPr>
                <w:rFonts w:hint="eastAsia" w:ascii="仿宋_GB2312" w:hAnsi="仿宋_GB2312" w:eastAsia="仿宋_GB2312" w:cs="仿宋_GB2312"/>
                <w:sz w:val="21"/>
                <w:szCs w:val="21"/>
              </w:rPr>
              <w:t>3.2图NS-3-01：</w:t>
            </w:r>
          </w:p>
          <w:p>
            <w:pPr>
              <w:pStyle w:val="9"/>
              <w:keepNext w:val="0"/>
              <w:keepLines w:val="0"/>
              <w:pageBreakBefore w:val="0"/>
              <w:widowControl w:val="0"/>
              <w:kinsoku/>
              <w:wordWrap/>
              <w:overflowPunct/>
              <w:topLinePunct w:val="0"/>
              <w:autoSpaceDE/>
              <w:autoSpaceDN/>
              <w:bidi w:val="0"/>
              <w:adjustRightInd/>
              <w:spacing w:line="280" w:lineRule="exact"/>
              <w:ind w:firstLine="0" w:firstLineChars="0"/>
              <w:jc w:val="both"/>
              <w:textAlignment w:val="auto"/>
              <w:rPr>
                <w:rFonts w:ascii="仿宋_GB2312" w:hAnsi="仿宋_GB2312" w:eastAsia="仿宋_GB2312" w:cs="仿宋_GB2312"/>
                <w:sz w:val="21"/>
                <w:szCs w:val="21"/>
              </w:rPr>
            </w:pPr>
            <w:r>
              <w:rPr>
                <w:rFonts w:hint="eastAsia" w:ascii="仿宋_GB2312" w:hAnsi="仿宋_GB2312" w:eastAsia="仿宋_GB2312" w:cs="仿宋_GB2312"/>
                <w:sz w:val="21"/>
                <w:szCs w:val="21"/>
              </w:rPr>
              <w:t>1）查看了建筑图楼梯间大样图、门大样图，首层门</w:t>
            </w:r>
            <w:r>
              <w:rPr>
                <w:rFonts w:ascii="仿宋_GB2312" w:hAnsi="仿宋_GB2312" w:eastAsia="仿宋_GB2312" w:cs="仿宋_GB2312"/>
                <w:sz w:val="21"/>
                <w:szCs w:val="21"/>
              </w:rPr>
              <w:t>FM乙</w:t>
            </w:r>
            <w:r>
              <w:rPr>
                <w:rFonts w:hint="eastAsia" w:ascii="仿宋_GB2312" w:hAnsi="仿宋_GB2312" w:eastAsia="仿宋_GB2312" w:cs="仿宋_GB2312"/>
                <w:sz w:val="21"/>
                <w:szCs w:val="21"/>
              </w:rPr>
              <w:t>1234上方的可开启窗扇其实是设置在地上加压送风楼梯间范围内，并没有设置在在下地下室楼梯间范围内，核实地下室楼梯间、地上楼梯间的防烟设施。</w:t>
            </w:r>
          </w:p>
          <w:p>
            <w:pPr>
              <w:pStyle w:val="9"/>
              <w:keepNext w:val="0"/>
              <w:keepLines w:val="0"/>
              <w:pageBreakBefore w:val="0"/>
              <w:widowControl w:val="0"/>
              <w:kinsoku/>
              <w:wordWrap/>
              <w:overflowPunct/>
              <w:topLinePunct w:val="0"/>
              <w:autoSpaceDE/>
              <w:autoSpaceDN/>
              <w:bidi w:val="0"/>
              <w:adjustRightInd/>
              <w:spacing w:line="280" w:lineRule="exact"/>
              <w:ind w:firstLine="0" w:firstLineChars="0"/>
              <w:jc w:val="both"/>
              <w:textAlignment w:val="auto"/>
              <w:rPr>
                <w:rFonts w:ascii="仿宋_GB2312" w:hAnsi="仿宋_GB2312" w:eastAsia="仿宋_GB2312" w:cs="仿宋_GB2312"/>
                <w:sz w:val="21"/>
                <w:szCs w:val="21"/>
              </w:rPr>
            </w:pPr>
            <w:r>
              <w:rPr>
                <w:rFonts w:hint="eastAsia" w:ascii="仿宋_GB2312" w:hAnsi="仿宋_GB2312" w:eastAsia="仿宋_GB2312" w:cs="仿宋_GB2312"/>
                <w:sz w:val="21"/>
                <w:szCs w:val="21"/>
              </w:rPr>
              <w:t>3.3、图NS-3-02~ NS-3-08</w:t>
            </w:r>
          </w:p>
          <w:p>
            <w:pPr>
              <w:pStyle w:val="9"/>
              <w:keepNext w:val="0"/>
              <w:keepLines w:val="0"/>
              <w:pageBreakBefore w:val="0"/>
              <w:widowControl w:val="0"/>
              <w:kinsoku/>
              <w:wordWrap/>
              <w:overflowPunct/>
              <w:topLinePunct w:val="0"/>
              <w:autoSpaceDE/>
              <w:autoSpaceDN/>
              <w:bidi w:val="0"/>
              <w:adjustRightInd/>
              <w:spacing w:line="280" w:lineRule="exact"/>
              <w:ind w:firstLine="0" w:firstLineChars="0"/>
              <w:jc w:val="both"/>
              <w:textAlignment w:val="auto"/>
              <w:rPr>
                <w:rFonts w:ascii="仿宋_GB2312" w:hAnsi="仿宋_GB2312" w:eastAsia="仿宋_GB2312" w:cs="仿宋_GB2312"/>
                <w:sz w:val="21"/>
                <w:szCs w:val="21"/>
              </w:rPr>
            </w:pPr>
            <w:r>
              <w:rPr>
                <w:rFonts w:hint="eastAsia" w:ascii="仿宋_GB2312" w:hAnsi="仿宋_GB2312" w:eastAsia="仿宋_GB2312" w:cs="仿宋_GB2312"/>
                <w:sz w:val="21"/>
                <w:szCs w:val="21"/>
              </w:rPr>
              <w:t>1)查看建筑外窗大样图，各层自然通风合用前室外窗C2423可开启面积未满足需至少3m2的要求，不满足《建筑防烟排烟系统技术标准》第3.2.2条。</w:t>
            </w:r>
          </w:p>
          <w:p>
            <w:pPr>
              <w:pStyle w:val="9"/>
              <w:keepNext w:val="0"/>
              <w:keepLines w:val="0"/>
              <w:pageBreakBefore w:val="0"/>
              <w:widowControl w:val="0"/>
              <w:kinsoku/>
              <w:wordWrap/>
              <w:overflowPunct/>
              <w:topLinePunct w:val="0"/>
              <w:autoSpaceDE/>
              <w:autoSpaceDN/>
              <w:bidi w:val="0"/>
              <w:adjustRightInd/>
              <w:spacing w:line="280" w:lineRule="exact"/>
              <w:ind w:firstLine="0" w:firstLineChars="0"/>
              <w:jc w:val="both"/>
              <w:textAlignment w:val="auto"/>
              <w:rPr>
                <w:rFonts w:ascii="仿宋_GB2312" w:hAnsi="仿宋_GB2312" w:eastAsia="仿宋_GB2312" w:cs="仿宋_GB2312"/>
                <w:sz w:val="21"/>
                <w:szCs w:val="21"/>
              </w:rPr>
            </w:pPr>
            <w:r>
              <w:rPr>
                <w:rFonts w:hint="eastAsia" w:ascii="仿宋_GB2312" w:hAnsi="仿宋_GB2312" w:eastAsia="仿宋_GB2312" w:cs="仿宋_GB2312"/>
                <w:sz w:val="21"/>
                <w:szCs w:val="21"/>
              </w:rPr>
              <w:t>2）加压送风楼梯间规范要求设置的是固定窗，现查看建筑外窗大样图，现加压送风楼梯间外窗C1012存在可开启部分，不满足《建筑防烟排烟系统技术标准》第3.3.11条。</w:t>
            </w:r>
          </w:p>
          <w:p>
            <w:pPr>
              <w:keepNext w:val="0"/>
              <w:keepLines w:val="0"/>
              <w:pageBreakBefore w:val="0"/>
              <w:widowControl w:val="0"/>
              <w:kinsoku/>
              <w:wordWrap/>
              <w:overflowPunct/>
              <w:topLinePunct w:val="0"/>
              <w:autoSpaceDE/>
              <w:autoSpaceDN/>
              <w:bidi w:val="0"/>
              <w:adjustRightInd/>
              <w:snapToGrid w:val="0"/>
              <w:spacing w:line="280" w:lineRule="exact"/>
              <w:jc w:val="both"/>
              <w:textAlignment w:val="auto"/>
              <w:rPr>
                <w:rFonts w:ascii="仿宋_GB2312" w:hAnsi="仿宋_GB2312" w:cs="仿宋_GB2312"/>
                <w:sz w:val="21"/>
                <w:szCs w:val="21"/>
              </w:rPr>
            </w:pPr>
          </w:p>
        </w:tc>
        <w:tc>
          <w:tcPr>
            <w:tcW w:w="1426" w:type="dxa"/>
            <w:vAlign w:val="center"/>
          </w:tcPr>
          <w:p>
            <w:pPr>
              <w:snapToGrid w:val="0"/>
              <w:spacing w:line="240" w:lineRule="auto"/>
              <w:jc w:val="center"/>
              <w:rPr>
                <w:rFonts w:hint="default"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人防</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人防地下室的位置、规模、战时及平时的用途是否符合城市的人防工程规划及地面建筑规划；人防地下室的防护等级是否符合规定；平面布置、结构选型、通风、给水排水和供电照明等是否满足战备需求。</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280" w:lineRule="exact"/>
              <w:jc w:val="both"/>
              <w:textAlignment w:val="auto"/>
              <w:rPr>
                <w:rFonts w:ascii="仿宋_GB2312" w:hAnsi="仿宋_GB2312" w:cs="仿宋_GB2312"/>
                <w:sz w:val="21"/>
                <w:szCs w:val="21"/>
              </w:rPr>
            </w:pPr>
            <w:r>
              <w:rPr>
                <w:rFonts w:hint="eastAsia" w:ascii="仿宋_GB2312" w:hAnsi="仿宋_GB2312" w:cs="仿宋_GB2312"/>
                <w:sz w:val="21"/>
                <w:szCs w:val="21"/>
              </w:rPr>
              <w:t>无</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6" w:hRule="atLeast"/>
          <w:jc w:val="center"/>
        </w:trPr>
        <w:tc>
          <w:tcPr>
            <w:tcW w:w="928" w:type="dxa"/>
            <w:vMerge w:val="continue"/>
            <w:vAlign w:val="center"/>
          </w:tcPr>
          <w:p>
            <w:pPr>
              <w:snapToGrid w:val="0"/>
              <w:spacing w:line="240" w:lineRule="auto"/>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人防地下室设计质量检查要点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建筑功能分区、防护单元设计是否满足战时的使用要求；埋置深度是否符合规范规定；人防地下室的出入口、进风口、排风口、排烟口和通风采光窗的布置、设计是否符合规范要求；设计计算荷载及结构计算是否正确；结构材料选取是否符合规范规定；构造是否满足规范要求</w:t>
            </w:r>
            <w:r>
              <w:rPr>
                <w:rFonts w:hint="eastAsia" w:ascii="仿宋_GB2312" w:hAnsi="仿宋_GB2312" w:cs="仿宋_GB2312"/>
                <w:sz w:val="21"/>
                <w:szCs w:val="21"/>
                <w:lang w:val="en-GB"/>
              </w:rPr>
              <w:t>。</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280" w:lineRule="exact"/>
              <w:jc w:val="both"/>
              <w:textAlignment w:val="auto"/>
              <w:rPr>
                <w:rFonts w:ascii="仿宋_GB2312" w:hAnsi="仿宋_GB2312" w:cs="仿宋_GB2312"/>
                <w:sz w:val="21"/>
                <w:szCs w:val="21"/>
              </w:rPr>
            </w:pPr>
            <w:r>
              <w:rPr>
                <w:rFonts w:hint="eastAsia" w:ascii="仿宋_GB2312" w:hAnsi="仿宋_GB2312" w:cs="仿宋_GB2312"/>
                <w:sz w:val="21"/>
                <w:szCs w:val="21"/>
              </w:rPr>
              <w:t>无</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是否执行无障碍环境建设、配套幼儿园建设、配套通信设施、充电场所等标准规定。</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280" w:lineRule="exact"/>
              <w:jc w:val="both"/>
              <w:textAlignment w:val="auto"/>
              <w:rPr>
                <w:rFonts w:ascii="仿宋_GB2312" w:hAnsi="仿宋_GB2312" w:cs="仿宋_GB2312"/>
                <w:sz w:val="21"/>
                <w:szCs w:val="21"/>
              </w:rPr>
            </w:pPr>
            <w:r>
              <w:rPr>
                <w:rFonts w:hint="eastAsia" w:ascii="仿宋_GB2312" w:hAnsi="仿宋_GB2312" w:cs="仿宋_GB2312"/>
                <w:sz w:val="21"/>
                <w:szCs w:val="21"/>
              </w:rPr>
              <w:t>是</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vAlign w:val="center"/>
          </w:tcPr>
          <w:p>
            <w:pPr>
              <w:snapToGrid w:val="0"/>
              <w:spacing w:line="240" w:lineRule="auto"/>
              <w:rPr>
                <w:rFonts w:ascii="仿宋_GB2312" w:hAnsi="仿宋_GB2312" w:cs="仿宋_GB2312"/>
                <w:sz w:val="21"/>
                <w:szCs w:val="21"/>
              </w:rPr>
            </w:pPr>
            <w:r>
              <w:rPr>
                <w:rFonts w:hint="eastAsia" w:ascii="仿宋_GB2312" w:hAnsi="仿宋_GB2312" w:cs="仿宋_GB2312"/>
                <w:sz w:val="21"/>
                <w:szCs w:val="21"/>
              </w:rPr>
              <w:t>其他工程设计质量相关内容</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280" w:lineRule="exact"/>
              <w:jc w:val="both"/>
              <w:textAlignment w:val="auto"/>
              <w:rPr>
                <w:rFonts w:ascii="仿宋_GB2312" w:hAnsi="仿宋_GB2312" w:cs="仿宋_GB2312"/>
                <w:sz w:val="21"/>
                <w:szCs w:val="21"/>
              </w:rPr>
            </w:pPr>
            <w:r>
              <w:rPr>
                <w:rFonts w:hint="eastAsia" w:ascii="仿宋_GB2312" w:hAnsi="仿宋_GB2312" w:cs="仿宋_GB2312"/>
                <w:sz w:val="21"/>
                <w:szCs w:val="21"/>
              </w:rPr>
              <w:t>无</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15191" w:type="dxa"/>
            <w:gridSpan w:val="5"/>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b/>
                <w:bCs/>
                <w:sz w:val="21"/>
                <w:szCs w:val="21"/>
                <w:lang w:val="en-US" w:eastAsia="zh-CN" w:bidi="ar-SA"/>
              </w:rPr>
              <w:t>共违反强制性标准条文：0条； 一般性标准条文：24</w:t>
            </w:r>
            <w:bookmarkStart w:id="0" w:name="_GoBack"/>
            <w:bookmarkEnd w:id="0"/>
            <w:r>
              <w:rPr>
                <w:rFonts w:hint="eastAsia" w:ascii="仿宋_GB2312" w:hAnsi="仿宋_GB2312" w:cs="仿宋_GB2312"/>
                <w:b/>
                <w:bCs/>
                <w:sz w:val="21"/>
                <w:szCs w:val="21"/>
                <w:lang w:val="en-US" w:eastAsia="zh-CN" w:bidi="ar-SA"/>
              </w:rPr>
              <w:t>条（勘察0条；设计24条）</w:t>
            </w:r>
          </w:p>
        </w:tc>
      </w:tr>
    </w:tbl>
    <w:p/>
    <w:sectPr>
      <w:headerReference r:id="rId5" w:type="default"/>
      <w:footerReference r:id="rId6" w:type="default"/>
      <w:pgSz w:w="16838" w:h="11906" w:orient="landscape"/>
      <w:pgMar w:top="1587" w:right="1644" w:bottom="1474" w:left="1417" w:header="851" w:footer="992" w:gutter="0"/>
      <w:pgNumType w:fmt="numberInDash" w:start="7"/>
      <w:cols w:space="0" w:num="1"/>
      <w:docGrid w:type="lines" w:linePitch="444"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E"/>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方正公文小标宋">
    <w:panose1 w:val="02000500000000000000"/>
    <w:charset w:val="86"/>
    <w:family w:val="auto"/>
    <w:pitch w:val="default"/>
    <w:sig w:usb0="A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left"/>
      <w:rPr>
        <w:rFonts w:ascii="Times New Roman" w:hAnsi="Times New Roman" w:eastAsia="宋体"/>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default" w:eastAsia="仿宋_GB2312"/>
        <w:lang w:val="en-US" w:eastAsia="zh-CN"/>
      </w:rPr>
    </w:pPr>
    <w:r>
      <w:rPr>
        <w:rFonts w:hint="eastAsia"/>
        <w:lang w:val="en-US" w:eastAsia="zh-CN"/>
      </w:rPr>
      <w:t>09号抽查项目</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F2A101"/>
    <w:multiLevelType w:val="singleLevel"/>
    <w:tmpl w:val="FDF2A101"/>
    <w:lvl w:ilvl="0" w:tentative="0">
      <w:start w:val="1"/>
      <w:numFmt w:val="decimal"/>
      <w:suff w:val="nothing"/>
      <w:lvlText w:val="%1、"/>
      <w:lvlJc w:val="left"/>
    </w:lvl>
  </w:abstractNum>
  <w:abstractNum w:abstractNumId="1">
    <w:nsid w:val="06307F3D"/>
    <w:multiLevelType w:val="multilevel"/>
    <w:tmpl w:val="06307F3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D32377A"/>
    <w:multiLevelType w:val="multilevel"/>
    <w:tmpl w:val="1D32377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222"/>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hNjAzZTVkNmIzZTFhNTk1NTljMDhlNmY4ODk2NWUifQ=="/>
  </w:docVars>
  <w:rsids>
    <w:rsidRoot w:val="27FEE89E"/>
    <w:rsid w:val="00025177"/>
    <w:rsid w:val="0051766B"/>
    <w:rsid w:val="0057648F"/>
    <w:rsid w:val="005B3491"/>
    <w:rsid w:val="007B0611"/>
    <w:rsid w:val="007B4A93"/>
    <w:rsid w:val="007E1DFF"/>
    <w:rsid w:val="008355E1"/>
    <w:rsid w:val="008D7B88"/>
    <w:rsid w:val="00C228B3"/>
    <w:rsid w:val="00D448CA"/>
    <w:rsid w:val="00DD5827"/>
    <w:rsid w:val="00F458D7"/>
    <w:rsid w:val="0D2857E3"/>
    <w:rsid w:val="10E779D1"/>
    <w:rsid w:val="1C537752"/>
    <w:rsid w:val="27FEE89E"/>
    <w:rsid w:val="28892384"/>
    <w:rsid w:val="460E0C7B"/>
    <w:rsid w:val="495E1700"/>
    <w:rsid w:val="4B9C5C18"/>
    <w:rsid w:val="55BFBC0F"/>
    <w:rsid w:val="56915211"/>
    <w:rsid w:val="58CB2DF3"/>
    <w:rsid w:val="6188213D"/>
    <w:rsid w:val="70340990"/>
    <w:rsid w:val="764379F6"/>
    <w:rsid w:val="7EFE52F2"/>
    <w:rsid w:val="7F131B05"/>
    <w:rsid w:val="7F827ED7"/>
    <w:rsid w:val="AD8F99BC"/>
    <w:rsid w:val="BA7B23C6"/>
    <w:rsid w:val="ECF6E4A5"/>
    <w:rsid w:val="EFFD6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ascii="Calibri" w:hAnsi="Calibri" w:eastAsia="仿宋_GB2312" w:cs="Times New Roman"/>
      <w:kern w:val="2"/>
      <w:sz w:val="32"/>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_Style 5"/>
    <w:qFormat/>
    <w:uiPriority w:val="0"/>
    <w:pPr>
      <w:widowControl w:val="0"/>
      <w:ind w:firstLine="200" w:firstLineChars="200"/>
      <w:jc w:val="both"/>
    </w:pPr>
    <w:rPr>
      <w:rFonts w:ascii="Times New Roman" w:hAnsi="Times New Roman" w:eastAsia="宋体" w:cs="Times New Roman"/>
      <w:kern w:val="2"/>
      <w:sz w:val="24"/>
      <w:lang w:val="en-US" w:eastAsia="zh-CN" w:bidi="ar-SA"/>
    </w:rPr>
  </w:style>
  <w:style w:type="paragraph" w:styleId="3">
    <w:name w:val="footer"/>
    <w:basedOn w:val="1"/>
    <w:link w:val="8"/>
    <w:qFormat/>
    <w:uiPriority w:val="0"/>
    <w:pPr>
      <w:tabs>
        <w:tab w:val="center" w:pos="4153"/>
        <w:tab w:val="right" w:pos="8306"/>
      </w:tabs>
      <w:snapToGrid w:val="0"/>
      <w:spacing w:line="240" w:lineRule="atLeast"/>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customStyle="1" w:styleId="8">
    <w:name w:val="页脚 Char"/>
    <w:basedOn w:val="7"/>
    <w:link w:val="3"/>
    <w:qFormat/>
    <w:uiPriority w:val="0"/>
    <w:rPr>
      <w:rFonts w:ascii="Calibri" w:hAnsi="Calibri" w:eastAsia="仿宋_GB2312" w:cs="Times New Roman"/>
      <w:kern w:val="2"/>
      <w:sz w:val="18"/>
      <w:szCs w:val="18"/>
    </w:rPr>
  </w:style>
  <w:style w:type="paragraph" w:styleId="9">
    <w:name w:val="List Paragraph"/>
    <w:basedOn w:val="1"/>
    <w:qFormat/>
    <w:uiPriority w:val="34"/>
    <w:pPr>
      <w:spacing w:line="240" w:lineRule="auto"/>
      <w:ind w:firstLine="420" w:firstLineChars="200"/>
    </w:pPr>
    <w:rPr>
      <w:rFonts w:eastAsia="宋体"/>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5195</Words>
  <Characters>5507</Characters>
  <Lines>41</Lines>
  <Paragraphs>11</Paragraphs>
  <TotalTime>5</TotalTime>
  <ScaleCrop>false</ScaleCrop>
  <LinksUpToDate>false</LinksUpToDate>
  <CharactersWithSpaces>5567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2022-08-17T15:25:00Z</dcterms:created>
  <dc:creator>罗黎静</dc:creator>
  <cp:lastModifiedBy>郝梓任</cp:lastModifiedBy>
  <cp:lastPrinted>2023-01-09T07:25:00Z</cp:lastPrinted>
  <dcterms:modified xsi:type="dcterms:W3CDTF">2023-01-12T15:59:46Z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DED4D6333CE84FDD866D260CD5868F99</vt:lpwstr>
  </property>
</Properties>
</file>