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center"/>
        <w:rPr>
          <w:rFonts w:hint="default" w:ascii="方正小标宋简体" w:hAnsi="宋体" w:eastAsia="方正小标宋简体" w:cs="宋体"/>
          <w:kern w:val="0"/>
          <w:sz w:val="44"/>
          <w:szCs w:val="44"/>
          <w:lang w:val="en-US" w:eastAsia="zh-CN" w:bidi="ar-SA"/>
        </w:rPr>
      </w:pPr>
      <w:r>
        <w:rPr>
          <w:rFonts w:hint="eastAsia" w:ascii="方正小标宋简体" w:hAnsi="宋体" w:eastAsia="方正小标宋简体" w:cs="宋体"/>
          <w:kern w:val="0"/>
          <w:sz w:val="44"/>
          <w:szCs w:val="44"/>
          <w:lang w:val="en-US" w:eastAsia="zh-CN" w:bidi="ar-SA"/>
        </w:rPr>
        <w:t>2022年</w:t>
      </w:r>
      <w:r>
        <w:rPr>
          <w:rFonts w:hint="eastAsia" w:ascii="方正小标宋简体" w:hAnsi="宋体" w:eastAsia="方正小标宋简体" w:cs="宋体"/>
          <w:kern w:val="0"/>
          <w:sz w:val="44"/>
          <w:szCs w:val="44"/>
          <w:lang w:eastAsia="zh-CN" w:bidi="ar-SA"/>
        </w:rPr>
        <w:t>勘察设计质量检查情况</w:t>
      </w:r>
      <w:r>
        <w:rPr>
          <w:rFonts w:hint="eastAsia" w:ascii="方正小标宋简体" w:hAnsi="宋体" w:eastAsia="方正小标宋简体" w:cs="宋体"/>
          <w:kern w:val="0"/>
          <w:sz w:val="44"/>
          <w:szCs w:val="44"/>
          <w:lang w:val="en-US" w:eastAsia="zh-CN" w:bidi="ar-SA"/>
        </w:rPr>
        <w:t>通报</w:t>
      </w:r>
      <w:r>
        <w:rPr>
          <w:rFonts w:hint="eastAsia" w:ascii="方正小标宋简体" w:hAnsi="宋体" w:eastAsia="方正小标宋简体" w:cs="宋体"/>
          <w:kern w:val="0"/>
          <w:sz w:val="44"/>
          <w:szCs w:val="44"/>
          <w:lang w:eastAsia="zh-CN" w:bidi="ar-SA"/>
        </w:rPr>
        <w:t>表</w:t>
      </w: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方正公文小标宋" w:hAnsi="方正公文小标宋" w:eastAsia="方正公文小标宋" w:cs="方正公文小标宋"/>
          <w:b w:val="0"/>
          <w:bCs w:val="0"/>
          <w:sz w:val="15"/>
          <w:szCs w:val="10"/>
          <w:lang w:val="en-US" w:eastAsia="zh-CN"/>
        </w:rPr>
      </w:pPr>
      <w:r>
        <w:rPr>
          <w:rFonts w:hint="eastAsia" w:ascii="方正公文小标宋" w:hAnsi="方正公文小标宋" w:eastAsia="方正公文小标宋" w:cs="方正公文小标宋"/>
          <w:b w:val="0"/>
          <w:bCs w:val="0"/>
          <w:kern w:val="0"/>
          <w:sz w:val="22"/>
          <w:szCs w:val="22"/>
          <w:lang w:val="en-US" w:eastAsia="zh-CN" w:bidi="ar-SA"/>
        </w:rPr>
        <w:t xml:space="preserve">项目名称： 中海金地都市花园1号楼、2号楼、4号楼（9班幼儿园）、6号楼、7号楼、8号楼、南地块二区地下室                                                                     </w:t>
      </w:r>
    </w:p>
    <w:tbl>
      <w:tblPr>
        <w:tblStyle w:val="5"/>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276"/>
        <w:gridCol w:w="6499"/>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990" w:type="dxa"/>
            <w:gridSpan w:val="2"/>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检查项目</w:t>
            </w:r>
          </w:p>
        </w:tc>
        <w:tc>
          <w:tcPr>
            <w:tcW w:w="527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检查内容</w:t>
            </w:r>
          </w:p>
        </w:tc>
        <w:tc>
          <w:tcPr>
            <w:tcW w:w="649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检查情况</w:t>
            </w:r>
          </w:p>
        </w:tc>
        <w:tc>
          <w:tcPr>
            <w:tcW w:w="1426"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top"/>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勘察（如有）</w:t>
            </w:r>
            <w:r>
              <w:rPr>
                <w:rFonts w:hint="eastAsia" w:ascii="楷体_GB2312" w:hAnsi="楷体_GB2312" w:eastAsia="楷体_GB2312" w:cs="楷体_GB2312"/>
                <w:b/>
                <w:bCs/>
                <w:kern w:val="0"/>
                <w:sz w:val="24"/>
                <w:szCs w:val="24"/>
                <w:vertAlign w:val="baseline"/>
                <w:lang w:eastAsia="zh-CN" w:bidi="ar-SA"/>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现场及试验室工作执行标准情况、工程勘察实施情况</w:t>
            </w:r>
          </w:p>
        </w:tc>
        <w:tc>
          <w:tcPr>
            <w:tcW w:w="5276"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sz w:val="21"/>
                <w:szCs w:val="21"/>
                <w:lang w:bidi="ar-SA"/>
              </w:rPr>
              <w:t>技术孔、控制性钻孔比例是否满足规范要求；地质异常段是否加密勘探孔，遇断裂、洞穴等不良地质时勘探孔加深是否足够，</w:t>
            </w:r>
            <w:r>
              <w:rPr>
                <w:rFonts w:hint="eastAsia" w:ascii="仿宋_GB2312" w:hAnsi="仿宋_GB2312" w:eastAsia="仿宋_GB2312" w:cs="仿宋_GB2312"/>
                <w:sz w:val="21"/>
                <w:szCs w:val="21"/>
                <w:lang w:bidi="ar-SA"/>
              </w:rPr>
              <w:t>取样数量、方法是否满足规范要求。</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满足规范要求。</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276"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原位测试手段选用、设备性能、数量、深度是否满足要求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水文地质试验方法选择是否合理（必要时）等。</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满足规范要求。</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276"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室内试验项目是否满足岩土性质、工程类型、设计、施工需要</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bCs/>
                <w:sz w:val="21"/>
                <w:szCs w:val="21"/>
                <w:lang w:bidi="ar-SA"/>
              </w:rPr>
              <w:t>主要土层试验数量是否满足规范要求。</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满足规范要求。</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编制技术文件、工程勘察成果情况</w:t>
            </w:r>
          </w:p>
        </w:tc>
        <w:tc>
          <w:tcPr>
            <w:tcW w:w="5276"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岩土层划分依据是否合理、岩土层划分是否正确。</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基本合理、基本正确。</w:t>
            </w:r>
          </w:p>
        </w:tc>
        <w:tc>
          <w:tcPr>
            <w:tcW w:w="1426" w:type="dxa"/>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276"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岩土物理力学参数等</w:t>
            </w:r>
            <w:r>
              <w:rPr>
                <w:rFonts w:hint="eastAsia" w:ascii="仿宋_GB2312" w:hAnsi="仿宋_GB2312" w:eastAsia="仿宋_GB2312" w:cs="仿宋_GB2312"/>
                <w:sz w:val="21"/>
                <w:szCs w:val="21"/>
                <w:lang w:bidi="ar-SA"/>
              </w:rPr>
              <w:t>勘察成果是否准确，地层、水文地质参数、岩土参数是否与实际情况相符。</w:t>
            </w:r>
          </w:p>
        </w:tc>
        <w:tc>
          <w:tcPr>
            <w:tcW w:w="6499" w:type="dxa"/>
            <w:vAlign w:val="center"/>
          </w:tcPr>
          <w:p>
            <w:pPr>
              <w:keepNext w:val="0"/>
              <w:keepLines w:val="0"/>
              <w:pageBreakBefore w:val="0"/>
              <w:widowControl w:val="0"/>
              <w:kinsoku/>
              <w:wordWrap/>
              <w:overflowPunct/>
              <w:topLinePunct w:val="0"/>
              <w:autoSpaceDE/>
              <w:autoSpaceDN/>
              <w:bidi w:val="0"/>
              <w:adjustRightInd/>
              <w:snapToGrid/>
              <w:spacing w:after="91" w:afterLines="20" w:line="300" w:lineRule="exact"/>
              <w:ind w:right="0" w:rightChars="0"/>
              <w:jc w:val="both"/>
              <w:textAlignment w:val="auto"/>
              <w:outlineLvl w:val="9"/>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是</w:t>
            </w:r>
          </w:p>
        </w:tc>
        <w:tc>
          <w:tcPr>
            <w:tcW w:w="1426" w:type="dxa"/>
            <w:vAlign w:val="center"/>
          </w:tcPr>
          <w:p>
            <w:pPr>
              <w:snapToGrid w:val="0"/>
              <w:spacing w:line="240" w:lineRule="auto"/>
              <w:jc w:val="center"/>
              <w:rPr>
                <w:rFonts w:hint="default" w:ascii="仿宋_GB2312" w:hAnsi="仿宋_GB2312" w:eastAsia="仿宋_GB2312" w:cs="仿宋_GB2312"/>
                <w:bCs/>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276" w:type="dxa"/>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场地与地基的建筑抗震设计基本条件是否准确</w:t>
            </w:r>
            <w:r>
              <w:rPr>
                <w:rFonts w:hint="eastAsia" w:ascii="仿宋_GB2312" w:hAnsi="仿宋_GB2312" w:eastAsia="仿宋_GB2312" w:cs="仿宋_GB2312"/>
                <w:sz w:val="21"/>
                <w:szCs w:val="21"/>
                <w:lang w:bidi="ar-SA"/>
              </w:rPr>
              <w:t>，包括场地类别划分、抗震影响基本参数、地震液化的判别是否准确等。</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符合规范要求。</w:t>
            </w:r>
          </w:p>
        </w:tc>
        <w:tc>
          <w:tcPr>
            <w:tcW w:w="1426" w:type="dxa"/>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bookmarkStart w:id="0" w:name="_GoBack" w:colFirst="2" w:colLast="3"/>
          </w:p>
        </w:tc>
        <w:tc>
          <w:tcPr>
            <w:tcW w:w="5276" w:type="dxa"/>
            <w:vAlign w:val="center"/>
          </w:tcPr>
          <w:p>
            <w:pPr>
              <w:snapToGrid w:val="0"/>
              <w:spacing w:line="240" w:lineRule="auto"/>
              <w:jc w:val="left"/>
              <w:rPr>
                <w:rFonts w:hint="eastAsia" w:ascii="仿宋_GB2312" w:hAnsi="仿宋_GB2312" w:eastAsia="仿宋_GB2312" w:cs="仿宋_GB2312"/>
                <w:b w:val="0"/>
                <w:bCs w:val="0"/>
                <w:color w:val="auto"/>
                <w:kern w:val="0"/>
                <w:sz w:val="21"/>
                <w:szCs w:val="21"/>
                <w:vertAlign w:val="baseline"/>
                <w:lang w:bidi="ar-SA"/>
              </w:rPr>
            </w:pPr>
            <w:r>
              <w:rPr>
                <w:rFonts w:hint="eastAsia" w:ascii="仿宋_GB2312" w:hAnsi="仿宋_GB2312" w:eastAsia="仿宋_GB2312" w:cs="仿宋_GB2312"/>
                <w:b w:val="0"/>
                <w:bCs w:val="0"/>
                <w:color w:val="auto"/>
                <w:sz w:val="21"/>
                <w:szCs w:val="21"/>
                <w:lang w:bidi="ar-SA"/>
              </w:rPr>
              <w:t>对地质灾害和特殊性岩土的评价是否正确；水和土对建筑材料腐蚀性影响评价是否正确；工程地质、水文地质条件评价及措施建议是否准确合理。</w:t>
            </w:r>
          </w:p>
        </w:tc>
        <w:tc>
          <w:tcPr>
            <w:tcW w:w="6499" w:type="dxa"/>
            <w:vAlign w:val="center"/>
          </w:tcPr>
          <w:p>
            <w:pPr>
              <w:pStyle w:val="2"/>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both"/>
              <w:textAlignment w:val="auto"/>
              <w:rPr>
                <w:rFonts w:hint="eastAsia" w:ascii="华文仿宋" w:hAnsi="华文仿宋" w:eastAsia="华文仿宋" w:cs="华文仿宋"/>
                <w:b w:val="0"/>
                <w:bCs w:val="0"/>
                <w:color w:val="auto"/>
                <w:sz w:val="21"/>
                <w:szCs w:val="21"/>
                <w:lang w:eastAsia="zh-CN"/>
              </w:rPr>
            </w:pPr>
            <w:r>
              <w:rPr>
                <w:rFonts w:hint="eastAsia" w:ascii="华文仿宋" w:hAnsi="华文仿宋" w:eastAsia="华文仿宋" w:cs="华文仿宋"/>
                <w:b w:val="0"/>
                <w:bCs w:val="0"/>
                <w:color w:val="auto"/>
                <w:sz w:val="21"/>
                <w:szCs w:val="21"/>
                <w:lang w:val="en-US" w:eastAsia="zh-CN"/>
              </w:rPr>
              <w:t>是</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bidi="ar-SA"/>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276"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场地稳定性、适宜性评价是否准确、全面。</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符合规范要求。</w:t>
            </w:r>
          </w:p>
        </w:tc>
        <w:tc>
          <w:tcPr>
            <w:tcW w:w="1426" w:type="dxa"/>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276"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成果是否经过内部审核、是否按照强制审查意见进行修改完善。</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符合法规要求。</w:t>
            </w:r>
          </w:p>
        </w:tc>
        <w:tc>
          <w:tcPr>
            <w:tcW w:w="1426" w:type="dxa"/>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276"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工程勘察报告是否有注册土木工程师（岩土）签章</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签章是否齐全。</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color w:val="auto"/>
                <w:sz w:val="21"/>
                <w:szCs w:val="21"/>
                <w:lang w:eastAsia="zh-CN" w:bidi="ar-SA"/>
              </w:rPr>
            </w:pPr>
            <w:r>
              <w:rPr>
                <w:rFonts w:hint="eastAsia" w:ascii="华文仿宋" w:hAnsi="华文仿宋" w:eastAsia="华文仿宋" w:cs="华文仿宋"/>
                <w:color w:val="auto"/>
                <w:sz w:val="21"/>
                <w:szCs w:val="21"/>
                <w:lang w:eastAsia="zh-CN" w:bidi="ar-SA"/>
              </w:rPr>
              <w:t>符合法规要求。</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276"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技术文件内容是否存在重要缺漏。</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default" w:ascii="华文仿宋" w:hAnsi="华文仿宋" w:eastAsia="华文仿宋" w:cs="华文仿宋"/>
                <w:color w:val="auto"/>
                <w:sz w:val="21"/>
                <w:szCs w:val="21"/>
                <w:lang w:val="en-US" w:eastAsia="zh-CN"/>
              </w:rPr>
            </w:pPr>
            <w:r>
              <w:rPr>
                <w:rFonts w:hint="eastAsia" w:ascii="仿宋_GB2312" w:hAnsi="仿宋_GB2312" w:eastAsia="仿宋_GB2312" w:cs="仿宋_GB2312"/>
                <w:color w:val="auto"/>
                <w:sz w:val="21"/>
                <w:szCs w:val="21"/>
                <w:lang w:bidi="ar-SA"/>
              </w:rPr>
              <w:t>否</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90" w:type="dxa"/>
            <w:gridSpan w:val="2"/>
            <w:vMerge w:val="continue"/>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276"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是否有其他文字、数据、图纸的错误。</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lang w:eastAsia="zh-CN"/>
              </w:rPr>
              <w:t>部分剖面图中相邻的不同地层漏</w:t>
            </w:r>
            <w:r>
              <w:rPr>
                <w:rFonts w:hint="eastAsia" w:ascii="华文仿宋" w:hAnsi="华文仿宋" w:eastAsia="华文仿宋" w:cs="华文仿宋"/>
                <w:color w:val="auto"/>
                <w:sz w:val="21"/>
                <w:szCs w:val="21"/>
                <w:lang w:val="en-US" w:eastAsia="zh-CN"/>
              </w:rPr>
              <w:t>画</w:t>
            </w:r>
            <w:r>
              <w:rPr>
                <w:rFonts w:hint="eastAsia" w:ascii="华文仿宋" w:hAnsi="华文仿宋" w:eastAsia="华文仿宋" w:cs="华文仿宋"/>
                <w:color w:val="auto"/>
                <w:sz w:val="21"/>
                <w:szCs w:val="21"/>
                <w:lang w:eastAsia="zh-CN"/>
              </w:rPr>
              <w:t>地质分界线。</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强制性标准条文</w:t>
            </w:r>
          </w:p>
        </w:tc>
        <w:tc>
          <w:tcPr>
            <w:tcW w:w="5276"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499" w:type="dxa"/>
            <w:vAlign w:val="center"/>
          </w:tcPr>
          <w:p>
            <w:pPr>
              <w:pStyle w:val="2"/>
              <w:keepNext w:val="0"/>
              <w:keepLines w:val="0"/>
              <w:pageBreakBefore w:val="0"/>
              <w:widowControl w:val="0"/>
              <w:kinsoku/>
              <w:wordWrap/>
              <w:overflowPunct/>
              <w:topLinePunct w:val="0"/>
              <w:autoSpaceDE/>
              <w:autoSpaceDN/>
              <w:bidi w:val="0"/>
              <w:adjustRightInd/>
              <w:spacing w:line="300" w:lineRule="exact"/>
              <w:ind w:left="0" w:leftChars="0" w:firstLine="0" w:firstLineChars="0"/>
              <w:textAlignment w:val="auto"/>
              <w:rPr>
                <w:rFonts w:hint="default" w:eastAsia="宋体"/>
                <w:color w:val="auto"/>
                <w:lang w:val="en-US" w:eastAsia="zh-CN"/>
              </w:rPr>
            </w:pPr>
            <w:r>
              <w:rPr>
                <w:rFonts w:hint="eastAsia" w:ascii="仿宋_GB2312" w:hAnsi="仿宋_GB2312" w:eastAsia="仿宋_GB2312" w:cs="仿宋_GB2312"/>
                <w:color w:val="auto"/>
                <w:sz w:val="21"/>
                <w:szCs w:val="21"/>
                <w:lang w:bidi="ar-SA"/>
              </w:rPr>
              <w:t>是</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一般标准条文</w:t>
            </w:r>
          </w:p>
        </w:tc>
        <w:tc>
          <w:tcPr>
            <w:tcW w:w="5276"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color w:val="auto"/>
                <w:sz w:val="21"/>
                <w:szCs w:val="21"/>
                <w:lang w:bidi="ar-SA"/>
              </w:rPr>
            </w:pPr>
            <w:r>
              <w:rPr>
                <w:rFonts w:hint="eastAsia" w:ascii="华文仿宋" w:hAnsi="华文仿宋" w:eastAsia="华文仿宋" w:cs="华文仿宋"/>
                <w:color w:val="auto"/>
                <w:sz w:val="21"/>
                <w:szCs w:val="21"/>
                <w:lang w:val="en-US" w:eastAsia="zh-CN" w:bidi="ar-SA"/>
              </w:rPr>
              <w:t>否</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落实工程质量责任制情况</w:t>
            </w:r>
          </w:p>
        </w:tc>
        <w:tc>
          <w:tcPr>
            <w:tcW w:w="5276" w:type="dxa"/>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文件包中未见授权书和承诺书。</w:t>
            </w:r>
          </w:p>
        </w:tc>
        <w:tc>
          <w:tcPr>
            <w:tcW w:w="1426" w:type="dxa"/>
            <w:vAlign w:val="center"/>
          </w:tcPr>
          <w:p>
            <w:pPr>
              <w:snapToGrid w:val="0"/>
              <w:spacing w:line="240" w:lineRule="auto"/>
              <w:jc w:val="center"/>
              <w:rPr>
                <w:rFonts w:hint="eastAsia" w:ascii="仿宋_GB2312" w:hAnsi="仿宋_GB2312" w:eastAsia="仿宋_GB2312" w:cs="仿宋_GB2312"/>
                <w:bCs/>
                <w:sz w:val="21"/>
                <w:szCs w:val="21"/>
                <w:lang w:val="en-US" w:eastAsia="zh-CN" w:bidi="ar-SA"/>
              </w:rPr>
            </w:pPr>
            <w:r>
              <w:rPr>
                <w:rFonts w:hint="eastAsia" w:ascii="仿宋_GB2312" w:hAnsi="仿宋_GB2312" w:cs="仿宋_GB2312"/>
                <w:bCs/>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6" w:type="dxa"/>
            <w:gridSpan w:val="3"/>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其他工程勘察质量相关内容</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bidi="ar-SA"/>
              </w:rPr>
            </w:pPr>
            <w:r>
              <w:rPr>
                <w:rFonts w:hint="eastAsia" w:ascii="华文仿宋" w:hAnsi="华文仿宋" w:eastAsia="华文仿宋" w:cs="华文仿宋"/>
                <w:sz w:val="21"/>
                <w:szCs w:val="21"/>
                <w:lang w:eastAsia="zh-CN" w:bidi="ar-SA"/>
              </w:rPr>
              <w:t>无</w:t>
            </w:r>
            <w:r>
              <w:rPr>
                <w:rFonts w:hint="eastAsia" w:ascii="华文仿宋" w:hAnsi="华文仿宋" w:eastAsia="华文仿宋" w:cs="华文仿宋"/>
                <w:sz w:val="21"/>
                <w:szCs w:val="21"/>
                <w:lang w:val="en-US" w:eastAsia="zh-CN" w:bidi="ar-SA"/>
              </w:rPr>
              <w:t>其他意见。</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center"/>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w:t>
            </w:r>
          </w:p>
        </w:tc>
        <w:tc>
          <w:tcPr>
            <w:tcW w:w="5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设计依据的规范、标准是否准确；基础资料是否满足要求；设计是否执行立项、规划</w:t>
            </w:r>
            <w:r>
              <w:rPr>
                <w:rFonts w:hint="eastAsia" w:ascii="仿宋_GB2312" w:hAnsi="仿宋_GB2312" w:eastAsia="仿宋_GB2312" w:cs="仿宋_GB2312"/>
                <w:sz w:val="21"/>
                <w:szCs w:val="21"/>
                <w:lang w:eastAsia="zh-CN" w:bidi="ar-SA"/>
              </w:rPr>
              <w:t>、人防</w:t>
            </w:r>
            <w:r>
              <w:rPr>
                <w:rFonts w:hint="eastAsia" w:ascii="仿宋_GB2312" w:hAnsi="仿宋_GB2312" w:eastAsia="仿宋_GB2312" w:cs="仿宋_GB2312"/>
                <w:sz w:val="21"/>
                <w:szCs w:val="21"/>
                <w:lang w:bidi="ar-SA"/>
              </w:rPr>
              <w:t>等主管部门批文。</w:t>
            </w:r>
          </w:p>
        </w:tc>
        <w:tc>
          <w:tcPr>
            <w:tcW w:w="6499" w:type="dxa"/>
            <w:vAlign w:val="center"/>
          </w:tcPr>
          <w:p>
            <w:pPr>
              <w:keepNext w:val="0"/>
              <w:keepLines w:val="0"/>
              <w:pageBreakBefore w:val="0"/>
              <w:widowControl w:val="0"/>
              <w:numPr>
                <w:ilvl w:val="0"/>
                <w:numId w:val="1"/>
              </w:numPr>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建筑图纸的设计说明：设计依据，1.7条，《民用建筑工程室内环境污染控制规范》规范版本需要更新为GB50325-2020第6.5.3条，《建筑外门窗气密,水密,抗风压性能分级及检测方法》GB/T7106-2008规范已废止，新版规范为《建筑外门窗气密、水密、抗风压性能检测方法》GB/T7106-2019。铝合金门窗的壁厚应按内、外门窗分别描述。 应补充完整为铝合金外门型材壁厚2.2mm，内门型材壁厚2.0mm；铝合金外窗型材壁厚1.8mm，内窗型材壁厚1.4mm。</w:t>
            </w:r>
          </w:p>
          <w:p>
            <w:pPr>
              <w:pStyle w:val="2"/>
              <w:keepNext w:val="0"/>
              <w:keepLines w:val="0"/>
              <w:pageBreakBefore w:val="0"/>
              <w:widowControl w:val="0"/>
              <w:numPr>
                <w:ilvl w:val="0"/>
                <w:numId w:val="0"/>
              </w:numPr>
              <w:kinsoku/>
              <w:wordWrap/>
              <w:overflowPunct/>
              <w:topLinePunct w:val="0"/>
              <w:autoSpaceDE/>
              <w:autoSpaceDN/>
              <w:bidi w:val="0"/>
              <w:adjustRightInd/>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eastAsia="zh-CN"/>
              </w:rPr>
              <w:t>复审意见：未见申诉回复。</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0" w:right="0" w:rightChars="0"/>
              <w:jc w:val="both"/>
              <w:textAlignment w:val="auto"/>
              <w:rPr>
                <w:rFonts w:hint="eastAsia" w:ascii="华文仿宋" w:hAnsi="华文仿宋" w:eastAsia="华文仿宋" w:cs="华文仿宋"/>
                <w:color w:val="0000FF"/>
                <w:sz w:val="21"/>
                <w:szCs w:val="21"/>
                <w:lang w:val="en-US" w:eastAsia="zh-CN" w:bidi="ar-SA"/>
              </w:rPr>
            </w:pPr>
            <w:r>
              <w:rPr>
                <w:rFonts w:hint="eastAsia" w:ascii="华文仿宋" w:hAnsi="华文仿宋" w:eastAsia="华文仿宋" w:cs="华文仿宋"/>
                <w:sz w:val="21"/>
                <w:szCs w:val="21"/>
                <w:lang w:val="en-US" w:eastAsia="zh-CN"/>
              </w:rPr>
              <w:t>2、暖通图纸的设计说明中关于《广州市建设工程消防设计、审查难点问题解答》不适用本工程，《托儿所、幼儿园建筑设计规范》 JGJ39-2016应注明2019年版。</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设计文件编制深度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完整性</w:t>
            </w:r>
          </w:p>
        </w:tc>
        <w:tc>
          <w:tcPr>
            <w:tcW w:w="5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eastAsia="zh-CN" w:bidi="ar-SA"/>
              </w:rPr>
            </w:pPr>
            <w:r>
              <w:rPr>
                <w:rFonts w:hint="eastAsia" w:ascii="仿宋_GB2312" w:hAnsi="仿宋_GB2312" w:eastAsia="仿宋_GB2312" w:cs="仿宋_GB2312"/>
                <w:sz w:val="21"/>
                <w:szCs w:val="21"/>
                <w:lang w:bidi="ar-SA"/>
              </w:rPr>
              <w:t>专业图纸是否齐全</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是否符合现行相关规定要求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单位和个人签章是否完备并符合要求</w:t>
            </w:r>
            <w:r>
              <w:rPr>
                <w:rFonts w:hint="eastAsia" w:ascii="仿宋_GB2312" w:hAnsi="仿宋_GB2312" w:eastAsia="仿宋_GB2312" w:cs="仿宋_GB2312"/>
                <w:sz w:val="21"/>
                <w:szCs w:val="21"/>
                <w:lang w:eastAsia="zh-CN" w:bidi="ar-SA"/>
              </w:rPr>
              <w:t>；涉及危大工程的是否注明危大工程的重点部位和环节，提出保障工程周边环境安全和工程施工安全的意见，必要时进行专项设计。</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bidi="ar-SA"/>
              </w:rPr>
              <w:t>齐全</w:t>
            </w:r>
            <w:r>
              <w:rPr>
                <w:rFonts w:hint="eastAsia" w:ascii="华文仿宋" w:hAnsi="华文仿宋" w:eastAsia="华文仿宋" w:cs="华文仿宋"/>
                <w:sz w:val="21"/>
                <w:szCs w:val="21"/>
                <w:lang w:eastAsia="zh-CN" w:bidi="ar-SA"/>
              </w:rPr>
              <w:t>。</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强制性标准条文</w:t>
            </w:r>
          </w:p>
        </w:tc>
        <w:tc>
          <w:tcPr>
            <w:tcW w:w="5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499"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是</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一般标准条文</w:t>
            </w:r>
          </w:p>
        </w:tc>
        <w:tc>
          <w:tcPr>
            <w:tcW w:w="5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eastAsia="zh-CN" w:bidi="ar-SA"/>
              </w:rPr>
              <w:t>是</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落实工程质量责任制情况</w:t>
            </w:r>
          </w:p>
        </w:tc>
        <w:tc>
          <w:tcPr>
            <w:tcW w:w="5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eastAsia="zh-CN" w:bidi="ar-SA"/>
              </w:rPr>
              <w:t>没有提供</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bCs/>
                <w:sz w:val="21"/>
                <w:szCs w:val="21"/>
                <w:lang w:val="en-US" w:eastAsia="zh-CN" w:bidi="ar-SA"/>
              </w:rPr>
            </w:pPr>
            <w:r>
              <w:rPr>
                <w:rFonts w:hint="eastAsia" w:ascii="仿宋_GB2312" w:hAnsi="仿宋_GB2312" w:cs="仿宋_GB2312"/>
                <w:bCs/>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w:t>
            </w:r>
          </w:p>
        </w:tc>
        <w:tc>
          <w:tcPr>
            <w:tcW w:w="5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内部审核制度是否完善，校审意见单是否齐全，内部评审、方案会审记录是否齐全，专业间互提资料单是否齐全，内部各级复、审核意见是否落实全面，文件的签署、专业会签是否完整。</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eastAsia="zh-CN" w:bidi="ar-SA"/>
              </w:rPr>
              <w:t>完整</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初步设计审查落实</w:t>
            </w:r>
          </w:p>
        </w:tc>
        <w:tc>
          <w:tcPr>
            <w:tcW w:w="5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施工图设计中是否说明初步设计专家意见（包括其它评审意见）的执行情况。</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eastAsia="zh-CN" w:bidi="ar-SA"/>
              </w:rPr>
              <w:t>没有提供</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设计交底</w:t>
            </w:r>
          </w:p>
        </w:tc>
        <w:tc>
          <w:tcPr>
            <w:tcW w:w="5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是否按照要求执行设计交底制度，是否按照要求执行图纸会审制度。</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val="en-US" w:eastAsia="zh-CN" w:bidi="ar-SA"/>
              </w:rPr>
              <w:t>是</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9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pacing w:val="20"/>
                <w:sz w:val="21"/>
                <w:szCs w:val="21"/>
                <w:lang w:bidi="ar-SA"/>
              </w:rPr>
              <w:t>设计文件修改、变更</w:t>
            </w:r>
          </w:p>
        </w:tc>
        <w:tc>
          <w:tcPr>
            <w:tcW w:w="527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设计文件修改、变更是否合理，设计变更是否履行规定的程序。</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val="en-US" w:eastAsia="zh-CN" w:bidi="ar-SA"/>
              </w:rPr>
              <w:t>是</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建筑</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sz w:val="21"/>
                <w:szCs w:val="21"/>
                <w:shd w:val="clear" w:color="auto" w:fill="FFFFFF"/>
                <w:lang w:val="en-GB" w:bidi="ar-SA"/>
              </w:rPr>
              <w:t>绿色建筑设计目标是否明确，建筑节能和绿色建筑设计拟采取的相应技术措施是否合理可行并符合规范要求</w:t>
            </w:r>
            <w:r>
              <w:rPr>
                <w:rFonts w:hint="eastAsia" w:ascii="仿宋_GB2312" w:hAnsi="仿宋_GB2312" w:eastAsia="仿宋_GB2312" w:cs="仿宋_GB2312"/>
                <w:sz w:val="21"/>
                <w:szCs w:val="21"/>
                <w:shd w:val="clear" w:color="auto" w:fill="FFFFFF"/>
                <w:lang w:bidi="ar-SA"/>
              </w:rPr>
              <w:t>。</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val="en-GB" w:eastAsia="zh-CN" w:bidi="ar-SA"/>
              </w:rPr>
              <w:t>是</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建筑设计质量检查要点</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GB" w:bidi="ar-SA"/>
              </w:rPr>
              <w:t>平面布置中功能分区是否明确，交通组织是否合理，楼层净高尺寸是否满足相关规范要求。消防设计是否满足有关要求，</w:t>
            </w:r>
            <w:r>
              <w:rPr>
                <w:rFonts w:hint="eastAsia" w:ascii="仿宋_GB2312" w:hAnsi="仿宋_GB2312" w:eastAsia="仿宋_GB2312" w:cs="仿宋_GB2312"/>
                <w:sz w:val="21"/>
                <w:szCs w:val="21"/>
                <w:lang w:bidi="ar-SA"/>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sz w:val="21"/>
                <w:szCs w:val="21"/>
                <w:lang w:val="en-GB" w:bidi="ar-SA"/>
              </w:rPr>
              <w:t>项目的使用功能是否满足相关建筑设计规范要求等。</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 xml:space="preserve">1、无障碍设计专篇：本期无障碍住房的设计情况（设置在哪一栋？多少户？是否满足2%无障碍户型要求）应描述。  </w:t>
            </w:r>
          </w:p>
          <w:p>
            <w:pPr>
              <w:pStyle w:val="2"/>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both"/>
              <w:textAlignment w:val="auto"/>
              <w:rPr>
                <w:rFonts w:hint="eastAsia" w:ascii="华文仿宋" w:hAnsi="华文仿宋" w:eastAsia="华文仿宋" w:cs="华文仿宋"/>
                <w:color w:val="auto"/>
                <w:sz w:val="21"/>
                <w:szCs w:val="21"/>
                <w:lang w:val="en-GB" w:eastAsia="zh-CN"/>
              </w:rPr>
            </w:pPr>
            <w:r>
              <w:rPr>
                <w:rFonts w:hint="eastAsia" w:ascii="华文仿宋" w:hAnsi="华文仿宋" w:eastAsia="华文仿宋" w:cs="华文仿宋"/>
                <w:b/>
                <w:bCs/>
                <w:color w:val="auto"/>
                <w:sz w:val="21"/>
                <w:szCs w:val="21"/>
                <w:lang w:val="en-GB" w:eastAsia="zh-CN"/>
              </w:rPr>
              <w:t>复审意见：</w:t>
            </w:r>
            <w:r>
              <w:rPr>
                <w:rFonts w:hint="eastAsia" w:ascii="华文仿宋" w:hAnsi="华文仿宋" w:eastAsia="华文仿宋" w:cs="华文仿宋"/>
                <w:color w:val="auto"/>
                <w:sz w:val="21"/>
                <w:szCs w:val="21"/>
                <w:lang w:val="en-GB" w:eastAsia="zh-CN"/>
              </w:rPr>
              <w:t>根据《无障碍设计规范》GB50763-2012，7.4.3条，居住建筑应按每100套住房设置不少于2套无障碍住房进行设计。</w:t>
            </w:r>
          </w:p>
          <w:p>
            <w:pPr>
              <w:pStyle w:val="2"/>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both"/>
              <w:textAlignment w:val="auto"/>
              <w:rPr>
                <w:rFonts w:hint="eastAsia" w:ascii="华文仿宋" w:hAnsi="华文仿宋" w:eastAsia="华文仿宋" w:cs="华文仿宋"/>
                <w:color w:val="auto"/>
                <w:sz w:val="21"/>
                <w:szCs w:val="21"/>
                <w:lang w:val="en-GB"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lang w:val="en-US" w:eastAsia="zh-CN"/>
              </w:rPr>
            </w:pPr>
            <w:r>
              <w:rPr>
                <w:rFonts w:hint="eastAsia" w:ascii="华文仿宋" w:hAnsi="华文仿宋" w:eastAsia="华文仿宋" w:cs="华文仿宋"/>
                <w:sz w:val="21"/>
                <w:szCs w:val="21"/>
                <w:lang w:val="en-US" w:eastAsia="zh-CN"/>
              </w:rPr>
              <w:t>2、各栋住宅共同问题：①、首层住宅楼梯间出入口与地下室汽车库人</w:t>
            </w:r>
            <w:r>
              <w:rPr>
                <w:rFonts w:hint="eastAsia" w:ascii="华文仿宋" w:hAnsi="华文仿宋" w:eastAsia="华文仿宋" w:cs="华文仿宋"/>
                <w:color w:val="auto"/>
                <w:sz w:val="21"/>
                <w:szCs w:val="21"/>
                <w:lang w:val="en-US" w:eastAsia="zh-CN"/>
              </w:rPr>
              <w:t>员出入口应分开布置。（住宅设计规范GB50096-2011，6.10.4）；②、二层，主入口处的铝板雨棚应改为防坠落雨棚并提交结构专业。（住宅设计规范GB50096-2011，6.5.2）；</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color w:val="auto"/>
                <w:sz w:val="21"/>
                <w:szCs w:val="21"/>
                <w:lang w:val="en-US" w:eastAsia="zh-CN"/>
              </w:rPr>
            </w:pPr>
            <w:r>
              <w:rPr>
                <w:rFonts w:hint="eastAsia" w:ascii="华文仿宋" w:hAnsi="华文仿宋" w:eastAsia="华文仿宋" w:cs="华文仿宋"/>
                <w:b/>
                <w:bCs/>
                <w:color w:val="auto"/>
                <w:sz w:val="21"/>
                <w:szCs w:val="21"/>
                <w:lang w:val="en-US" w:eastAsia="zh-CN"/>
              </w:rPr>
              <w:t>复审意见：</w:t>
            </w:r>
            <w:r>
              <w:rPr>
                <w:rFonts w:hint="eastAsia" w:ascii="华文仿宋" w:hAnsi="华文仿宋" w:eastAsia="华文仿宋" w:cs="华文仿宋"/>
                <w:color w:val="auto"/>
                <w:sz w:val="21"/>
                <w:szCs w:val="21"/>
                <w:lang w:val="en-US" w:eastAsia="zh-CN"/>
              </w:rPr>
              <w:t>所提申诉理由无依据，1.根据《住宅设计规范》GB50096-2011第6.10.4条文说明，此条文是为了解决功能完全不同的用房在一起时产生的人流交叉干扰矛盾，使住宅的防火和安全疏散有了确实的保障。而本项目地下车库与地上住户属于二种功能完全不同的用房，故应按此条文进行设计。 2.应提供结构计算书请结构审查师复核且满足雨棚防坠落要求。</w:t>
            </w:r>
          </w:p>
          <w:p>
            <w:pPr>
              <w:pStyle w:val="2"/>
              <w:keepNext w:val="0"/>
              <w:keepLines w:val="0"/>
              <w:pageBreakBefore w:val="0"/>
              <w:widowControl w:val="0"/>
              <w:kinsoku/>
              <w:wordWrap/>
              <w:overflowPunct/>
              <w:topLinePunct w:val="0"/>
              <w:autoSpaceDE/>
              <w:autoSpaceDN/>
              <w:bidi w:val="0"/>
              <w:adjustRightInd/>
              <w:spacing w:line="300" w:lineRule="exact"/>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3、门窗大样、节能专篇：《建筑外门窗气密,水密,抗风压性能分级及检测方法》GB/T7106-2008规范已废止，新版规范为《建筑外门窗气密、水密、抗风压性能检测方法》GB/T7106-2019，请按新规范重新编制设计。</w:t>
            </w:r>
          </w:p>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GB"/>
              </w:rPr>
            </w:pPr>
            <w:r>
              <w:rPr>
                <w:rFonts w:hint="eastAsia" w:ascii="华文仿宋" w:hAnsi="华文仿宋" w:eastAsia="华文仿宋" w:cs="华文仿宋"/>
                <w:sz w:val="21"/>
                <w:szCs w:val="21"/>
                <w:lang w:val="en-US" w:eastAsia="zh-CN"/>
              </w:rPr>
              <w:t>4#平面：节能专篇：建筑外门窗气密,水密,抗风压性能分级及检测方法》GB/T7106-2008规范已废止，新版规范为《建筑外门窗气密、水密、抗风压性能检测方法》GB/T7106-2019，请按新规范重新编制设计。7#：16~18层平面缺门窗编号。</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结构</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结构选型、结构布置是否存在不合理或投资浪费等问题；荷载取值、结构计算、</w:t>
            </w:r>
            <w:r>
              <w:rPr>
                <w:rFonts w:hint="eastAsia" w:ascii="仿宋_GB2312" w:hAnsi="仿宋_GB2312" w:eastAsia="仿宋_GB2312" w:cs="仿宋_GB2312"/>
                <w:sz w:val="21"/>
                <w:szCs w:val="21"/>
                <w:shd w:val="clear" w:color="auto" w:fill="FFFFFF"/>
                <w:lang w:bidi="ar-SA"/>
              </w:rPr>
              <w:t>结构安全等级、结构重要性系数、结构使用年限及耐久性、抗震设防类别和抗震等级、抗震构造措施等是否符合规范。</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eastAsia="zh-CN" w:bidi="ar-SA"/>
              </w:rPr>
              <w:t>满足规范要求。</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地基基础设计质量检查要点</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基础选型及埋深、天然地基持力层、桩端持力层及进入持力层的深度是否合理，是否满足地基承载力、变形及整体稳定要求。抗浮设防水位是否正确，采取的抗浮措施是否合理、可靠。</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eastAsia="zh-CN" w:bidi="ar-SA"/>
              </w:rPr>
              <w:t>满足规范要求。</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上部结构及地下室结构设计质量要点</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bidi="ar-SA"/>
              </w:rPr>
            </w:pPr>
            <w:r>
              <w:rPr>
                <w:rFonts w:hint="eastAsia" w:ascii="华文仿宋" w:hAnsi="华文仿宋" w:eastAsia="华文仿宋" w:cs="华文仿宋"/>
                <w:sz w:val="21"/>
                <w:szCs w:val="21"/>
                <w:lang w:val="en-US" w:eastAsia="zh-CN" w:bidi="ar-SA"/>
              </w:rPr>
              <w:t>1、地下室框架柱抗震等级未见注明；</w:t>
            </w:r>
          </w:p>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bidi="ar-SA"/>
              </w:rPr>
            </w:pPr>
            <w:r>
              <w:rPr>
                <w:rFonts w:hint="eastAsia" w:ascii="华文仿宋" w:hAnsi="华文仿宋" w:eastAsia="华文仿宋" w:cs="华文仿宋"/>
                <w:sz w:val="21"/>
                <w:szCs w:val="21"/>
                <w:lang w:val="en-US" w:eastAsia="zh-CN" w:bidi="ar-SA"/>
              </w:rPr>
              <w:t>2、补充单桩承载力计算、荷载取值计算；</w:t>
            </w:r>
          </w:p>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bidi="ar-SA"/>
              </w:rPr>
            </w:pPr>
            <w:r>
              <w:rPr>
                <w:rFonts w:hint="eastAsia" w:ascii="华文仿宋" w:hAnsi="华文仿宋" w:eastAsia="华文仿宋" w:cs="华文仿宋"/>
                <w:sz w:val="21"/>
                <w:szCs w:val="21"/>
                <w:lang w:val="en-US" w:eastAsia="zh-CN" w:bidi="ar-SA"/>
              </w:rPr>
              <w:t>3、抗浮设计水位应在图纸上注明；</w:t>
            </w:r>
          </w:p>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bidi="ar-SA"/>
              </w:rPr>
            </w:pPr>
            <w:r>
              <w:rPr>
                <w:rFonts w:hint="eastAsia" w:ascii="华文仿宋" w:hAnsi="华文仿宋" w:eastAsia="华文仿宋" w:cs="华文仿宋"/>
                <w:sz w:val="21"/>
                <w:szCs w:val="21"/>
                <w:lang w:val="en-US" w:eastAsia="zh-CN" w:bidi="ar-SA"/>
              </w:rPr>
              <w:t>4、1号楼首层1-A轴、1-D轴框架梁未编号未配筋，三层梁仅标注截面，未见配筋；</w:t>
            </w:r>
          </w:p>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val="en-US" w:eastAsia="zh-CN" w:bidi="ar-SA"/>
              </w:rPr>
              <w:t>5、4号楼GS-S01第2.2条，安全等级及重要性系数有误。</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给排水</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color w:val="auto"/>
                <w:sz w:val="21"/>
                <w:szCs w:val="21"/>
                <w:lang w:val="en-US" w:eastAsia="zh-CN"/>
              </w:rPr>
            </w:pPr>
            <w:r>
              <w:rPr>
                <w:rFonts w:hint="eastAsia" w:ascii="华文仿宋" w:hAnsi="华文仿宋" w:eastAsia="华文仿宋" w:cs="华文仿宋"/>
                <w:color w:val="auto"/>
                <w:sz w:val="21"/>
                <w:szCs w:val="21"/>
                <w:lang w:val="en-US" w:eastAsia="zh-CN"/>
              </w:rPr>
              <w:t>4号楼淋浴热水设施应设防烫伤措施，详见GB50015-2019第6.3.9条。</w:t>
            </w:r>
          </w:p>
          <w:p>
            <w:pPr>
              <w:pStyle w:val="2"/>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b/>
                <w:bCs/>
                <w:color w:val="auto"/>
                <w:sz w:val="21"/>
                <w:szCs w:val="21"/>
                <w:lang w:eastAsia="zh-CN"/>
              </w:rPr>
              <w:t>复审意见：</w:t>
            </w:r>
            <w:r>
              <w:rPr>
                <w:rFonts w:hint="eastAsia" w:ascii="华文仿宋" w:hAnsi="华文仿宋" w:eastAsia="华文仿宋" w:cs="华文仿宋"/>
                <w:color w:val="auto"/>
                <w:sz w:val="21"/>
                <w:szCs w:val="21"/>
                <w:lang w:eastAsia="zh-CN"/>
              </w:rPr>
              <w:t>应明确具体防烫伤措施（如恒温阀，单管系统等），并在图纸上清楚表达具体措施内容，以满足施工图深度要求，而不是照抄规范条文。</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给排水设计质量检查要点</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499" w:type="dxa"/>
            <w:vAlign w:val="center"/>
          </w:tcPr>
          <w:p>
            <w:pPr>
              <w:pStyle w:val="2"/>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both"/>
              <w:textAlignment w:val="auto"/>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eastAsia="zh-CN" w:bidi="ar-SA"/>
              </w:rPr>
              <w:t>符合要求。</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电气</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bidi="ar-SA"/>
              </w:rPr>
            </w:pPr>
            <w:r>
              <w:rPr>
                <w:rFonts w:hint="eastAsia" w:ascii="华文仿宋" w:hAnsi="华文仿宋" w:eastAsia="华文仿宋" w:cs="华文仿宋"/>
                <w:sz w:val="21"/>
                <w:szCs w:val="21"/>
                <w:lang w:eastAsia="zh-CN" w:bidi="ar-SA"/>
              </w:rPr>
              <w:t>符合要求。</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电气设计质量检查要点</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4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0" w:right="0" w:rightChars="0"/>
              <w:jc w:val="both"/>
              <w:textAlignment w:val="auto"/>
              <w:rPr>
                <w:rFonts w:hint="eastAsia" w:ascii="华文仿宋" w:hAnsi="华文仿宋" w:eastAsia="华文仿宋" w:cs="华文仿宋"/>
                <w:color w:val="auto"/>
                <w:sz w:val="21"/>
                <w:szCs w:val="21"/>
                <w:lang w:eastAsia="zh-CN"/>
              </w:rPr>
            </w:pPr>
            <w:r>
              <w:rPr>
                <w:rFonts w:hint="eastAsia" w:ascii="华文仿宋" w:hAnsi="华文仿宋" w:eastAsia="华文仿宋" w:cs="华文仿宋"/>
                <w:color w:val="auto"/>
                <w:sz w:val="21"/>
                <w:szCs w:val="21"/>
                <w:lang w:eastAsia="zh-CN"/>
              </w:rPr>
              <w:t>地下室各区应急照明电箱改由本区就近消防电箱引入电源，取消应急照明专用双切箱及其前级2个总电源箱；塔楼应急照明双切箱宜提前一级设置。</w:t>
            </w:r>
          </w:p>
          <w:p>
            <w:pPr>
              <w:pStyle w:val="2"/>
              <w:keepNext w:val="0"/>
              <w:keepLines w:val="0"/>
              <w:pageBreakBefore w:val="0"/>
              <w:widowControl w:val="0"/>
              <w:numPr>
                <w:ilvl w:val="0"/>
                <w:numId w:val="0"/>
              </w:numPr>
              <w:kinsoku/>
              <w:wordWrap/>
              <w:overflowPunct/>
              <w:topLinePunct w:val="0"/>
              <w:autoSpaceDE/>
              <w:autoSpaceDN/>
              <w:bidi w:val="0"/>
              <w:adjustRightInd/>
              <w:spacing w:line="300" w:lineRule="exact"/>
              <w:ind w:left="0" w:leftChars="0" w:right="0" w:rightChars="0" w:firstLine="0" w:firstLineChars="0"/>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b/>
                <w:bCs/>
                <w:color w:val="auto"/>
                <w:sz w:val="21"/>
                <w:szCs w:val="21"/>
                <w:lang w:eastAsia="zh-CN"/>
              </w:rPr>
              <w:t>复审意见：</w:t>
            </w:r>
            <w:r>
              <w:rPr>
                <w:rFonts w:hint="eastAsia" w:ascii="华文仿宋" w:hAnsi="华文仿宋" w:eastAsia="华文仿宋" w:cs="华文仿宋"/>
                <w:color w:val="auto"/>
                <w:sz w:val="21"/>
                <w:szCs w:val="21"/>
                <w:lang w:eastAsia="zh-CN"/>
              </w:rPr>
              <w:t>应急照明系统繁琐、增加故障点、增加投资。虽可使用，但需业主知情并同意。</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暖通</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val="en-US" w:eastAsia="zh-CN" w:bidi="ar-SA"/>
              </w:rPr>
              <w:t>1、</w:t>
            </w:r>
            <w:r>
              <w:rPr>
                <w:rFonts w:hint="eastAsia" w:ascii="华文仿宋" w:hAnsi="华文仿宋" w:eastAsia="华文仿宋" w:cs="华文仿宋"/>
                <w:sz w:val="21"/>
                <w:szCs w:val="21"/>
                <w:lang w:bidi="ar-SA"/>
              </w:rPr>
              <w:t>幼儿园设计说明室内设计参数应符合《托儿所、幼儿园建筑设计规范》（JGJ39-2016）(2019年版)6.2.11条规定。</w:t>
            </w:r>
          </w:p>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bidi="ar-SA"/>
              </w:rPr>
              <w:t>2、应明确多联机的IPLV(C)，并复核是否满足《公共建筑节能设计标准》（GB50189-2015）4.2.17条的要求。</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电气设计质量检查要点</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sz w:val="21"/>
                <w:szCs w:val="21"/>
                <w:lang w:bidi="ar-SA"/>
              </w:rPr>
            </w:pPr>
            <w:r>
              <w:rPr>
                <w:rFonts w:hint="eastAsia" w:ascii="华文仿宋" w:hAnsi="华文仿宋" w:eastAsia="华文仿宋" w:cs="华文仿宋"/>
                <w:sz w:val="21"/>
                <w:szCs w:val="21"/>
                <w:lang w:bidi="ar-SA"/>
              </w:rPr>
              <w:t>缺空调负荷计算书， 参见《民用建筑供暖通风与空气调节设计规范》（GB50736-2012）7.2.1条的规定。</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消防</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4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消防水池取水口距消防车道不宜大于2米，详GB50016-2014-2018年版第7.1.7条。</w:t>
            </w:r>
          </w:p>
          <w:p>
            <w:pPr>
              <w:pStyle w:val="2"/>
              <w:keepNext w:val="0"/>
              <w:keepLines w:val="0"/>
              <w:pageBreakBefore w:val="0"/>
              <w:widowControl w:val="0"/>
              <w:numPr>
                <w:ilvl w:val="0"/>
                <w:numId w:val="0"/>
              </w:numPr>
              <w:kinsoku/>
              <w:wordWrap/>
              <w:overflowPunct/>
              <w:topLinePunct w:val="0"/>
              <w:autoSpaceDE/>
              <w:autoSpaceDN/>
              <w:bidi w:val="0"/>
              <w:adjustRightInd/>
              <w:spacing w:line="300" w:lineRule="exact"/>
              <w:ind w:left="0" w:leftChars="0" w:right="0" w:rightChars="0" w:firstLine="0" w:firstLineChars="0"/>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b/>
                <w:bCs/>
                <w:color w:val="auto"/>
                <w:sz w:val="21"/>
                <w:szCs w:val="21"/>
              </w:rPr>
              <w:t>复审意见：</w:t>
            </w:r>
            <w:r>
              <w:rPr>
                <w:rFonts w:hint="eastAsia" w:ascii="华文仿宋" w:hAnsi="华文仿宋" w:eastAsia="华文仿宋" w:cs="华文仿宋"/>
                <w:color w:val="auto"/>
                <w:sz w:val="21"/>
                <w:szCs w:val="21"/>
              </w:rPr>
              <w:t>消防水池取水口远离消防车道，影响消防车正常取水，有安全隐患，设计不合理。</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消防设计质量检查要点</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建筑类别和耐火等级：建筑类别，建筑耐火等级，建筑构件的耐火极限和燃烧性能；总平面</w:t>
            </w:r>
            <w:r>
              <w:rPr>
                <w:rFonts w:hint="eastAsia" w:ascii="仿宋_GB2312" w:hAnsi="仿宋_GB2312" w:cs="仿宋_GB2312"/>
                <w:color w:val="auto"/>
                <w:sz w:val="21"/>
                <w:szCs w:val="21"/>
                <w:lang w:eastAsia="zh-CN" w:bidi="ar-SA"/>
              </w:rPr>
              <w:t>布</w:t>
            </w:r>
            <w:r>
              <w:rPr>
                <w:rFonts w:hint="eastAsia" w:ascii="仿宋_GB2312" w:hAnsi="仿宋_GB2312" w:eastAsia="仿宋_GB2312" w:cs="仿宋_GB2312"/>
                <w:color w:val="auto"/>
                <w:sz w:val="21"/>
                <w:szCs w:val="21"/>
                <w:lang w:bidi="ar-SA"/>
              </w:rPr>
              <w:t>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499" w:type="dxa"/>
            <w:vAlign w:val="center"/>
          </w:tcPr>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华文仿宋" w:hAnsi="华文仿宋" w:eastAsia="华文仿宋" w:cs="华文仿宋"/>
                <w:color w:val="auto"/>
                <w:kern w:val="2"/>
                <w:sz w:val="21"/>
                <w:szCs w:val="21"/>
                <w:lang w:val="en-US" w:eastAsia="zh-CN" w:bidi="ar-SA"/>
              </w:rPr>
            </w:pPr>
            <w:r>
              <w:rPr>
                <w:rFonts w:hint="eastAsia" w:ascii="华文仿宋" w:hAnsi="华文仿宋" w:eastAsia="华文仿宋" w:cs="华文仿宋"/>
                <w:color w:val="auto"/>
                <w:kern w:val="2"/>
                <w:sz w:val="21"/>
                <w:szCs w:val="21"/>
                <w:lang w:val="en-US" w:eastAsia="zh-CN" w:bidi="ar-SA"/>
              </w:rPr>
              <w:t>1、4号楼喷淋系统水泵接合器与门窗净距不应小于2米，详见GB50974-2014第5.4.8条。</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华文仿宋" w:hAnsi="华文仿宋" w:eastAsia="华文仿宋" w:cs="华文仿宋"/>
                <w:color w:val="0000FF"/>
                <w:kern w:val="2"/>
                <w:sz w:val="21"/>
                <w:szCs w:val="21"/>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华文仿宋" w:hAnsi="华文仿宋" w:eastAsia="华文仿宋" w:cs="华文仿宋"/>
                <w:b/>
                <w:bCs/>
                <w:color w:val="auto"/>
                <w:kern w:val="2"/>
                <w:sz w:val="21"/>
                <w:szCs w:val="21"/>
                <w:lang w:val="en-US" w:eastAsia="zh-CN" w:bidi="ar-SA"/>
              </w:rPr>
            </w:pPr>
            <w:r>
              <w:rPr>
                <w:rFonts w:hint="eastAsia" w:ascii="华文仿宋" w:hAnsi="华文仿宋" w:eastAsia="华文仿宋" w:cs="华文仿宋"/>
                <w:color w:val="auto"/>
                <w:kern w:val="2"/>
                <w:sz w:val="21"/>
                <w:szCs w:val="21"/>
                <w:lang w:val="en-US" w:eastAsia="zh-CN" w:bidi="ar-SA"/>
              </w:rPr>
              <w:t>2、7#平面：首层文化活动服务中心的二层最远点经楼梯间，楼梯段按水平投影1.5倍计算长度再至首层安全出口不能超过22米，请补充标注疏散距离。（建规5.4.11）LT1应补充标注钢梯的防火措施及耐火极限。</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华文仿宋" w:hAnsi="华文仿宋" w:eastAsia="华文仿宋" w:cs="华文仿宋"/>
                <w:color w:val="auto"/>
                <w:kern w:val="2"/>
                <w:sz w:val="21"/>
                <w:szCs w:val="21"/>
                <w:lang w:val="en-US" w:eastAsia="zh-CN" w:bidi="ar-SA"/>
              </w:rPr>
            </w:pP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0070C0"/>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人防</w:t>
            </w: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口部洗消龙头应设真空破坏器，详见应GB50015-2019第3.3.10.4条。</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1" w:hRule="atLeast"/>
          <w:jc w:val="center"/>
        </w:trPr>
        <w:tc>
          <w:tcPr>
            <w:tcW w:w="928"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p>
        </w:tc>
        <w:tc>
          <w:tcPr>
            <w:tcW w:w="1062"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人防地下室设计质量检查要点</w:t>
            </w:r>
          </w:p>
        </w:tc>
        <w:tc>
          <w:tcPr>
            <w:tcW w:w="5276"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color w:val="auto"/>
                <w:sz w:val="21"/>
                <w:szCs w:val="21"/>
                <w:lang w:val="en-GB" w:bidi="ar-SA"/>
              </w:rPr>
              <w:t>。</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kern w:val="2"/>
                <w:sz w:val="21"/>
                <w:szCs w:val="21"/>
                <w:lang w:val="en-US" w:eastAsia="zh-CN" w:bidi="ar-SA"/>
              </w:rPr>
            </w:pPr>
            <w:r>
              <w:rPr>
                <w:rFonts w:hint="eastAsia" w:ascii="华文仿宋" w:hAnsi="华文仿宋" w:eastAsia="华文仿宋" w:cs="华文仿宋"/>
                <w:color w:val="auto"/>
                <w:sz w:val="21"/>
                <w:szCs w:val="21"/>
                <w:lang w:bidi="ar-SA"/>
              </w:rPr>
              <w:t>满足规范要求</w:t>
            </w:r>
            <w:r>
              <w:rPr>
                <w:rFonts w:hint="eastAsia" w:ascii="华文仿宋" w:hAnsi="华文仿宋" w:eastAsia="华文仿宋" w:cs="华文仿宋"/>
                <w:color w:val="auto"/>
                <w:sz w:val="21"/>
                <w:szCs w:val="21"/>
                <w:lang w:eastAsia="zh-CN" w:bidi="ar-SA"/>
              </w:rPr>
              <w:t>。</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eastAsia="zh-CN" w:bidi="ar-SA"/>
              </w:rPr>
              <w:t>是否执行</w:t>
            </w:r>
            <w:r>
              <w:rPr>
                <w:rFonts w:hint="eastAsia" w:ascii="仿宋_GB2312" w:hAnsi="仿宋_GB2312" w:eastAsia="仿宋_GB2312" w:cs="仿宋_GB2312"/>
                <w:color w:val="auto"/>
                <w:sz w:val="21"/>
                <w:szCs w:val="21"/>
                <w:lang w:bidi="ar-SA"/>
              </w:rPr>
              <w:t>无障碍环境建设、配套幼儿园建设、配套通信设施、充电场所等标准规定。</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left="0" w:leftChars="0" w:right="0" w:rightChars="0" w:firstLine="0" w:firstLineChars="0"/>
              <w:jc w:val="both"/>
              <w:textAlignment w:val="auto"/>
              <w:rPr>
                <w:rFonts w:hint="eastAsia" w:ascii="华文仿宋" w:hAnsi="华文仿宋" w:eastAsia="华文仿宋" w:cs="华文仿宋"/>
                <w:color w:val="auto"/>
                <w:sz w:val="21"/>
                <w:szCs w:val="21"/>
                <w:lang w:val="en-US" w:eastAsia="zh-CN"/>
              </w:rPr>
            </w:pPr>
            <w:r>
              <w:rPr>
                <w:rFonts w:hint="eastAsia" w:ascii="华文仿宋" w:hAnsi="华文仿宋" w:eastAsia="华文仿宋" w:cs="华文仿宋"/>
                <w:color w:val="auto"/>
                <w:sz w:val="21"/>
                <w:szCs w:val="21"/>
                <w:lang w:val="en-US" w:eastAsia="zh-CN"/>
              </w:rPr>
              <w:t>缺无障碍户型设计。</w:t>
            </w:r>
          </w:p>
          <w:p>
            <w:pPr>
              <w:pStyle w:val="2"/>
              <w:keepNext w:val="0"/>
              <w:keepLines w:val="0"/>
              <w:pageBreakBefore w:val="0"/>
              <w:widowControl w:val="0"/>
              <w:kinsoku/>
              <w:wordWrap/>
              <w:overflowPunct/>
              <w:topLinePunct w:val="0"/>
              <w:autoSpaceDE/>
              <w:autoSpaceDN/>
              <w:bidi w:val="0"/>
              <w:adjustRightInd/>
              <w:spacing w:line="300" w:lineRule="exact"/>
              <w:ind w:left="0" w:leftChars="0" w:right="0" w:rightChars="0" w:firstLine="0" w:firstLineChars="0"/>
              <w:jc w:val="both"/>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b/>
                <w:bCs/>
                <w:color w:val="auto"/>
                <w:sz w:val="21"/>
                <w:szCs w:val="21"/>
                <w:lang w:val="en-US" w:eastAsia="zh-CN"/>
              </w:rPr>
              <w:t>复审意见</w:t>
            </w:r>
            <w:r>
              <w:rPr>
                <w:rFonts w:hint="eastAsia" w:ascii="华文仿宋" w:hAnsi="华文仿宋" w:eastAsia="华文仿宋" w:cs="华文仿宋"/>
                <w:color w:val="auto"/>
                <w:sz w:val="21"/>
                <w:szCs w:val="21"/>
                <w:lang w:val="en-US" w:eastAsia="zh-CN"/>
              </w:rPr>
              <w:t>：根据《无障碍设计规范》GB50763-2012，7.4.3条，居住建筑应按每100套住房设置不少于2套无障碍住房进行设计。</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266"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其他</w:t>
            </w:r>
            <w:r>
              <w:rPr>
                <w:rFonts w:hint="eastAsia" w:ascii="仿宋_GB2312" w:hAnsi="仿宋_GB2312" w:eastAsia="仿宋_GB2312" w:cs="仿宋_GB2312"/>
                <w:sz w:val="21"/>
                <w:szCs w:val="21"/>
                <w:lang w:eastAsia="zh-CN" w:bidi="ar-SA"/>
              </w:rPr>
              <w:t>工程设计</w:t>
            </w:r>
            <w:r>
              <w:rPr>
                <w:rFonts w:hint="eastAsia" w:ascii="仿宋_GB2312" w:hAnsi="仿宋_GB2312" w:eastAsia="仿宋_GB2312" w:cs="仿宋_GB2312"/>
                <w:sz w:val="21"/>
                <w:szCs w:val="21"/>
                <w:lang w:bidi="ar-SA"/>
              </w:rPr>
              <w:t>质量相关内容</w:t>
            </w:r>
          </w:p>
        </w:tc>
        <w:tc>
          <w:tcPr>
            <w:tcW w:w="649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ind w:left="0" w:leftChars="0" w:right="0" w:rightChars="0" w:firstLine="0" w:firstLineChars="0"/>
              <w:jc w:val="both"/>
              <w:textAlignment w:val="auto"/>
              <w:rPr>
                <w:rFonts w:hint="eastAsia"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无</w:t>
            </w:r>
          </w:p>
        </w:tc>
        <w:tc>
          <w:tcPr>
            <w:tcW w:w="142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5191" w:type="dxa"/>
            <w:gridSpan w:val="5"/>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b/>
                <w:bCs/>
                <w:sz w:val="21"/>
                <w:szCs w:val="21"/>
                <w:lang w:val="en-US" w:eastAsia="zh-CN" w:bidi="ar-SA"/>
              </w:rPr>
              <w:t>共违反强制性标准条文：0条； 一般性标准条文：25条（勘察2条；设计23条）</w:t>
            </w:r>
          </w:p>
        </w:tc>
      </w:tr>
    </w:tbl>
    <w:p>
      <w:pPr>
        <w:rPr>
          <w:rFonts w:hint="default"/>
          <w:lang w:val="en-US" w:eastAsia="zh-CN"/>
        </w:rPr>
      </w:pPr>
    </w:p>
    <w:p/>
    <w:sectPr>
      <w:headerReference r:id="rId5" w:type="default"/>
      <w:footerReference r:id="rId6" w:type="default"/>
      <w:pgSz w:w="16838" w:h="11906" w:orient="landscape"/>
      <w:pgMar w:top="1587" w:right="1644" w:bottom="1474" w:left="1417" w:header="851" w:footer="992" w:gutter="0"/>
      <w:pgNumType w:fmt="numberInDash" w:start="7"/>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lang w:val="en-US" w:eastAsia="zh-CN"/>
      </w:rPr>
    </w:pPr>
    <w:r>
      <w:rPr>
        <w:rFonts w:ascii="Times New Roman" w:hAnsi="Times New Roman" w:eastAsia="宋体" w:cs="Times New Roman"/>
        <w:kern w:val="2"/>
        <w:sz w:val="18"/>
        <w:lang w:val="en-US" w:eastAsia="zh-CN"/>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eastAsia="仿宋_GB2312"/>
        <w:lang w:val="en-US" w:eastAsia="zh-CN"/>
      </w:rPr>
    </w:pPr>
    <w:r>
      <w:rPr>
        <w:rFonts w:hint="eastAsia"/>
        <w:lang w:val="en-US" w:eastAsia="zh-CN"/>
      </w:rPr>
      <w:t>04号抽查项目</w:t>
    </w: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BF7EE3"/>
    <w:multiLevelType w:val="singleLevel"/>
    <w:tmpl w:val="63BF7E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NjAzZTVkNmIzZTFhNTk1NTljMDhlNmY4ODk2NWUifQ=="/>
  </w:docVars>
  <w:rsids>
    <w:rsidRoot w:val="27FEE89E"/>
    <w:rsid w:val="06BF28EB"/>
    <w:rsid w:val="09AB728E"/>
    <w:rsid w:val="0D0E4E9D"/>
    <w:rsid w:val="0D2857E3"/>
    <w:rsid w:val="24DB02DE"/>
    <w:rsid w:val="27B33284"/>
    <w:rsid w:val="27FEE89E"/>
    <w:rsid w:val="28E410FD"/>
    <w:rsid w:val="2BC575E1"/>
    <w:rsid w:val="31B84826"/>
    <w:rsid w:val="37D04D49"/>
    <w:rsid w:val="3F7E5EEC"/>
    <w:rsid w:val="4069511F"/>
    <w:rsid w:val="4FE74643"/>
    <w:rsid w:val="55BFBC0F"/>
    <w:rsid w:val="5A4A03DD"/>
    <w:rsid w:val="603A66B5"/>
    <w:rsid w:val="68EF0980"/>
    <w:rsid w:val="698F3980"/>
    <w:rsid w:val="7B9C1E81"/>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5030</Words>
  <Characters>5388</Characters>
  <Lines>0</Lines>
  <Paragraphs>0</Paragraphs>
  <TotalTime>3</TotalTime>
  <ScaleCrop>false</ScaleCrop>
  <LinksUpToDate>false</LinksUpToDate>
  <CharactersWithSpaces>5466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2023-01-13T09:38:04Z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4950291546C4489EBE46334B30718181</vt:lpwstr>
  </property>
</Properties>
</file>