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方正小标宋简体" w:hAnsi="方正小标宋简体" w:eastAsia="方正小标宋简体" w:cs="方正小标宋简体"/>
          <w:color w:val="000000"/>
          <w:kern w:val="0"/>
          <w:sz w:val="40"/>
          <w:szCs w:val="40"/>
        </w:rPr>
        <w:t>湛江市交通运输局行政许可事项目录（2018版）</w:t>
      </w:r>
    </w:p>
    <w:tbl>
      <w:tblPr>
        <w:tblStyle w:val="5"/>
        <w:tblW w:w="14200" w:type="dxa"/>
        <w:tblInd w:w="0" w:type="dxa"/>
        <w:tblLayout w:type="fixed"/>
        <w:tblCellMar>
          <w:top w:w="15" w:type="dxa"/>
          <w:left w:w="15" w:type="dxa"/>
          <w:bottom w:w="15" w:type="dxa"/>
          <w:right w:w="15" w:type="dxa"/>
        </w:tblCellMar>
      </w:tblPr>
      <w:tblGrid>
        <w:gridCol w:w="1195"/>
        <w:gridCol w:w="795"/>
        <w:gridCol w:w="810"/>
        <w:gridCol w:w="2025"/>
        <w:gridCol w:w="1305"/>
        <w:gridCol w:w="4710"/>
        <w:gridCol w:w="2100"/>
        <w:gridCol w:w="1260"/>
      </w:tblGrid>
      <w:tr>
        <w:tblPrEx>
          <w:tblLayout w:type="fixed"/>
          <w:tblCellMar>
            <w:top w:w="15" w:type="dxa"/>
            <w:left w:w="15" w:type="dxa"/>
            <w:bottom w:w="15" w:type="dxa"/>
            <w:right w:w="15" w:type="dxa"/>
          </w:tblCellMar>
        </w:tblPrEx>
        <w:trPr>
          <w:cantSplit/>
          <w:trHeight w:val="490" w:hRule="atLeast"/>
          <w:tblHeader/>
        </w:trPr>
        <w:tc>
          <w:tcPr>
            <w:tcW w:w="119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仿宋_GB2312" w:hAnsi="仿宋_GB2312" w:eastAsia="仿宋_GB2312" w:cs="仿宋_GB2312"/>
                <w:b/>
                <w:sz w:val="26"/>
                <w:szCs w:val="26"/>
              </w:rPr>
            </w:pPr>
            <w:r>
              <w:rPr>
                <w:rFonts w:hint="eastAsia" w:ascii="仿宋_GB2312" w:hAnsi="仿宋_GB2312" w:eastAsia="仿宋_GB2312" w:cs="仿宋_GB2312"/>
                <w:b/>
                <w:kern w:val="0"/>
                <w:sz w:val="26"/>
                <w:szCs w:val="26"/>
              </w:rPr>
              <w:t>实施机关</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仿宋_GB2312" w:hAnsi="仿宋_GB2312" w:eastAsia="仿宋_GB2312" w:cs="仿宋_GB2312"/>
                <w:b/>
                <w:sz w:val="26"/>
                <w:szCs w:val="26"/>
              </w:rPr>
            </w:pPr>
            <w:r>
              <w:rPr>
                <w:rFonts w:hint="eastAsia" w:ascii="仿宋_GB2312" w:hAnsi="仿宋_GB2312" w:eastAsia="仿宋_GB2312" w:cs="仿宋_GB2312"/>
                <w:b/>
                <w:kern w:val="0"/>
                <w:sz w:val="26"/>
                <w:szCs w:val="26"/>
              </w:rPr>
              <w:t>序号</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仿宋_GB2312" w:hAnsi="仿宋_GB2312" w:eastAsia="仿宋_GB2312" w:cs="仿宋_GB2312"/>
                <w:b/>
                <w:sz w:val="26"/>
                <w:szCs w:val="26"/>
              </w:rPr>
            </w:pPr>
            <w:r>
              <w:rPr>
                <w:rFonts w:hint="eastAsia" w:ascii="仿宋_GB2312" w:hAnsi="仿宋_GB2312" w:eastAsia="仿宋_GB2312" w:cs="仿宋_GB2312"/>
                <w:b/>
                <w:kern w:val="0"/>
                <w:sz w:val="26"/>
                <w:szCs w:val="26"/>
              </w:rPr>
              <w:t>类别</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仿宋_GB2312" w:hAnsi="仿宋_GB2312" w:eastAsia="仿宋_GB2312" w:cs="仿宋_GB2312"/>
                <w:b/>
                <w:sz w:val="26"/>
                <w:szCs w:val="26"/>
              </w:rPr>
            </w:pPr>
            <w:r>
              <w:rPr>
                <w:rFonts w:hint="eastAsia" w:ascii="仿宋_GB2312" w:hAnsi="仿宋_GB2312" w:eastAsia="仿宋_GB2312" w:cs="仿宋_GB2312"/>
                <w:b/>
                <w:kern w:val="0"/>
                <w:sz w:val="26"/>
                <w:szCs w:val="26"/>
              </w:rPr>
              <w:t>项目名称</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仿宋_GB2312" w:hAnsi="仿宋_GB2312" w:eastAsia="仿宋_GB2312" w:cs="仿宋_GB2312"/>
                <w:b/>
                <w:sz w:val="26"/>
                <w:szCs w:val="26"/>
              </w:rPr>
            </w:pPr>
            <w:r>
              <w:rPr>
                <w:rFonts w:hint="eastAsia" w:ascii="仿宋_GB2312" w:hAnsi="仿宋_GB2312" w:eastAsia="仿宋_GB2312" w:cs="仿宋_GB2312"/>
                <w:b/>
                <w:kern w:val="0"/>
                <w:sz w:val="26"/>
                <w:szCs w:val="26"/>
              </w:rPr>
              <w:t>编码</w:t>
            </w:r>
          </w:p>
        </w:tc>
        <w:tc>
          <w:tcPr>
            <w:tcW w:w="47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仿宋_GB2312" w:hAnsi="仿宋_GB2312" w:eastAsia="仿宋_GB2312" w:cs="仿宋_GB2312"/>
                <w:b/>
                <w:sz w:val="26"/>
                <w:szCs w:val="26"/>
              </w:rPr>
            </w:pPr>
            <w:r>
              <w:rPr>
                <w:rFonts w:hint="eastAsia" w:ascii="仿宋_GB2312" w:hAnsi="仿宋_GB2312" w:eastAsia="仿宋_GB2312" w:cs="仿宋_GB2312"/>
                <w:b/>
                <w:kern w:val="0"/>
                <w:sz w:val="26"/>
                <w:szCs w:val="26"/>
              </w:rPr>
              <w:t>依据</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仿宋_GB2312" w:hAnsi="仿宋_GB2312" w:eastAsia="仿宋_GB2312" w:cs="仿宋_GB2312"/>
                <w:b/>
                <w:sz w:val="26"/>
                <w:szCs w:val="26"/>
              </w:rPr>
            </w:pPr>
            <w:r>
              <w:rPr>
                <w:rFonts w:hint="eastAsia" w:ascii="仿宋_GB2312" w:hAnsi="仿宋_GB2312" w:eastAsia="仿宋_GB2312" w:cs="仿宋_GB2312"/>
                <w:b/>
                <w:kern w:val="0"/>
                <w:sz w:val="26"/>
                <w:szCs w:val="26"/>
              </w:rPr>
              <w:t>实施对象</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仿宋_GB2312" w:hAnsi="仿宋_GB2312" w:eastAsia="仿宋_GB2312" w:cs="仿宋_GB2312"/>
                <w:b/>
                <w:sz w:val="26"/>
                <w:szCs w:val="26"/>
              </w:rPr>
            </w:pPr>
            <w:r>
              <w:rPr>
                <w:rFonts w:hint="eastAsia" w:ascii="仿宋_GB2312" w:hAnsi="仿宋_GB2312" w:eastAsia="仿宋_GB2312" w:cs="仿宋_GB2312"/>
                <w:b/>
                <w:kern w:val="0"/>
                <w:sz w:val="26"/>
                <w:szCs w:val="26"/>
              </w:rPr>
              <w:t>备注</w:t>
            </w:r>
          </w:p>
        </w:tc>
      </w:tr>
      <w:tr>
        <w:tblPrEx>
          <w:tblLayout w:type="fixed"/>
          <w:tblCellMar>
            <w:top w:w="15" w:type="dxa"/>
            <w:left w:w="15" w:type="dxa"/>
            <w:bottom w:w="15" w:type="dxa"/>
            <w:right w:w="15" w:type="dxa"/>
          </w:tblCellMar>
        </w:tblPrEx>
        <w:trPr>
          <w:cantSplit/>
          <w:trHeight w:val="311" w:hRule="atLeast"/>
        </w:trPr>
        <w:tc>
          <w:tcPr>
            <w:tcW w:w="1195" w:type="dxa"/>
            <w:vMerge w:val="restart"/>
            <w:tcBorders>
              <w:top w:val="single" w:color="000000" w:sz="4" w:space="0"/>
              <w:left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湛江市交通运输局</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1</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行政</w:t>
            </w:r>
          </w:p>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许可</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水路运输许可</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115019</w:t>
            </w:r>
          </w:p>
        </w:tc>
        <w:tc>
          <w:tcPr>
            <w:tcW w:w="47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hint="eastAsia" w:ascii="宋体" w:hAnsi="宋体" w:cs="宋体"/>
                <w:color w:val="000000"/>
                <w:szCs w:val="22"/>
              </w:rPr>
            </w:pPr>
            <w:r>
              <w:rPr>
                <w:rFonts w:hint="eastAsia" w:ascii="宋体" w:hAnsi="宋体" w:cs="宋体"/>
                <w:color w:val="000000"/>
                <w:szCs w:val="22"/>
              </w:rPr>
              <w:t>1. 《国务院对确需保留的行政审批项目设定行政许可的决定》第135项。</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2.《国内水路运输管理条例》第八条。</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3.《广东省人民政府2012年行政审批制度改革事项目录(第一批)》。</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4.《国内水路运输管理规定》第十四条。</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企业</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bookmarkStart w:id="0" w:name="_GoBack"/>
            <w:bookmarkEnd w:id="0"/>
          </w:p>
        </w:tc>
      </w:tr>
      <w:tr>
        <w:tblPrEx>
          <w:tblLayout w:type="fixed"/>
          <w:tblCellMar>
            <w:top w:w="15" w:type="dxa"/>
            <w:left w:w="15" w:type="dxa"/>
            <w:bottom w:w="15" w:type="dxa"/>
            <w:right w:w="15" w:type="dxa"/>
          </w:tblCellMar>
        </w:tblPrEx>
        <w:trPr>
          <w:cantSplit/>
          <w:trHeight w:val="652" w:hRule="atLeast"/>
        </w:trPr>
        <w:tc>
          <w:tcPr>
            <w:tcW w:w="1195" w:type="dxa"/>
            <w:vMerge w:val="continue"/>
            <w:tcBorders>
              <w:left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c>
          <w:tcPr>
            <w:tcW w:w="795" w:type="dxa"/>
            <w:tcBorders>
              <w:top w:val="single" w:color="000000" w:sz="4" w:space="0"/>
              <w:left w:val="single" w:color="000000" w:sz="4" w:space="0"/>
              <w:bottom w:val="single" w:color="auto"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2</w:t>
            </w:r>
          </w:p>
        </w:tc>
        <w:tc>
          <w:tcPr>
            <w:tcW w:w="810" w:type="dxa"/>
            <w:tcBorders>
              <w:top w:val="single" w:color="000000" w:sz="4" w:space="0"/>
              <w:left w:val="single" w:color="000000" w:sz="4" w:space="0"/>
              <w:bottom w:val="single" w:color="auto"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行政</w:t>
            </w:r>
          </w:p>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许可</w:t>
            </w:r>
          </w:p>
        </w:tc>
        <w:tc>
          <w:tcPr>
            <w:tcW w:w="2025" w:type="dxa"/>
            <w:tcBorders>
              <w:top w:val="single" w:color="000000" w:sz="4" w:space="0"/>
              <w:left w:val="single" w:color="000000" w:sz="4" w:space="0"/>
              <w:bottom w:val="single" w:color="auto"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经营性道路危险货物运输经营许可</w:t>
            </w:r>
          </w:p>
        </w:tc>
        <w:tc>
          <w:tcPr>
            <w:tcW w:w="1305" w:type="dxa"/>
            <w:tcBorders>
              <w:top w:val="single" w:color="000000" w:sz="4" w:space="0"/>
              <w:left w:val="single" w:color="000000" w:sz="4" w:space="0"/>
              <w:bottom w:val="single" w:color="auto"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115020</w:t>
            </w:r>
          </w:p>
        </w:tc>
        <w:tc>
          <w:tcPr>
            <w:tcW w:w="4710" w:type="dxa"/>
            <w:vMerge w:val="restart"/>
            <w:tcBorders>
              <w:top w:val="single" w:color="000000" w:sz="4" w:space="0"/>
              <w:left w:val="single" w:color="000000" w:sz="4" w:space="0"/>
              <w:right w:val="single" w:color="000000" w:sz="4" w:space="0"/>
            </w:tcBorders>
            <w:vAlign w:val="center"/>
          </w:tcPr>
          <w:p>
            <w:pPr>
              <w:widowControl/>
              <w:spacing w:line="260" w:lineRule="exact"/>
              <w:jc w:val="left"/>
              <w:rPr>
                <w:rFonts w:hint="eastAsia" w:ascii="宋体" w:hAnsi="宋体" w:cs="宋体"/>
                <w:color w:val="000000"/>
                <w:szCs w:val="22"/>
              </w:rPr>
            </w:pPr>
            <w:r>
              <w:rPr>
                <w:rFonts w:hint="eastAsia" w:ascii="宋体" w:hAnsi="宋体" w:cs="宋体"/>
                <w:color w:val="000000"/>
                <w:szCs w:val="22"/>
              </w:rPr>
              <w:t>1.《道路危险货物运输管理规定》(2016年交通运输部令第36号修改)第八、十条。</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2.《中华人民共和国道路运输条例》(2016年国务院令第666号修改)第二十三、二十四条。</w:t>
            </w:r>
          </w:p>
        </w:tc>
        <w:tc>
          <w:tcPr>
            <w:tcW w:w="2100" w:type="dxa"/>
            <w:vMerge w:val="restart"/>
            <w:tcBorders>
              <w:top w:val="single" w:color="000000" w:sz="4" w:space="0"/>
              <w:left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事业单位、企业、社会组织</w:t>
            </w:r>
          </w:p>
        </w:tc>
        <w:tc>
          <w:tcPr>
            <w:tcW w:w="1260" w:type="dxa"/>
            <w:vMerge w:val="restart"/>
            <w:tcBorders>
              <w:top w:val="single" w:color="000000" w:sz="4" w:space="0"/>
              <w:left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r>
      <w:tr>
        <w:tblPrEx>
          <w:tblLayout w:type="fixed"/>
          <w:tblCellMar>
            <w:top w:w="15" w:type="dxa"/>
            <w:left w:w="15" w:type="dxa"/>
            <w:bottom w:w="15" w:type="dxa"/>
            <w:right w:w="15" w:type="dxa"/>
          </w:tblCellMar>
        </w:tblPrEx>
        <w:trPr>
          <w:cantSplit/>
          <w:trHeight w:val="694" w:hRule="atLeast"/>
        </w:trPr>
        <w:tc>
          <w:tcPr>
            <w:tcW w:w="1195" w:type="dxa"/>
            <w:vMerge w:val="continue"/>
            <w:tcBorders>
              <w:left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c>
          <w:tcPr>
            <w:tcW w:w="795" w:type="dxa"/>
            <w:tcBorders>
              <w:top w:val="single" w:color="auto" w:sz="4" w:space="0"/>
              <w:left w:val="single" w:color="000000" w:sz="4" w:space="0"/>
              <w:bottom w:val="single" w:color="auto"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3</w:t>
            </w:r>
          </w:p>
        </w:tc>
        <w:tc>
          <w:tcPr>
            <w:tcW w:w="810" w:type="dxa"/>
            <w:tcBorders>
              <w:top w:val="single" w:color="auto" w:sz="4" w:space="0"/>
              <w:left w:val="single" w:color="000000" w:sz="4" w:space="0"/>
              <w:bottom w:val="single" w:color="auto"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行政</w:t>
            </w:r>
          </w:p>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许可</w:t>
            </w:r>
          </w:p>
        </w:tc>
        <w:tc>
          <w:tcPr>
            <w:tcW w:w="2025" w:type="dxa"/>
            <w:tcBorders>
              <w:top w:val="single" w:color="auto" w:sz="4" w:space="0"/>
              <w:left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非经营性道路危险货物运输经营许可</w:t>
            </w:r>
          </w:p>
        </w:tc>
        <w:tc>
          <w:tcPr>
            <w:tcW w:w="1305" w:type="dxa"/>
            <w:tcBorders>
              <w:top w:val="single" w:color="auto" w:sz="4" w:space="0"/>
              <w:left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115021</w:t>
            </w:r>
          </w:p>
        </w:tc>
        <w:tc>
          <w:tcPr>
            <w:tcW w:w="4710" w:type="dxa"/>
            <w:vMerge w:val="continue"/>
            <w:tcBorders>
              <w:left w:val="single" w:color="000000" w:sz="4" w:space="0"/>
              <w:right w:val="single" w:color="000000" w:sz="4" w:space="0"/>
            </w:tcBorders>
            <w:vAlign w:val="center"/>
          </w:tcPr>
          <w:p>
            <w:pPr>
              <w:widowControl/>
              <w:spacing w:line="260" w:lineRule="exact"/>
              <w:jc w:val="left"/>
              <w:rPr>
                <w:rFonts w:hint="eastAsia" w:ascii="宋体" w:hAnsi="宋体" w:cs="宋体"/>
                <w:color w:val="000000"/>
                <w:szCs w:val="22"/>
              </w:rPr>
            </w:pPr>
          </w:p>
        </w:tc>
        <w:tc>
          <w:tcPr>
            <w:tcW w:w="2100" w:type="dxa"/>
            <w:vMerge w:val="continue"/>
            <w:tcBorders>
              <w:left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c>
          <w:tcPr>
            <w:tcW w:w="1260" w:type="dxa"/>
            <w:vMerge w:val="continue"/>
            <w:tcBorders>
              <w:left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r>
      <w:tr>
        <w:tblPrEx>
          <w:tblLayout w:type="fixed"/>
          <w:tblCellMar>
            <w:top w:w="15" w:type="dxa"/>
            <w:left w:w="15" w:type="dxa"/>
            <w:bottom w:w="15" w:type="dxa"/>
            <w:right w:w="15" w:type="dxa"/>
          </w:tblCellMar>
        </w:tblPrEx>
        <w:trPr>
          <w:cantSplit/>
          <w:trHeight w:val="587" w:hRule="atLeast"/>
        </w:trPr>
        <w:tc>
          <w:tcPr>
            <w:tcW w:w="1195" w:type="dxa"/>
            <w:vMerge w:val="continue"/>
            <w:tcBorders>
              <w:left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c>
          <w:tcPr>
            <w:tcW w:w="795" w:type="dxa"/>
            <w:tcBorders>
              <w:top w:val="single" w:color="000000" w:sz="4" w:space="0"/>
              <w:left w:val="single" w:color="000000" w:sz="4" w:space="0"/>
              <w:bottom w:val="single" w:color="auto"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4</w:t>
            </w:r>
          </w:p>
        </w:tc>
        <w:tc>
          <w:tcPr>
            <w:tcW w:w="810" w:type="dxa"/>
            <w:tcBorders>
              <w:top w:val="single" w:color="000000" w:sz="4" w:space="0"/>
              <w:left w:val="single" w:color="000000" w:sz="4" w:space="0"/>
              <w:bottom w:val="single" w:color="auto" w:sz="4" w:space="0"/>
              <w:right w:val="single" w:color="auto"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行政</w:t>
            </w:r>
          </w:p>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许可</w:t>
            </w:r>
          </w:p>
        </w:tc>
        <w:tc>
          <w:tcPr>
            <w:tcW w:w="2025" w:type="dxa"/>
            <w:tcBorders>
              <w:top w:val="single" w:color="auto" w:sz="4" w:space="0"/>
              <w:left w:val="single" w:color="auto"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从事县际道路旅客运输班线经营审批</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115002</w:t>
            </w:r>
          </w:p>
        </w:tc>
        <w:tc>
          <w:tcPr>
            <w:tcW w:w="4710" w:type="dxa"/>
            <w:vMerge w:val="restart"/>
            <w:tcBorders>
              <w:top w:val="single" w:color="000000" w:sz="4" w:space="0"/>
              <w:left w:val="single" w:color="000000" w:sz="4" w:space="0"/>
              <w:right w:val="single" w:color="000000" w:sz="4" w:space="0"/>
            </w:tcBorders>
            <w:vAlign w:val="center"/>
          </w:tcPr>
          <w:p>
            <w:pPr>
              <w:widowControl/>
              <w:spacing w:line="260" w:lineRule="exact"/>
              <w:jc w:val="left"/>
              <w:rPr>
                <w:rFonts w:hint="eastAsia" w:ascii="宋体" w:hAnsi="宋体" w:cs="宋体"/>
                <w:color w:val="000000"/>
                <w:szCs w:val="22"/>
              </w:rPr>
            </w:pPr>
            <w:r>
              <w:rPr>
                <w:rFonts w:hint="eastAsia" w:ascii="宋体" w:hAnsi="宋体" w:cs="宋体"/>
                <w:color w:val="000000"/>
                <w:szCs w:val="22"/>
              </w:rPr>
              <w:t>1.《道路旅客运输及客运站管理规定》(2016年交通运输部令第82号第六次修正)第十、十二、十四、十九、六十二条。</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2.《国际道路运输管理规定》(2005年交通部令第3号)第五、七、九条。</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3.《中华人民共和国道路运输条例》(2016年国务院令第666号修改)第八、十、十一、四十九条。</w:t>
            </w:r>
          </w:p>
        </w:tc>
        <w:tc>
          <w:tcPr>
            <w:tcW w:w="2100" w:type="dxa"/>
            <w:vMerge w:val="restart"/>
            <w:tcBorders>
              <w:top w:val="single" w:color="000000" w:sz="4" w:space="0"/>
              <w:left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企业、个人</w:t>
            </w:r>
          </w:p>
        </w:tc>
        <w:tc>
          <w:tcPr>
            <w:tcW w:w="1260" w:type="dxa"/>
            <w:vMerge w:val="restart"/>
            <w:tcBorders>
              <w:top w:val="single" w:color="000000" w:sz="4" w:space="0"/>
              <w:left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r>
      <w:tr>
        <w:tblPrEx>
          <w:tblLayout w:type="fixed"/>
          <w:tblCellMar>
            <w:top w:w="15" w:type="dxa"/>
            <w:left w:w="15" w:type="dxa"/>
            <w:bottom w:w="15" w:type="dxa"/>
            <w:right w:w="15" w:type="dxa"/>
          </w:tblCellMar>
        </w:tblPrEx>
        <w:trPr>
          <w:cantSplit/>
          <w:trHeight w:val="587" w:hRule="atLeast"/>
        </w:trPr>
        <w:tc>
          <w:tcPr>
            <w:tcW w:w="1195" w:type="dxa"/>
            <w:vMerge w:val="continue"/>
            <w:tcBorders>
              <w:left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c>
          <w:tcPr>
            <w:tcW w:w="795" w:type="dxa"/>
            <w:tcBorders>
              <w:top w:val="single" w:color="auto" w:sz="4" w:space="0"/>
              <w:left w:val="single" w:color="000000" w:sz="4" w:space="0"/>
              <w:bottom w:val="single" w:color="auto"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5</w:t>
            </w:r>
          </w:p>
        </w:tc>
        <w:tc>
          <w:tcPr>
            <w:tcW w:w="810" w:type="dxa"/>
            <w:tcBorders>
              <w:top w:val="single" w:color="auto" w:sz="4" w:space="0"/>
              <w:left w:val="single" w:color="000000" w:sz="4" w:space="0"/>
              <w:bottom w:val="single" w:color="auto" w:sz="4" w:space="0"/>
              <w:right w:val="single" w:color="auto"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行政</w:t>
            </w:r>
          </w:p>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许可</w:t>
            </w:r>
          </w:p>
        </w:tc>
        <w:tc>
          <w:tcPr>
            <w:tcW w:w="2025" w:type="dxa"/>
            <w:tcBorders>
              <w:top w:val="single" w:color="000000" w:sz="4" w:space="0"/>
              <w:left w:val="single" w:color="auto"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从事县际道路旅客运输包车经营审批</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115002</w:t>
            </w:r>
          </w:p>
        </w:tc>
        <w:tc>
          <w:tcPr>
            <w:tcW w:w="4710" w:type="dxa"/>
            <w:vMerge w:val="continue"/>
            <w:tcBorders>
              <w:left w:val="single" w:color="000000" w:sz="4" w:space="0"/>
              <w:right w:val="single" w:color="000000" w:sz="4" w:space="0"/>
            </w:tcBorders>
            <w:vAlign w:val="center"/>
          </w:tcPr>
          <w:p>
            <w:pPr>
              <w:widowControl/>
              <w:spacing w:line="260" w:lineRule="exact"/>
              <w:jc w:val="left"/>
              <w:rPr>
                <w:rFonts w:hint="eastAsia" w:ascii="宋体" w:hAnsi="宋体" w:cs="宋体"/>
                <w:color w:val="000000"/>
                <w:szCs w:val="22"/>
              </w:rPr>
            </w:pPr>
          </w:p>
        </w:tc>
        <w:tc>
          <w:tcPr>
            <w:tcW w:w="2100" w:type="dxa"/>
            <w:vMerge w:val="continue"/>
            <w:tcBorders>
              <w:left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c>
          <w:tcPr>
            <w:tcW w:w="1260" w:type="dxa"/>
            <w:vMerge w:val="continue"/>
            <w:tcBorders>
              <w:left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r>
      <w:tr>
        <w:tblPrEx>
          <w:tblLayout w:type="fixed"/>
          <w:tblCellMar>
            <w:top w:w="15" w:type="dxa"/>
            <w:left w:w="15" w:type="dxa"/>
            <w:bottom w:w="15" w:type="dxa"/>
            <w:right w:w="15" w:type="dxa"/>
          </w:tblCellMar>
        </w:tblPrEx>
        <w:trPr>
          <w:cantSplit/>
          <w:trHeight w:val="587" w:hRule="atLeast"/>
        </w:trPr>
        <w:tc>
          <w:tcPr>
            <w:tcW w:w="1195" w:type="dxa"/>
            <w:vMerge w:val="continue"/>
            <w:tcBorders>
              <w:left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c>
          <w:tcPr>
            <w:tcW w:w="795" w:type="dxa"/>
            <w:tcBorders>
              <w:top w:val="single" w:color="auto" w:sz="4" w:space="0"/>
              <w:left w:val="single" w:color="000000" w:sz="4" w:space="0"/>
              <w:bottom w:val="single" w:color="auto"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6</w:t>
            </w:r>
          </w:p>
        </w:tc>
        <w:tc>
          <w:tcPr>
            <w:tcW w:w="810" w:type="dxa"/>
            <w:tcBorders>
              <w:top w:val="single" w:color="auto" w:sz="4" w:space="0"/>
              <w:left w:val="single" w:color="000000" w:sz="4" w:space="0"/>
              <w:bottom w:val="single" w:color="auto" w:sz="4" w:space="0"/>
              <w:right w:val="single" w:color="auto"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行政</w:t>
            </w:r>
          </w:p>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许可</w:t>
            </w:r>
          </w:p>
        </w:tc>
        <w:tc>
          <w:tcPr>
            <w:tcW w:w="2025" w:type="dxa"/>
            <w:tcBorders>
              <w:top w:val="single" w:color="000000" w:sz="4" w:space="0"/>
              <w:left w:val="single" w:color="auto" w:sz="4" w:space="0"/>
              <w:bottom w:val="single" w:color="auto"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县际客运班车企业经营审批</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115001</w:t>
            </w:r>
          </w:p>
        </w:tc>
        <w:tc>
          <w:tcPr>
            <w:tcW w:w="4710" w:type="dxa"/>
            <w:vMerge w:val="continue"/>
            <w:tcBorders>
              <w:left w:val="single" w:color="000000" w:sz="4" w:space="0"/>
              <w:right w:val="single" w:color="000000" w:sz="4" w:space="0"/>
            </w:tcBorders>
            <w:vAlign w:val="center"/>
          </w:tcPr>
          <w:p>
            <w:pPr>
              <w:widowControl/>
              <w:spacing w:line="260" w:lineRule="exact"/>
              <w:jc w:val="left"/>
              <w:rPr>
                <w:rFonts w:hint="eastAsia" w:ascii="宋体" w:hAnsi="宋体" w:cs="宋体"/>
                <w:color w:val="000000"/>
                <w:szCs w:val="22"/>
              </w:rPr>
            </w:pPr>
          </w:p>
        </w:tc>
        <w:tc>
          <w:tcPr>
            <w:tcW w:w="2100" w:type="dxa"/>
            <w:vMerge w:val="continue"/>
            <w:tcBorders>
              <w:left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c>
          <w:tcPr>
            <w:tcW w:w="1260" w:type="dxa"/>
            <w:vMerge w:val="continue"/>
            <w:tcBorders>
              <w:left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r>
      <w:tr>
        <w:tblPrEx>
          <w:tblLayout w:type="fixed"/>
          <w:tblCellMar>
            <w:top w:w="15" w:type="dxa"/>
            <w:left w:w="15" w:type="dxa"/>
            <w:bottom w:w="15" w:type="dxa"/>
            <w:right w:w="15" w:type="dxa"/>
          </w:tblCellMar>
        </w:tblPrEx>
        <w:trPr>
          <w:cantSplit/>
          <w:trHeight w:val="778" w:hRule="atLeast"/>
        </w:trPr>
        <w:tc>
          <w:tcPr>
            <w:tcW w:w="1195" w:type="dxa"/>
            <w:vMerge w:val="continue"/>
            <w:tcBorders>
              <w:left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c>
          <w:tcPr>
            <w:tcW w:w="795" w:type="dxa"/>
            <w:tcBorders>
              <w:top w:val="single" w:color="auto" w:sz="4" w:space="0"/>
              <w:left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7</w:t>
            </w:r>
          </w:p>
        </w:tc>
        <w:tc>
          <w:tcPr>
            <w:tcW w:w="810" w:type="dxa"/>
            <w:tcBorders>
              <w:top w:val="single" w:color="auto" w:sz="4" w:space="0"/>
              <w:left w:val="single" w:color="000000" w:sz="4" w:space="0"/>
              <w:right w:val="single" w:color="auto"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行政</w:t>
            </w:r>
          </w:p>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许可</w:t>
            </w:r>
          </w:p>
        </w:tc>
        <w:tc>
          <w:tcPr>
            <w:tcW w:w="2025" w:type="dxa"/>
            <w:tcBorders>
              <w:top w:val="single" w:color="auto" w:sz="4" w:space="0"/>
              <w:left w:val="single" w:color="auto" w:sz="4" w:space="0"/>
              <w:bottom w:val="single" w:color="auto"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县际客运包车企业经营审批</w:t>
            </w:r>
          </w:p>
        </w:tc>
        <w:tc>
          <w:tcPr>
            <w:tcW w:w="1305" w:type="dxa"/>
            <w:tcBorders>
              <w:top w:val="single" w:color="000000" w:sz="4" w:space="0"/>
              <w:left w:val="single" w:color="000000" w:sz="4" w:space="0"/>
              <w:bottom w:val="single" w:color="auto"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115001</w:t>
            </w:r>
          </w:p>
        </w:tc>
        <w:tc>
          <w:tcPr>
            <w:tcW w:w="4710" w:type="dxa"/>
            <w:vMerge w:val="continue"/>
            <w:tcBorders>
              <w:left w:val="single" w:color="000000" w:sz="4" w:space="0"/>
              <w:right w:val="single" w:color="000000" w:sz="4" w:space="0"/>
            </w:tcBorders>
            <w:vAlign w:val="center"/>
          </w:tcPr>
          <w:p>
            <w:pPr>
              <w:widowControl/>
              <w:spacing w:line="260" w:lineRule="exact"/>
              <w:jc w:val="left"/>
              <w:rPr>
                <w:rFonts w:hint="eastAsia" w:ascii="宋体" w:hAnsi="宋体" w:cs="宋体"/>
                <w:color w:val="000000"/>
                <w:szCs w:val="22"/>
              </w:rPr>
            </w:pPr>
          </w:p>
        </w:tc>
        <w:tc>
          <w:tcPr>
            <w:tcW w:w="2100" w:type="dxa"/>
            <w:vMerge w:val="continue"/>
            <w:tcBorders>
              <w:left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c>
          <w:tcPr>
            <w:tcW w:w="1260" w:type="dxa"/>
            <w:vMerge w:val="continue"/>
            <w:tcBorders>
              <w:left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r>
      <w:tr>
        <w:tblPrEx>
          <w:tblLayout w:type="fixed"/>
          <w:tblCellMar>
            <w:top w:w="15" w:type="dxa"/>
            <w:left w:w="15" w:type="dxa"/>
            <w:bottom w:w="15" w:type="dxa"/>
            <w:right w:w="15" w:type="dxa"/>
          </w:tblCellMar>
        </w:tblPrEx>
        <w:trPr>
          <w:cantSplit/>
          <w:trHeight w:val="82" w:hRule="atLeast"/>
        </w:trPr>
        <w:tc>
          <w:tcPr>
            <w:tcW w:w="1195" w:type="dxa"/>
            <w:vMerge w:val="continue"/>
            <w:tcBorders>
              <w:left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c>
          <w:tcPr>
            <w:tcW w:w="795" w:type="dxa"/>
            <w:tcBorders>
              <w:top w:val="single" w:color="auto"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8</w:t>
            </w:r>
          </w:p>
        </w:tc>
        <w:tc>
          <w:tcPr>
            <w:tcW w:w="810" w:type="dxa"/>
            <w:tcBorders>
              <w:top w:val="single" w:color="auto" w:sz="4" w:space="0"/>
              <w:left w:val="single" w:color="000000" w:sz="4" w:space="0"/>
              <w:bottom w:val="single" w:color="000000" w:sz="4" w:space="0"/>
              <w:right w:val="single" w:color="auto"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行政</w:t>
            </w:r>
          </w:p>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许可</w:t>
            </w:r>
          </w:p>
        </w:tc>
        <w:tc>
          <w:tcPr>
            <w:tcW w:w="2025" w:type="dxa"/>
            <w:tcBorders>
              <w:top w:val="single" w:color="auto" w:sz="4" w:space="0"/>
              <w:left w:val="single" w:color="auto"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从事市际道路旅客运输包车经营审批</w:t>
            </w:r>
          </w:p>
        </w:tc>
        <w:tc>
          <w:tcPr>
            <w:tcW w:w="1305" w:type="dxa"/>
            <w:tcBorders>
              <w:top w:val="single" w:color="auto"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115002</w:t>
            </w:r>
          </w:p>
        </w:tc>
        <w:tc>
          <w:tcPr>
            <w:tcW w:w="4710" w:type="dxa"/>
            <w:vMerge w:val="continue"/>
            <w:tcBorders>
              <w:left w:val="single" w:color="000000" w:sz="4" w:space="0"/>
              <w:bottom w:val="single" w:color="000000" w:sz="4" w:space="0"/>
              <w:right w:val="single" w:color="000000" w:sz="4" w:space="0"/>
            </w:tcBorders>
            <w:vAlign w:val="center"/>
          </w:tcPr>
          <w:p>
            <w:pPr>
              <w:widowControl/>
              <w:spacing w:line="260" w:lineRule="exact"/>
              <w:jc w:val="left"/>
              <w:rPr>
                <w:rFonts w:hint="eastAsia" w:ascii="宋体" w:hAnsi="宋体" w:cs="宋体"/>
                <w:color w:val="000000"/>
                <w:szCs w:val="22"/>
              </w:rPr>
            </w:pPr>
          </w:p>
        </w:tc>
        <w:tc>
          <w:tcPr>
            <w:tcW w:w="2100" w:type="dxa"/>
            <w:vMerge w:val="continue"/>
            <w:tcBorders>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c>
          <w:tcPr>
            <w:tcW w:w="1260" w:type="dxa"/>
            <w:vMerge w:val="continue"/>
            <w:tcBorders>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r>
      <w:tr>
        <w:tblPrEx>
          <w:tblLayout w:type="fixed"/>
          <w:tblCellMar>
            <w:top w:w="15" w:type="dxa"/>
            <w:left w:w="15" w:type="dxa"/>
            <w:bottom w:w="15" w:type="dxa"/>
            <w:right w:w="15" w:type="dxa"/>
          </w:tblCellMar>
        </w:tblPrEx>
        <w:trPr>
          <w:cantSplit/>
          <w:trHeight w:val="863" w:hRule="atLeast"/>
        </w:trPr>
        <w:tc>
          <w:tcPr>
            <w:tcW w:w="1195" w:type="dxa"/>
            <w:vMerge w:val="continue"/>
            <w:tcBorders>
              <w:left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9</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行政</w:t>
            </w:r>
          </w:p>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许可</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巡游出租汽车经营许可</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115027</w:t>
            </w:r>
          </w:p>
        </w:tc>
        <w:tc>
          <w:tcPr>
            <w:tcW w:w="47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hint="eastAsia" w:ascii="宋体" w:hAnsi="宋体" w:cs="宋体"/>
                <w:color w:val="000000"/>
                <w:szCs w:val="22"/>
              </w:rPr>
            </w:pPr>
            <w:r>
              <w:rPr>
                <w:rFonts w:hint="eastAsia" w:ascii="宋体" w:hAnsi="宋体" w:cs="宋体"/>
                <w:color w:val="000000"/>
                <w:szCs w:val="22"/>
              </w:rPr>
              <w:t>1.《国务院对确需保留的行政审批项目设定行政许可的决定》。2.《广东省出租汽车管理办法》第十一条。</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企业、个人</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r>
      <w:tr>
        <w:tblPrEx>
          <w:tblLayout w:type="fixed"/>
          <w:tblCellMar>
            <w:top w:w="15" w:type="dxa"/>
            <w:left w:w="15" w:type="dxa"/>
            <w:bottom w:w="15" w:type="dxa"/>
            <w:right w:w="15" w:type="dxa"/>
          </w:tblCellMar>
        </w:tblPrEx>
        <w:trPr>
          <w:cantSplit/>
          <w:trHeight w:val="587" w:hRule="atLeast"/>
        </w:trPr>
        <w:tc>
          <w:tcPr>
            <w:tcW w:w="1195" w:type="dxa"/>
            <w:vMerge w:val="continue"/>
            <w:tcBorders>
              <w:left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10</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行政</w:t>
            </w:r>
          </w:p>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许可</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公路工程施工许可</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115017</w:t>
            </w:r>
          </w:p>
        </w:tc>
        <w:tc>
          <w:tcPr>
            <w:tcW w:w="47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hint="eastAsia" w:ascii="宋体" w:hAnsi="宋体" w:cs="宋体"/>
                <w:color w:val="000000"/>
                <w:szCs w:val="22"/>
              </w:rPr>
            </w:pPr>
            <w:r>
              <w:rPr>
                <w:rFonts w:hint="eastAsia" w:ascii="宋体" w:hAnsi="宋体" w:cs="宋体"/>
                <w:color w:val="000000"/>
                <w:szCs w:val="22"/>
              </w:rPr>
              <w:t>1.《中华人民共和国公路法》（2009年修正）第二十五条。2.《广东省公路条例》（2012年修正）第十条。</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事业单位、企业</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r>
      <w:tr>
        <w:tblPrEx>
          <w:tblLayout w:type="fixed"/>
          <w:tblCellMar>
            <w:top w:w="15" w:type="dxa"/>
            <w:left w:w="15" w:type="dxa"/>
            <w:bottom w:w="15" w:type="dxa"/>
            <w:right w:w="15" w:type="dxa"/>
          </w:tblCellMar>
        </w:tblPrEx>
        <w:trPr>
          <w:cantSplit/>
          <w:trHeight w:val="587" w:hRule="atLeast"/>
        </w:trPr>
        <w:tc>
          <w:tcPr>
            <w:tcW w:w="1195" w:type="dxa"/>
            <w:vMerge w:val="continue"/>
            <w:tcBorders>
              <w:left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11</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行政</w:t>
            </w:r>
          </w:p>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许可</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港口采掘、爆破施工作业审批</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115032</w:t>
            </w:r>
          </w:p>
        </w:tc>
        <w:tc>
          <w:tcPr>
            <w:tcW w:w="47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hint="eastAsia" w:ascii="宋体" w:hAnsi="宋体" w:cs="宋体"/>
                <w:color w:val="000000"/>
                <w:szCs w:val="22"/>
              </w:rPr>
            </w:pPr>
            <w:r>
              <w:rPr>
                <w:rFonts w:hint="eastAsia" w:ascii="宋体" w:hAnsi="宋体" w:cs="宋体"/>
                <w:color w:val="000000"/>
                <w:szCs w:val="22"/>
              </w:rPr>
              <w:t>《中华人民共和国港口法》（2003年）第三十七条。</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企业</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r>
      <w:tr>
        <w:tblPrEx>
          <w:tblLayout w:type="fixed"/>
          <w:tblCellMar>
            <w:top w:w="15" w:type="dxa"/>
            <w:left w:w="15" w:type="dxa"/>
            <w:bottom w:w="15" w:type="dxa"/>
            <w:right w:w="15" w:type="dxa"/>
          </w:tblCellMar>
        </w:tblPrEx>
        <w:trPr>
          <w:cantSplit/>
          <w:trHeight w:val="1414" w:hRule="atLeast"/>
        </w:trPr>
        <w:tc>
          <w:tcPr>
            <w:tcW w:w="1195" w:type="dxa"/>
            <w:vMerge w:val="continue"/>
            <w:tcBorders>
              <w:left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12</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行政</w:t>
            </w:r>
          </w:p>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许可</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港口深水岸线使用初审</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115005</w:t>
            </w:r>
          </w:p>
        </w:tc>
        <w:tc>
          <w:tcPr>
            <w:tcW w:w="47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hint="eastAsia" w:ascii="宋体" w:hAnsi="宋体" w:cs="宋体"/>
                <w:color w:val="000000"/>
                <w:szCs w:val="22"/>
              </w:rPr>
            </w:pPr>
            <w:r>
              <w:rPr>
                <w:rFonts w:hint="eastAsia" w:ascii="宋体" w:hAnsi="宋体" w:cs="宋体"/>
                <w:color w:val="000000"/>
                <w:szCs w:val="22"/>
              </w:rPr>
              <w:t>1.《中华人民共和国港口法》（2003年）第十三条。2.《广东省港口管理条例》（2007年）第九条。 3.《关于发布港口深水岸线标准的公告》（2004年交通部公告第5号）第一条。4.《港口岸线使用审批管理办法》（2012年交通运输部、国家发展和改革委员会令第6号）第二、四条。</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企业</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r>
      <w:tr>
        <w:tblPrEx>
          <w:tblLayout w:type="fixed"/>
          <w:tblCellMar>
            <w:top w:w="15" w:type="dxa"/>
            <w:left w:w="15" w:type="dxa"/>
            <w:bottom w:w="15" w:type="dxa"/>
            <w:right w:w="15" w:type="dxa"/>
          </w:tblCellMar>
        </w:tblPrEx>
        <w:trPr>
          <w:cantSplit/>
          <w:trHeight w:val="1414" w:hRule="atLeast"/>
        </w:trPr>
        <w:tc>
          <w:tcPr>
            <w:tcW w:w="1195" w:type="dxa"/>
            <w:vMerge w:val="continue"/>
            <w:tcBorders>
              <w:left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13</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行政</w:t>
            </w:r>
          </w:p>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许可</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港口非深水岸线使用初审</w:t>
            </w:r>
          </w:p>
        </w:tc>
        <w:tc>
          <w:tcPr>
            <w:tcW w:w="1305" w:type="dxa"/>
            <w:tcBorders>
              <w:top w:val="single" w:color="000000" w:sz="4" w:space="0"/>
              <w:left w:val="single" w:color="000000" w:sz="4" w:space="0"/>
              <w:bottom w:val="single" w:color="auto"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115005</w:t>
            </w:r>
          </w:p>
        </w:tc>
        <w:tc>
          <w:tcPr>
            <w:tcW w:w="4710" w:type="dxa"/>
            <w:tcBorders>
              <w:top w:val="single" w:color="000000" w:sz="4" w:space="0"/>
              <w:left w:val="single" w:color="000000" w:sz="4" w:space="0"/>
              <w:bottom w:val="single" w:color="auto" w:sz="4" w:space="0"/>
              <w:right w:val="single" w:color="000000" w:sz="4" w:space="0"/>
            </w:tcBorders>
            <w:vAlign w:val="center"/>
          </w:tcPr>
          <w:p>
            <w:pPr>
              <w:widowControl/>
              <w:spacing w:line="260" w:lineRule="exact"/>
              <w:jc w:val="left"/>
              <w:rPr>
                <w:rFonts w:hint="eastAsia" w:ascii="宋体" w:hAnsi="宋体" w:cs="宋体"/>
                <w:color w:val="000000"/>
                <w:szCs w:val="22"/>
              </w:rPr>
            </w:pPr>
            <w:r>
              <w:rPr>
                <w:rFonts w:hint="eastAsia" w:ascii="宋体" w:hAnsi="宋体" w:cs="宋体"/>
                <w:color w:val="000000"/>
                <w:szCs w:val="22"/>
              </w:rPr>
              <w:t>1.《中华人民共和国港口法》（2003年）第十三条。2.《广东省港口管理条例》（2007年）第九条。 3.《关于发布港口深水岸线标准的公告》（2004年交通部公告第5号）第一条。4.《港口岸线使用审批管理办法》（2012年交通运输部、国家发展和改革委员会令第6号）第二、四条。</w:t>
            </w:r>
          </w:p>
        </w:tc>
        <w:tc>
          <w:tcPr>
            <w:tcW w:w="2100" w:type="dxa"/>
            <w:tcBorders>
              <w:top w:val="single" w:color="000000" w:sz="4" w:space="0"/>
              <w:left w:val="single" w:color="000000" w:sz="4" w:space="0"/>
              <w:bottom w:val="single" w:color="auto"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企业</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r>
      <w:tr>
        <w:tblPrEx>
          <w:tblLayout w:type="fixed"/>
          <w:tblCellMar>
            <w:top w:w="15" w:type="dxa"/>
            <w:left w:w="15" w:type="dxa"/>
            <w:bottom w:w="15" w:type="dxa"/>
            <w:right w:w="15" w:type="dxa"/>
          </w:tblCellMar>
        </w:tblPrEx>
        <w:trPr>
          <w:cantSplit/>
          <w:trHeight w:val="989" w:hRule="atLeast"/>
        </w:trPr>
        <w:tc>
          <w:tcPr>
            <w:tcW w:w="1195" w:type="dxa"/>
            <w:vMerge w:val="continue"/>
            <w:tcBorders>
              <w:left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14</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行政</w:t>
            </w:r>
          </w:p>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许可</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港口内进行危险货物的装卸、过驳作业审批</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115033</w:t>
            </w:r>
          </w:p>
        </w:tc>
        <w:tc>
          <w:tcPr>
            <w:tcW w:w="4710" w:type="dxa"/>
            <w:tcBorders>
              <w:top w:val="single" w:color="000000" w:sz="4" w:space="0"/>
              <w:left w:val="single" w:color="000000" w:sz="4" w:space="0"/>
              <w:bottom w:val="single" w:color="auto" w:sz="4" w:space="0"/>
              <w:right w:val="single" w:color="000000" w:sz="4" w:space="0"/>
            </w:tcBorders>
            <w:vAlign w:val="center"/>
          </w:tcPr>
          <w:p>
            <w:pPr>
              <w:widowControl/>
              <w:spacing w:line="260" w:lineRule="exact"/>
              <w:jc w:val="left"/>
              <w:rPr>
                <w:rFonts w:hint="eastAsia" w:ascii="宋体" w:hAnsi="宋体" w:cs="宋体"/>
                <w:color w:val="000000"/>
                <w:szCs w:val="22"/>
              </w:rPr>
            </w:pPr>
            <w:r>
              <w:rPr>
                <w:rFonts w:hint="eastAsia" w:ascii="宋体" w:hAnsi="宋体" w:cs="宋体"/>
                <w:color w:val="000000"/>
                <w:szCs w:val="22"/>
              </w:rPr>
              <w:t>《1.《港口危险货物安全管理规定》(2017年交通运输部令第27号)第四十五条。</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2.《中华人民共和国港口法》（2015年修正）()第三十五条。</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企业</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r>
      <w:tr>
        <w:tblPrEx>
          <w:tblLayout w:type="fixed"/>
          <w:tblCellMar>
            <w:top w:w="15" w:type="dxa"/>
            <w:left w:w="15" w:type="dxa"/>
            <w:bottom w:w="15" w:type="dxa"/>
            <w:right w:w="15" w:type="dxa"/>
          </w:tblCellMar>
        </w:tblPrEx>
        <w:trPr>
          <w:cantSplit/>
          <w:trHeight w:val="1040" w:hRule="atLeast"/>
        </w:trPr>
        <w:tc>
          <w:tcPr>
            <w:tcW w:w="1195" w:type="dxa"/>
            <w:vMerge w:val="continue"/>
            <w:tcBorders>
              <w:left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c>
          <w:tcPr>
            <w:tcW w:w="795" w:type="dxa"/>
            <w:tcBorders>
              <w:top w:val="single" w:color="000000" w:sz="4" w:space="0"/>
              <w:left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15</w:t>
            </w:r>
          </w:p>
        </w:tc>
        <w:tc>
          <w:tcPr>
            <w:tcW w:w="810" w:type="dxa"/>
            <w:tcBorders>
              <w:top w:val="single" w:color="000000" w:sz="4" w:space="0"/>
              <w:left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行政</w:t>
            </w:r>
          </w:p>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许可</w:t>
            </w:r>
          </w:p>
        </w:tc>
        <w:tc>
          <w:tcPr>
            <w:tcW w:w="2025" w:type="dxa"/>
            <w:tcBorders>
              <w:top w:val="single" w:color="000000" w:sz="4" w:space="0"/>
              <w:left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新建、改建、扩建从事港口危险货物作业的建设项目安全条件审查</w:t>
            </w:r>
          </w:p>
        </w:tc>
        <w:tc>
          <w:tcPr>
            <w:tcW w:w="1305" w:type="dxa"/>
            <w:tcBorders>
              <w:top w:val="single" w:color="000000" w:sz="4" w:space="0"/>
              <w:left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115034</w:t>
            </w:r>
          </w:p>
        </w:tc>
        <w:tc>
          <w:tcPr>
            <w:tcW w:w="4710" w:type="dxa"/>
            <w:tcBorders>
              <w:top w:val="single" w:color="auto" w:sz="4" w:space="0"/>
              <w:left w:val="single" w:color="000000" w:sz="4" w:space="0"/>
              <w:right w:val="single" w:color="000000" w:sz="4" w:space="0"/>
            </w:tcBorders>
            <w:vAlign w:val="center"/>
          </w:tcPr>
          <w:p>
            <w:pPr>
              <w:widowControl/>
              <w:spacing w:line="260" w:lineRule="exact"/>
              <w:jc w:val="left"/>
              <w:rPr>
                <w:rFonts w:hint="eastAsia" w:ascii="宋体" w:hAnsi="宋体" w:cs="宋体"/>
                <w:color w:val="000000"/>
                <w:szCs w:val="22"/>
              </w:rPr>
            </w:pPr>
            <w:r>
              <w:rPr>
                <w:rFonts w:hint="eastAsia" w:ascii="宋体" w:hAnsi="宋体" w:cs="宋体"/>
                <w:color w:val="000000"/>
                <w:szCs w:val="22"/>
              </w:rPr>
              <w:t>1.《危险化学品安全管理条例》(2013年国务院令第645号修改)第十二条。</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2.《港口危险货物安全管理规定》(2017年交通运输部令第27号)第五条。</w:t>
            </w:r>
          </w:p>
        </w:tc>
        <w:tc>
          <w:tcPr>
            <w:tcW w:w="2100" w:type="dxa"/>
            <w:tcBorders>
              <w:top w:val="single" w:color="000000" w:sz="4" w:space="0"/>
              <w:left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企业</w:t>
            </w:r>
          </w:p>
        </w:tc>
        <w:tc>
          <w:tcPr>
            <w:tcW w:w="1260" w:type="dxa"/>
            <w:tcBorders>
              <w:top w:val="single" w:color="000000" w:sz="4" w:space="0"/>
              <w:left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r>
      <w:tr>
        <w:tblPrEx>
          <w:tblLayout w:type="fixed"/>
          <w:tblCellMar>
            <w:top w:w="15" w:type="dxa"/>
            <w:left w:w="15" w:type="dxa"/>
            <w:bottom w:w="15" w:type="dxa"/>
            <w:right w:w="15" w:type="dxa"/>
          </w:tblCellMar>
        </w:tblPrEx>
        <w:trPr>
          <w:cantSplit/>
          <w:trHeight w:val="1139" w:hRule="atLeast"/>
        </w:trPr>
        <w:tc>
          <w:tcPr>
            <w:tcW w:w="1195" w:type="dxa"/>
            <w:vMerge w:val="continue"/>
            <w:tcBorders>
              <w:left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c>
          <w:tcPr>
            <w:tcW w:w="795" w:type="dxa"/>
            <w:tcBorders>
              <w:top w:val="single" w:color="000000" w:sz="4" w:space="0"/>
              <w:left w:val="single" w:color="000000" w:sz="4" w:space="0"/>
              <w:bottom w:val="single" w:color="auto"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16</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行政</w:t>
            </w:r>
          </w:p>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许可</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为旅客提供候船和上下船舶设施和服务</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115023</w:t>
            </w:r>
          </w:p>
        </w:tc>
        <w:tc>
          <w:tcPr>
            <w:tcW w:w="4710" w:type="dxa"/>
            <w:tcBorders>
              <w:top w:val="single" w:color="auto" w:sz="4" w:space="0"/>
              <w:left w:val="single" w:color="000000" w:sz="4" w:space="0"/>
              <w:bottom w:val="single" w:color="auto" w:sz="4" w:space="0"/>
              <w:right w:val="single" w:color="000000" w:sz="4" w:space="0"/>
            </w:tcBorders>
            <w:vAlign w:val="center"/>
          </w:tcPr>
          <w:p>
            <w:pPr>
              <w:widowControl/>
              <w:spacing w:line="260" w:lineRule="exact"/>
              <w:jc w:val="left"/>
              <w:rPr>
                <w:rFonts w:hint="eastAsia" w:ascii="宋体" w:hAnsi="宋体" w:cs="宋体"/>
                <w:color w:val="000000"/>
                <w:szCs w:val="22"/>
              </w:rPr>
            </w:pPr>
            <w:r>
              <w:rPr>
                <w:rFonts w:hint="eastAsia" w:ascii="宋体" w:hAnsi="宋体" w:cs="宋体"/>
                <w:color w:val="000000"/>
                <w:szCs w:val="22"/>
              </w:rPr>
              <w:t>1.《道路危险货物运输管理规定》(2016年交通运输部令第36号修改)第九、十、十一条。</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2.《中华人民共和国道路运输条例》(2016年国务院令第666号修改)第二十四、七十九条。</w:t>
            </w:r>
          </w:p>
        </w:tc>
        <w:tc>
          <w:tcPr>
            <w:tcW w:w="2100" w:type="dxa"/>
            <w:tcBorders>
              <w:top w:val="single" w:color="000000" w:sz="4" w:space="0"/>
              <w:left w:val="single" w:color="000000" w:sz="4" w:space="0"/>
              <w:bottom w:val="single" w:color="auto"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企业 个人</w:t>
            </w:r>
          </w:p>
        </w:tc>
        <w:tc>
          <w:tcPr>
            <w:tcW w:w="1260" w:type="dxa"/>
            <w:tcBorders>
              <w:top w:val="single" w:color="000000" w:sz="4" w:space="0"/>
              <w:left w:val="single" w:color="000000" w:sz="4" w:space="0"/>
              <w:bottom w:val="single" w:color="auto" w:sz="4" w:space="0"/>
              <w:right w:val="single" w:color="000000" w:sz="4" w:space="0"/>
            </w:tcBorders>
            <w:vAlign w:val="center"/>
          </w:tcPr>
          <w:p>
            <w:pPr>
              <w:widowControl/>
              <w:spacing w:line="260" w:lineRule="exact"/>
              <w:jc w:val="center"/>
              <w:rPr>
                <w:rFonts w:hint="eastAsia" w:ascii="宋体" w:hAnsi="宋体" w:cs="宋体"/>
                <w:color w:val="000000"/>
                <w:szCs w:val="22"/>
              </w:rPr>
            </w:pPr>
          </w:p>
        </w:tc>
      </w:tr>
      <w:tr>
        <w:tblPrEx>
          <w:tblLayout w:type="fixed"/>
          <w:tblCellMar>
            <w:top w:w="15" w:type="dxa"/>
            <w:left w:w="15" w:type="dxa"/>
            <w:bottom w:w="15" w:type="dxa"/>
            <w:right w:w="15" w:type="dxa"/>
          </w:tblCellMar>
        </w:tblPrEx>
        <w:trPr>
          <w:cantSplit/>
          <w:trHeight w:val="1249" w:hRule="atLeast"/>
        </w:trPr>
        <w:tc>
          <w:tcPr>
            <w:tcW w:w="1195" w:type="dxa"/>
            <w:vMerge w:val="continue"/>
            <w:tcBorders>
              <w:left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c>
          <w:tcPr>
            <w:tcW w:w="795" w:type="dxa"/>
            <w:tcBorders>
              <w:top w:val="single" w:color="auto" w:sz="4" w:space="0"/>
              <w:left w:val="single" w:color="000000" w:sz="4" w:space="0"/>
              <w:bottom w:val="single" w:color="auto"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17</w:t>
            </w:r>
          </w:p>
        </w:tc>
        <w:tc>
          <w:tcPr>
            <w:tcW w:w="810" w:type="dxa"/>
            <w:tcBorders>
              <w:top w:val="single" w:color="000000" w:sz="4" w:space="0"/>
              <w:left w:val="single" w:color="000000" w:sz="4" w:space="0"/>
              <w:bottom w:val="single" w:color="auto"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行政</w:t>
            </w:r>
          </w:p>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许可</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为船舶提供码头、过驳锚地、浮筒等设施</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115023</w:t>
            </w:r>
          </w:p>
        </w:tc>
        <w:tc>
          <w:tcPr>
            <w:tcW w:w="4710" w:type="dxa"/>
            <w:tcBorders>
              <w:top w:val="single" w:color="auto" w:sz="4" w:space="0"/>
              <w:left w:val="single" w:color="000000" w:sz="4" w:space="0"/>
              <w:bottom w:val="single" w:color="auto" w:sz="4" w:space="0"/>
              <w:right w:val="single" w:color="000000" w:sz="4" w:space="0"/>
            </w:tcBorders>
            <w:vAlign w:val="center"/>
          </w:tcPr>
          <w:p>
            <w:pPr>
              <w:widowControl/>
              <w:spacing w:line="260" w:lineRule="exact"/>
              <w:jc w:val="left"/>
              <w:rPr>
                <w:rFonts w:hint="eastAsia" w:ascii="宋体" w:hAnsi="宋体" w:cs="宋体"/>
                <w:color w:val="000000"/>
                <w:szCs w:val="22"/>
              </w:rPr>
            </w:pPr>
            <w:r>
              <w:rPr>
                <w:rFonts w:hint="eastAsia" w:ascii="宋体" w:hAnsi="宋体" w:cs="宋体"/>
                <w:color w:val="000000"/>
                <w:szCs w:val="22"/>
              </w:rPr>
              <w:t>1.《道路危险货物运输管理规定》(2016年交通运输部令第36号修改)第九、十、十一条。</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2.《中华人民共和国道路运输条例》(2016年国务院令第666号修改)第二十四、七十九条。</w:t>
            </w:r>
          </w:p>
        </w:tc>
        <w:tc>
          <w:tcPr>
            <w:tcW w:w="2100" w:type="dxa"/>
            <w:tcBorders>
              <w:top w:val="single" w:color="auto" w:sz="4" w:space="0"/>
              <w:left w:val="single" w:color="000000" w:sz="4" w:space="0"/>
              <w:bottom w:val="single" w:color="auto"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企业 个人</w:t>
            </w:r>
          </w:p>
        </w:tc>
        <w:tc>
          <w:tcPr>
            <w:tcW w:w="1260" w:type="dxa"/>
            <w:tcBorders>
              <w:top w:val="single" w:color="auto" w:sz="4" w:space="0"/>
              <w:left w:val="single" w:color="000000" w:sz="4" w:space="0"/>
              <w:bottom w:val="single" w:color="auto" w:sz="4" w:space="0"/>
              <w:right w:val="single" w:color="000000" w:sz="4" w:space="0"/>
            </w:tcBorders>
            <w:vAlign w:val="center"/>
          </w:tcPr>
          <w:p>
            <w:pPr>
              <w:widowControl/>
              <w:spacing w:line="260" w:lineRule="exact"/>
              <w:jc w:val="center"/>
              <w:rPr>
                <w:rFonts w:hint="eastAsia" w:ascii="宋体" w:hAnsi="宋体" w:cs="宋体"/>
                <w:color w:val="000000"/>
                <w:szCs w:val="22"/>
              </w:rPr>
            </w:pPr>
          </w:p>
        </w:tc>
      </w:tr>
      <w:tr>
        <w:tblPrEx>
          <w:tblLayout w:type="fixed"/>
          <w:tblCellMar>
            <w:top w:w="15" w:type="dxa"/>
            <w:left w:w="15" w:type="dxa"/>
            <w:bottom w:w="15" w:type="dxa"/>
            <w:right w:w="15" w:type="dxa"/>
          </w:tblCellMar>
        </w:tblPrEx>
        <w:trPr>
          <w:cantSplit/>
          <w:trHeight w:val="890" w:hRule="atLeast"/>
        </w:trPr>
        <w:tc>
          <w:tcPr>
            <w:tcW w:w="1195" w:type="dxa"/>
            <w:vMerge w:val="continue"/>
            <w:tcBorders>
              <w:left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c>
          <w:tcPr>
            <w:tcW w:w="795" w:type="dxa"/>
            <w:tcBorders>
              <w:top w:val="single" w:color="auto" w:sz="4" w:space="0"/>
              <w:left w:val="single" w:color="000000" w:sz="4" w:space="0"/>
              <w:bottom w:val="single" w:color="auto"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18</w:t>
            </w:r>
          </w:p>
        </w:tc>
        <w:tc>
          <w:tcPr>
            <w:tcW w:w="810" w:type="dxa"/>
            <w:tcBorders>
              <w:top w:val="single" w:color="auto" w:sz="4" w:space="0"/>
              <w:left w:val="single" w:color="000000" w:sz="4" w:space="0"/>
              <w:bottom w:val="single" w:color="auto"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行政</w:t>
            </w:r>
          </w:p>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许可</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从事货物装卸（含过驳）、仓储、港区内驳运</w:t>
            </w:r>
          </w:p>
        </w:tc>
        <w:tc>
          <w:tcPr>
            <w:tcW w:w="1305" w:type="dxa"/>
            <w:tcBorders>
              <w:top w:val="single" w:color="000000" w:sz="4" w:space="0"/>
              <w:left w:val="single" w:color="000000" w:sz="4" w:space="0"/>
              <w:bottom w:val="single" w:color="auto"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115023</w:t>
            </w:r>
          </w:p>
        </w:tc>
        <w:tc>
          <w:tcPr>
            <w:tcW w:w="4710" w:type="dxa"/>
            <w:tcBorders>
              <w:top w:val="single" w:color="auto" w:sz="4" w:space="0"/>
              <w:left w:val="single" w:color="000000" w:sz="4" w:space="0"/>
              <w:bottom w:val="single" w:color="auto" w:sz="4" w:space="0"/>
              <w:right w:val="single" w:color="000000" w:sz="4" w:space="0"/>
            </w:tcBorders>
            <w:vAlign w:val="center"/>
          </w:tcPr>
          <w:p>
            <w:pPr>
              <w:widowControl/>
              <w:spacing w:line="260" w:lineRule="exact"/>
              <w:jc w:val="left"/>
              <w:rPr>
                <w:rFonts w:hint="eastAsia" w:ascii="宋体" w:hAnsi="宋体" w:cs="宋体"/>
                <w:color w:val="000000"/>
                <w:szCs w:val="22"/>
              </w:rPr>
            </w:pP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1.《道路危险货物运输管理规定》(2016年交通运输部令第36号修改)第九、十、十一条。</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2.《中华人民共和国道路运输条例》(2016年国务院令第666号修改)第二十四、七十九条。</w:t>
            </w:r>
          </w:p>
          <w:p>
            <w:pPr>
              <w:widowControl/>
              <w:spacing w:line="260" w:lineRule="exact"/>
              <w:jc w:val="left"/>
              <w:rPr>
                <w:rFonts w:hint="eastAsia" w:ascii="宋体" w:hAnsi="宋体" w:cs="宋体"/>
                <w:color w:val="000000"/>
                <w:szCs w:val="22"/>
              </w:rPr>
            </w:pPr>
          </w:p>
          <w:p>
            <w:pPr>
              <w:widowControl/>
              <w:spacing w:line="260" w:lineRule="exact"/>
              <w:jc w:val="left"/>
              <w:rPr>
                <w:rFonts w:hint="eastAsia" w:ascii="宋体" w:hAnsi="宋体" w:cs="宋体"/>
                <w:color w:val="000000"/>
                <w:szCs w:val="22"/>
              </w:rPr>
            </w:pPr>
          </w:p>
        </w:tc>
        <w:tc>
          <w:tcPr>
            <w:tcW w:w="2100" w:type="dxa"/>
            <w:tcBorders>
              <w:top w:val="single" w:color="auto" w:sz="4" w:space="0"/>
              <w:left w:val="single" w:color="000000" w:sz="4" w:space="0"/>
              <w:bottom w:val="single" w:color="auto"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企业 个人</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r>
      <w:tr>
        <w:tblPrEx>
          <w:tblLayout w:type="fixed"/>
          <w:tblCellMar>
            <w:top w:w="15" w:type="dxa"/>
            <w:left w:w="15" w:type="dxa"/>
            <w:bottom w:w="15" w:type="dxa"/>
            <w:right w:w="15" w:type="dxa"/>
          </w:tblCellMar>
        </w:tblPrEx>
        <w:trPr>
          <w:cantSplit/>
          <w:trHeight w:val="1048" w:hRule="atLeast"/>
        </w:trPr>
        <w:tc>
          <w:tcPr>
            <w:tcW w:w="1195" w:type="dxa"/>
            <w:vMerge w:val="continue"/>
            <w:tcBorders>
              <w:left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c>
          <w:tcPr>
            <w:tcW w:w="795" w:type="dxa"/>
            <w:tcBorders>
              <w:top w:val="single" w:color="auto"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19</w:t>
            </w:r>
          </w:p>
        </w:tc>
        <w:tc>
          <w:tcPr>
            <w:tcW w:w="810" w:type="dxa"/>
            <w:tcBorders>
              <w:top w:val="single" w:color="auto"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行政</w:t>
            </w:r>
          </w:p>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许可</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为船舶进出港、靠离码头、移泊提供顶推、拖带等服务</w:t>
            </w:r>
          </w:p>
        </w:tc>
        <w:tc>
          <w:tcPr>
            <w:tcW w:w="1305" w:type="dxa"/>
            <w:tcBorders>
              <w:top w:val="single" w:color="auto"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115023</w:t>
            </w:r>
          </w:p>
        </w:tc>
        <w:tc>
          <w:tcPr>
            <w:tcW w:w="4710" w:type="dxa"/>
            <w:tcBorders>
              <w:top w:val="single" w:color="auto" w:sz="4" w:space="0"/>
              <w:left w:val="single" w:color="000000" w:sz="4" w:space="0"/>
              <w:bottom w:val="single" w:color="000000" w:sz="4" w:space="0"/>
              <w:right w:val="single" w:color="000000" w:sz="4" w:space="0"/>
            </w:tcBorders>
            <w:vAlign w:val="center"/>
          </w:tcPr>
          <w:p>
            <w:pPr>
              <w:widowControl/>
              <w:spacing w:line="260" w:lineRule="exact"/>
              <w:jc w:val="left"/>
              <w:rPr>
                <w:rFonts w:hint="eastAsia" w:ascii="宋体" w:hAnsi="宋体" w:cs="宋体"/>
                <w:color w:val="000000"/>
                <w:szCs w:val="22"/>
              </w:rPr>
            </w:pP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1.《道路危险货物运输管理规定》(2016年交通运输部令第36号修改)第九、十、十一条。</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2.《中华人民共和国道路运输条例》(2016年国务院令第666号修改)第二十四、七十九条。</w:t>
            </w:r>
          </w:p>
          <w:p>
            <w:pPr>
              <w:widowControl/>
              <w:spacing w:line="260" w:lineRule="exact"/>
              <w:jc w:val="left"/>
              <w:rPr>
                <w:rFonts w:hint="eastAsia" w:ascii="宋体" w:hAnsi="宋体" w:cs="宋体"/>
                <w:color w:val="000000"/>
                <w:szCs w:val="22"/>
              </w:rPr>
            </w:pPr>
          </w:p>
        </w:tc>
        <w:tc>
          <w:tcPr>
            <w:tcW w:w="2100" w:type="dxa"/>
            <w:tcBorders>
              <w:top w:val="single" w:color="auto"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企业 个人</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r>
      <w:tr>
        <w:tblPrEx>
          <w:tblLayout w:type="fixed"/>
          <w:tblCellMar>
            <w:top w:w="15" w:type="dxa"/>
            <w:left w:w="15" w:type="dxa"/>
            <w:bottom w:w="15" w:type="dxa"/>
            <w:right w:w="15" w:type="dxa"/>
          </w:tblCellMar>
        </w:tblPrEx>
        <w:trPr>
          <w:cantSplit/>
          <w:trHeight w:val="587" w:hRule="atLeast"/>
        </w:trPr>
        <w:tc>
          <w:tcPr>
            <w:tcW w:w="1195" w:type="dxa"/>
            <w:vMerge w:val="continue"/>
            <w:tcBorders>
              <w:left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20</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行政</w:t>
            </w:r>
          </w:p>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许可</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港澳航线水路运输许可业务（普通货物及单船1千载重吨以下危险品、集装箱货物船舶运力</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115003</w:t>
            </w:r>
          </w:p>
        </w:tc>
        <w:tc>
          <w:tcPr>
            <w:tcW w:w="47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hint="eastAsia" w:ascii="宋体" w:hAnsi="宋体" w:cs="宋体"/>
                <w:color w:val="000000"/>
                <w:szCs w:val="22"/>
              </w:rPr>
            </w:pP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1.《交通运输部办公厅关于进一步加强港澳航线运输管理工作的通知》(厅函水〔2012〕157号)。</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2.《交通运输部关于落实内地与香港、澳门〈〈关于建立更紧密经贸关系的安排〉服务贸易协议〉有关事项的公告》(2016年交通运输部公告第27号)。</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3.《中华人民共和国国际海运条例》(2016年国务院令第666号修正)第十条。</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4.《交通运输部办公厅关于进一步明确港澳航线运输管理有关事项的通知》(交办水函〔2015〕851号)。</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5.《国务院对确需保留的行政审批项目设定行政许可的决定》(2004年国务院令第412号)。</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6.《关于授权各省、自治区、直辖市交通主管部门审批航行港澳船舶的通知》(厅运字〔1992〕57号)。</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7.《交通运输部办公厅关于同意调整广东部分港澳航线水路运输业务事项的函》(厅函水〔2014〕48号)。</w:t>
            </w:r>
          </w:p>
          <w:p>
            <w:pPr>
              <w:widowControl/>
              <w:spacing w:line="260" w:lineRule="exact"/>
              <w:jc w:val="left"/>
              <w:rPr>
                <w:rFonts w:hint="eastAsia" w:ascii="宋体" w:hAnsi="宋体" w:cs="宋体"/>
                <w:color w:val="000000"/>
                <w:szCs w:val="22"/>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企业</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r>
      <w:tr>
        <w:tblPrEx>
          <w:tblLayout w:type="fixed"/>
          <w:tblCellMar>
            <w:top w:w="15" w:type="dxa"/>
            <w:left w:w="15" w:type="dxa"/>
            <w:bottom w:w="15" w:type="dxa"/>
            <w:right w:w="15" w:type="dxa"/>
          </w:tblCellMar>
        </w:tblPrEx>
        <w:trPr>
          <w:cantSplit/>
          <w:trHeight w:val="1139" w:hRule="atLeast"/>
        </w:trPr>
        <w:tc>
          <w:tcPr>
            <w:tcW w:w="1195" w:type="dxa"/>
            <w:vMerge w:val="continue"/>
            <w:tcBorders>
              <w:left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21</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行政</w:t>
            </w:r>
          </w:p>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许可</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港澳航线船舶营运许可业务（含在航港澳航线船舶续期、变更船舶数据）</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115003</w:t>
            </w:r>
          </w:p>
        </w:tc>
        <w:tc>
          <w:tcPr>
            <w:tcW w:w="47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hint="eastAsia" w:ascii="宋体" w:hAnsi="宋体" w:cs="宋体"/>
                <w:color w:val="000000"/>
                <w:szCs w:val="22"/>
              </w:rPr>
            </w:pPr>
            <w:r>
              <w:rPr>
                <w:rFonts w:hint="eastAsia" w:ascii="宋体" w:hAnsi="宋体" w:cs="宋体"/>
                <w:color w:val="000000"/>
                <w:szCs w:val="22"/>
              </w:rPr>
              <w:t>1.《交通运输部办公厅关于进一步加强港澳航线运输管理工作的通知》(厅函水〔2012〕157号)。</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2.《交通运输部关于落实内地与香港、澳门〈〈关于建立更紧密经贸关系的安排〉服务贸易协议〉有关事项的公告》(2016年交通运输部公告第27号)。</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3.《中华人民共和国国际海运条例》(2016年国务院令第666号修正)第十条。</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4.《交通运输部办公厅关于进一步明确港澳航线运输管理有关事项的通知》(交办水函〔2015〕851号)。</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5.《国务院对确需保留的行政审批项目设定行政许可的决定》(2004年国务院令第412号)。</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6.《关于授权各省、自治区、直辖市交通主管部门审批航行港澳船舶的通知》(厅运字〔1992〕57号)。</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7.《交通运输部办公厅关于同意调整广东部分港澳航线水路运输业务事项的函》(厅函水〔2014〕48号)。</w:t>
            </w:r>
          </w:p>
          <w:p>
            <w:pPr>
              <w:widowControl/>
              <w:spacing w:line="260" w:lineRule="exact"/>
              <w:jc w:val="left"/>
              <w:rPr>
                <w:rFonts w:hint="eastAsia" w:ascii="宋体" w:hAnsi="宋体" w:cs="宋体"/>
                <w:color w:val="000000"/>
                <w:szCs w:val="22"/>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企业</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r>
      <w:tr>
        <w:tblPrEx>
          <w:tblLayout w:type="fixed"/>
          <w:tblCellMar>
            <w:top w:w="15" w:type="dxa"/>
            <w:left w:w="15" w:type="dxa"/>
            <w:bottom w:w="15" w:type="dxa"/>
            <w:right w:w="15" w:type="dxa"/>
          </w:tblCellMar>
        </w:tblPrEx>
        <w:trPr>
          <w:cantSplit/>
          <w:trHeight w:val="2282" w:hRule="atLeast"/>
        </w:trPr>
        <w:tc>
          <w:tcPr>
            <w:tcW w:w="1195" w:type="dxa"/>
            <w:vMerge w:val="continue"/>
            <w:tcBorders>
              <w:left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22</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行政</w:t>
            </w:r>
          </w:p>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许可</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经营港澳航线水运企业许可业务（不含经营旅客及单船1千载重吨以上危险品、集装箱货物运输业务）</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115003</w:t>
            </w:r>
          </w:p>
        </w:tc>
        <w:tc>
          <w:tcPr>
            <w:tcW w:w="47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hint="eastAsia" w:ascii="宋体" w:hAnsi="宋体" w:cs="宋体"/>
                <w:color w:val="000000"/>
                <w:szCs w:val="22"/>
              </w:rPr>
            </w:pPr>
            <w:r>
              <w:rPr>
                <w:rFonts w:hint="eastAsia" w:ascii="宋体" w:hAnsi="宋体" w:cs="宋体"/>
                <w:color w:val="000000"/>
                <w:szCs w:val="22"/>
              </w:rPr>
              <w:t>1.《交通运输部办公厅关于进一步加强港澳航线运输管理工作的通知》(厅函水〔2012〕157号)。</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2.《交通运输部关于落实内地与香港、澳门〈〈关于建立更紧密经贸关系的安排〉服务贸易协议〉有关事项的公告》(2016年交通运输部公告第27号)。</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3.《中华人民共和国国际海运条例》(2016年国务院令第666号修正)第十条。</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4.《交通运输部办公厅关于进一步明确港澳航线运输管理有关事项的通知》(交办水函〔2015〕851号)。</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5.《国务院对确需保留的行政审批项目设定行政许可的决定》(2004年国务院令第412号)。</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6.《关于授权各省、自治区、直辖市交通主管部门审批航行港澳船舶的通知》(厅运字〔1992〕57号)。</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7.《交通运输部办公厅关于同意调整广东部分港澳航线水路运输业务事项的函》(厅函水〔2014〕48号)。</w:t>
            </w:r>
          </w:p>
          <w:p>
            <w:pPr>
              <w:widowControl/>
              <w:spacing w:line="260" w:lineRule="exact"/>
              <w:jc w:val="left"/>
              <w:rPr>
                <w:rFonts w:hint="eastAsia" w:ascii="宋体" w:hAnsi="宋体" w:cs="宋体"/>
                <w:color w:val="000000"/>
                <w:szCs w:val="22"/>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企业</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r>
      <w:tr>
        <w:tblPrEx>
          <w:tblLayout w:type="fixed"/>
          <w:tblCellMar>
            <w:top w:w="15" w:type="dxa"/>
            <w:left w:w="15" w:type="dxa"/>
            <w:bottom w:w="15" w:type="dxa"/>
            <w:right w:w="15" w:type="dxa"/>
          </w:tblCellMar>
        </w:tblPrEx>
        <w:trPr>
          <w:cantSplit/>
          <w:trHeight w:val="1985" w:hRule="atLeast"/>
        </w:trPr>
        <w:tc>
          <w:tcPr>
            <w:tcW w:w="1195" w:type="dxa"/>
            <w:vMerge w:val="continue"/>
            <w:tcBorders>
              <w:left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23</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行政</w:t>
            </w:r>
          </w:p>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许可</w:t>
            </w:r>
          </w:p>
        </w:tc>
        <w:tc>
          <w:tcPr>
            <w:tcW w:w="2025" w:type="dxa"/>
            <w:tcBorders>
              <w:top w:val="single" w:color="000000" w:sz="4" w:space="0"/>
              <w:left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出租汽车驾驶员从业资格证核发</w:t>
            </w:r>
          </w:p>
        </w:tc>
        <w:tc>
          <w:tcPr>
            <w:tcW w:w="1305" w:type="dxa"/>
            <w:tcBorders>
              <w:top w:val="single" w:color="000000" w:sz="4" w:space="0"/>
              <w:left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115028</w:t>
            </w:r>
          </w:p>
        </w:tc>
        <w:tc>
          <w:tcPr>
            <w:tcW w:w="47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hint="eastAsia" w:ascii="宋体" w:hAnsi="宋体" w:cs="宋体"/>
                <w:color w:val="000000"/>
                <w:szCs w:val="22"/>
              </w:rPr>
            </w:pP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1.《网络预约出租汽车经营服务管理暂行办法》(2016年交通运输部 工业和信息化部 公安部 商务部工商总局 质检总局 国家网信办令第60号)第十四、十五条。</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2.《出租汽车驾驶员从业资格管理规定》(2016年交通运输部令第63号)第六、十、十一条。</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3.《广东省出租汽车经营管理办法》(2017年粤府令第247号)第十条。</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4.《国务院对确需保留的行政审批项目设定行政许可的决定》(2004年国务院令第412号)。</w:t>
            </w:r>
          </w:p>
          <w:p>
            <w:pPr>
              <w:widowControl/>
              <w:spacing w:line="260" w:lineRule="exact"/>
              <w:jc w:val="left"/>
              <w:rPr>
                <w:rFonts w:hint="eastAsia" w:ascii="宋体" w:hAnsi="宋体" w:cs="宋体"/>
                <w:color w:val="000000"/>
                <w:szCs w:val="22"/>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个人</w:t>
            </w:r>
          </w:p>
        </w:tc>
        <w:tc>
          <w:tcPr>
            <w:tcW w:w="1260" w:type="dxa"/>
            <w:tcBorders>
              <w:top w:val="single" w:color="000000" w:sz="4" w:space="0"/>
              <w:left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r>
      <w:tr>
        <w:tblPrEx>
          <w:tblLayout w:type="fixed"/>
          <w:tblCellMar>
            <w:top w:w="15" w:type="dxa"/>
            <w:left w:w="15" w:type="dxa"/>
            <w:bottom w:w="15" w:type="dxa"/>
            <w:right w:w="15" w:type="dxa"/>
          </w:tblCellMar>
        </w:tblPrEx>
        <w:trPr>
          <w:cantSplit/>
          <w:trHeight w:val="1954" w:hRule="atLeast"/>
        </w:trPr>
        <w:tc>
          <w:tcPr>
            <w:tcW w:w="1195" w:type="dxa"/>
            <w:vMerge w:val="continue"/>
            <w:tcBorders>
              <w:left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c>
          <w:tcPr>
            <w:tcW w:w="795" w:type="dxa"/>
            <w:tcBorders>
              <w:top w:val="single" w:color="000000" w:sz="4" w:space="0"/>
              <w:left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24</w:t>
            </w:r>
          </w:p>
        </w:tc>
        <w:tc>
          <w:tcPr>
            <w:tcW w:w="810" w:type="dxa"/>
            <w:tcBorders>
              <w:top w:val="single" w:color="000000" w:sz="4" w:space="0"/>
              <w:left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行政</w:t>
            </w:r>
          </w:p>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许可</w:t>
            </w:r>
          </w:p>
        </w:tc>
        <w:tc>
          <w:tcPr>
            <w:tcW w:w="2025" w:type="dxa"/>
            <w:tcBorders>
              <w:top w:val="single" w:color="000000" w:sz="4" w:space="0"/>
              <w:left w:val="single" w:color="000000" w:sz="4" w:space="0"/>
              <w:right w:val="single" w:color="000000" w:sz="4" w:space="0"/>
            </w:tcBorders>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道路危险货物运输从业人员从业资格证核发</w:t>
            </w:r>
          </w:p>
          <w:p>
            <w:pPr>
              <w:widowControl/>
              <w:spacing w:line="260" w:lineRule="exact"/>
              <w:jc w:val="center"/>
              <w:rPr>
                <w:rFonts w:hint="eastAsia" w:ascii="宋体" w:hAnsi="宋体" w:cs="宋体"/>
                <w:color w:val="000000"/>
                <w:szCs w:val="22"/>
              </w:rPr>
            </w:pPr>
          </w:p>
        </w:tc>
        <w:tc>
          <w:tcPr>
            <w:tcW w:w="1305" w:type="dxa"/>
            <w:tcBorders>
              <w:top w:val="single" w:color="000000" w:sz="4" w:space="0"/>
              <w:left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115031</w:t>
            </w:r>
          </w:p>
        </w:tc>
        <w:tc>
          <w:tcPr>
            <w:tcW w:w="4710" w:type="dxa"/>
            <w:tcBorders>
              <w:top w:val="single" w:color="000000" w:sz="4" w:space="0"/>
              <w:left w:val="single" w:color="000000" w:sz="4" w:space="0"/>
              <w:right w:val="single" w:color="000000" w:sz="4" w:space="0"/>
            </w:tcBorders>
            <w:vAlign w:val="center"/>
          </w:tcPr>
          <w:p>
            <w:pPr>
              <w:widowControl/>
              <w:spacing w:line="260" w:lineRule="exact"/>
              <w:jc w:val="left"/>
              <w:rPr>
                <w:rFonts w:hint="eastAsia" w:ascii="宋体" w:hAnsi="宋体" w:cs="宋体"/>
                <w:color w:val="000000"/>
                <w:szCs w:val="22"/>
              </w:rPr>
            </w:pPr>
            <w:r>
              <w:rPr>
                <w:rFonts w:hint="eastAsia" w:ascii="宋体" w:hAnsi="宋体" w:cs="宋体"/>
                <w:color w:val="000000"/>
                <w:szCs w:val="22"/>
              </w:rPr>
              <w:t>1.《道路危险货物运输管理规定》(2016年交通运输部令第36号修改)第八条。</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2.《中华人民共和国道路运输条例》(2016年国务院令第666号修改)第二十三条。</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3.《危险化学品安全管理条例》(2013年国务院令第645号修改)第四、六、四十四条。</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4.《道路运输从业人员管理规定》(2016年交通部令第52号修正)第五、八、十一、十二、十六、十七、十八、十九条。</w:t>
            </w:r>
          </w:p>
          <w:p>
            <w:pPr>
              <w:widowControl/>
              <w:spacing w:line="260" w:lineRule="exact"/>
              <w:jc w:val="left"/>
              <w:rPr>
                <w:rFonts w:hint="eastAsia" w:ascii="宋体" w:hAnsi="宋体" w:cs="宋体"/>
                <w:color w:val="000000"/>
                <w:szCs w:val="22"/>
              </w:rPr>
            </w:pPr>
          </w:p>
        </w:tc>
        <w:tc>
          <w:tcPr>
            <w:tcW w:w="2100" w:type="dxa"/>
            <w:tcBorders>
              <w:top w:val="single" w:color="000000" w:sz="4" w:space="0"/>
              <w:left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个人</w:t>
            </w:r>
          </w:p>
        </w:tc>
        <w:tc>
          <w:tcPr>
            <w:tcW w:w="1260" w:type="dxa"/>
            <w:tcBorders>
              <w:top w:val="single" w:color="000000" w:sz="4" w:space="0"/>
              <w:left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r>
      <w:tr>
        <w:tblPrEx>
          <w:tblLayout w:type="fixed"/>
          <w:tblCellMar>
            <w:top w:w="15" w:type="dxa"/>
            <w:left w:w="15" w:type="dxa"/>
            <w:bottom w:w="15" w:type="dxa"/>
            <w:right w:w="15" w:type="dxa"/>
          </w:tblCellMar>
        </w:tblPrEx>
        <w:trPr>
          <w:cantSplit/>
          <w:trHeight w:val="1437" w:hRule="atLeast"/>
        </w:trPr>
        <w:tc>
          <w:tcPr>
            <w:tcW w:w="1195" w:type="dxa"/>
            <w:vMerge w:val="continue"/>
            <w:tcBorders>
              <w:left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c>
          <w:tcPr>
            <w:tcW w:w="795" w:type="dxa"/>
            <w:tcBorders>
              <w:top w:val="single" w:color="000000" w:sz="4" w:space="0"/>
              <w:left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25</w:t>
            </w:r>
          </w:p>
        </w:tc>
        <w:tc>
          <w:tcPr>
            <w:tcW w:w="810" w:type="dxa"/>
            <w:tcBorders>
              <w:top w:val="single" w:color="000000" w:sz="4" w:space="0"/>
              <w:left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行政</w:t>
            </w:r>
          </w:p>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许可</w:t>
            </w:r>
          </w:p>
        </w:tc>
        <w:tc>
          <w:tcPr>
            <w:tcW w:w="2025" w:type="dxa"/>
            <w:tcBorders>
              <w:top w:val="single" w:color="000000" w:sz="4" w:space="0"/>
              <w:left w:val="single" w:color="000000" w:sz="4" w:space="0"/>
              <w:right w:val="single" w:color="000000" w:sz="4" w:space="0"/>
            </w:tcBorders>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经营性道路客货运输驾驶员从业资格证核发</w:t>
            </w:r>
          </w:p>
        </w:tc>
        <w:tc>
          <w:tcPr>
            <w:tcW w:w="1305" w:type="dxa"/>
            <w:tcBorders>
              <w:top w:val="single" w:color="000000" w:sz="4" w:space="0"/>
              <w:left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115030</w:t>
            </w:r>
          </w:p>
        </w:tc>
        <w:tc>
          <w:tcPr>
            <w:tcW w:w="4710" w:type="dxa"/>
            <w:tcBorders>
              <w:top w:val="single" w:color="000000" w:sz="4" w:space="0"/>
              <w:left w:val="single" w:color="000000" w:sz="4" w:space="0"/>
              <w:right w:val="single" w:color="000000" w:sz="4" w:space="0"/>
            </w:tcBorders>
            <w:vAlign w:val="center"/>
          </w:tcPr>
          <w:p>
            <w:pPr>
              <w:widowControl/>
              <w:spacing w:line="260" w:lineRule="exact"/>
              <w:jc w:val="left"/>
              <w:rPr>
                <w:rFonts w:hint="eastAsia" w:ascii="宋体" w:hAnsi="宋体" w:cs="宋体"/>
                <w:color w:val="000000"/>
                <w:szCs w:val="22"/>
              </w:rPr>
            </w:pPr>
            <w:r>
              <w:rPr>
                <w:rFonts w:hint="eastAsia" w:ascii="宋体" w:hAnsi="宋体" w:cs="宋体"/>
                <w:color w:val="000000"/>
                <w:szCs w:val="22"/>
              </w:rPr>
              <w:t>1.《道路运输从业人员管理规定》(2016年交通部令第52号修正)第六、八、九、十、十五条。</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2.《中华人民共和国道路运输条例》(2016年国务院令第666号修改)第八、九、二十一、二十二条。</w:t>
            </w:r>
          </w:p>
        </w:tc>
        <w:tc>
          <w:tcPr>
            <w:tcW w:w="2100" w:type="dxa"/>
            <w:tcBorders>
              <w:top w:val="single" w:color="000000" w:sz="4" w:space="0"/>
              <w:left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个人</w:t>
            </w:r>
          </w:p>
        </w:tc>
        <w:tc>
          <w:tcPr>
            <w:tcW w:w="1260" w:type="dxa"/>
            <w:tcBorders>
              <w:top w:val="single" w:color="000000" w:sz="4" w:space="0"/>
              <w:left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r>
      <w:tr>
        <w:tblPrEx>
          <w:tblLayout w:type="fixed"/>
          <w:tblCellMar>
            <w:top w:w="15" w:type="dxa"/>
            <w:left w:w="15" w:type="dxa"/>
            <w:bottom w:w="15" w:type="dxa"/>
            <w:right w:w="15" w:type="dxa"/>
          </w:tblCellMar>
        </w:tblPrEx>
        <w:trPr>
          <w:cantSplit/>
          <w:trHeight w:val="707" w:hRule="atLeast"/>
        </w:trPr>
        <w:tc>
          <w:tcPr>
            <w:tcW w:w="1195" w:type="dxa"/>
            <w:vMerge w:val="continue"/>
            <w:tcBorders>
              <w:left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c>
          <w:tcPr>
            <w:tcW w:w="795" w:type="dxa"/>
            <w:tcBorders>
              <w:top w:val="single" w:color="000000" w:sz="4" w:space="0"/>
              <w:left w:val="single" w:color="000000" w:sz="4" w:space="0"/>
              <w:bottom w:val="single" w:color="auto"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26</w:t>
            </w:r>
          </w:p>
        </w:tc>
        <w:tc>
          <w:tcPr>
            <w:tcW w:w="810" w:type="dxa"/>
            <w:tcBorders>
              <w:top w:val="single" w:color="000000" w:sz="4" w:space="0"/>
              <w:left w:val="single" w:color="000000" w:sz="4" w:space="0"/>
              <w:bottom w:val="single" w:color="auto"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行政</w:t>
            </w:r>
          </w:p>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许可</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公路工程初步设计审批</w:t>
            </w:r>
          </w:p>
        </w:tc>
        <w:tc>
          <w:tcPr>
            <w:tcW w:w="1305" w:type="dxa"/>
            <w:tcBorders>
              <w:top w:val="single" w:color="000000" w:sz="4" w:space="0"/>
              <w:left w:val="single" w:color="000000" w:sz="4" w:space="0"/>
              <w:bottom w:val="single" w:color="auto"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115035</w:t>
            </w:r>
          </w:p>
        </w:tc>
        <w:tc>
          <w:tcPr>
            <w:tcW w:w="4710" w:type="dxa"/>
            <w:vMerge w:val="restart"/>
            <w:tcBorders>
              <w:top w:val="single" w:color="000000" w:sz="4" w:space="0"/>
              <w:left w:val="single" w:color="000000" w:sz="4" w:space="0"/>
              <w:right w:val="single" w:color="000000" w:sz="4" w:space="0"/>
            </w:tcBorders>
            <w:vAlign w:val="center"/>
          </w:tcPr>
          <w:p>
            <w:pPr>
              <w:widowControl/>
              <w:spacing w:line="260" w:lineRule="exact"/>
              <w:jc w:val="left"/>
              <w:rPr>
                <w:rFonts w:hint="eastAsia" w:ascii="宋体" w:hAnsi="宋体" w:cs="宋体"/>
                <w:color w:val="000000"/>
                <w:szCs w:val="22"/>
              </w:rPr>
            </w:pPr>
            <w:r>
              <w:rPr>
                <w:rFonts w:hint="eastAsia" w:ascii="宋体" w:hAnsi="宋体" w:cs="宋体"/>
                <w:color w:val="000000"/>
                <w:szCs w:val="22"/>
              </w:rPr>
              <w:t>1.《建设工程勘察设计管理条例》（2000年国务院令第293号）第二十六、二十八、三十三条。2.《公路建设监督管理办法》（2006年交通部令第6号）第八条。3.《港口建设管理规定》（2007年交通部令第5号）第十八条。4.《航道建设管理规定》（2007年交通部令第3号）第三条。</w:t>
            </w:r>
          </w:p>
        </w:tc>
        <w:tc>
          <w:tcPr>
            <w:tcW w:w="2100" w:type="dxa"/>
            <w:vMerge w:val="restart"/>
            <w:tcBorders>
              <w:top w:val="single" w:color="000000" w:sz="4" w:space="0"/>
              <w:left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机关、事业单位、企业</w:t>
            </w:r>
          </w:p>
        </w:tc>
        <w:tc>
          <w:tcPr>
            <w:tcW w:w="1260" w:type="dxa"/>
            <w:vMerge w:val="restart"/>
            <w:tcBorders>
              <w:top w:val="single" w:color="000000" w:sz="4" w:space="0"/>
              <w:left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r>
      <w:tr>
        <w:tblPrEx>
          <w:tblLayout w:type="fixed"/>
          <w:tblCellMar>
            <w:top w:w="15" w:type="dxa"/>
            <w:left w:w="15" w:type="dxa"/>
            <w:bottom w:w="15" w:type="dxa"/>
            <w:right w:w="15" w:type="dxa"/>
          </w:tblCellMar>
        </w:tblPrEx>
        <w:trPr>
          <w:cantSplit/>
          <w:trHeight w:val="706" w:hRule="atLeast"/>
        </w:trPr>
        <w:tc>
          <w:tcPr>
            <w:tcW w:w="1195" w:type="dxa"/>
            <w:vMerge w:val="continue"/>
            <w:tcBorders>
              <w:left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c>
          <w:tcPr>
            <w:tcW w:w="795" w:type="dxa"/>
            <w:tcBorders>
              <w:top w:val="single" w:color="auto"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27</w:t>
            </w:r>
          </w:p>
        </w:tc>
        <w:tc>
          <w:tcPr>
            <w:tcW w:w="810" w:type="dxa"/>
            <w:tcBorders>
              <w:top w:val="single" w:color="auto"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行政</w:t>
            </w:r>
          </w:p>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许可</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水运工程初步设计审批</w:t>
            </w:r>
          </w:p>
        </w:tc>
        <w:tc>
          <w:tcPr>
            <w:tcW w:w="1305" w:type="dxa"/>
            <w:tcBorders>
              <w:top w:val="single" w:color="auto"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115035</w:t>
            </w:r>
          </w:p>
        </w:tc>
        <w:tc>
          <w:tcPr>
            <w:tcW w:w="4710" w:type="dxa"/>
            <w:vMerge w:val="continue"/>
            <w:tcBorders>
              <w:left w:val="single" w:color="000000" w:sz="4" w:space="0"/>
              <w:bottom w:val="single" w:color="000000" w:sz="4" w:space="0"/>
              <w:right w:val="single" w:color="000000" w:sz="4" w:space="0"/>
            </w:tcBorders>
            <w:vAlign w:val="center"/>
          </w:tcPr>
          <w:p>
            <w:pPr>
              <w:widowControl/>
              <w:spacing w:line="260" w:lineRule="exact"/>
              <w:jc w:val="left"/>
              <w:rPr>
                <w:rFonts w:hint="eastAsia" w:ascii="宋体" w:hAnsi="宋体" w:cs="宋体"/>
                <w:color w:val="000000"/>
                <w:szCs w:val="22"/>
              </w:rPr>
            </w:pPr>
          </w:p>
        </w:tc>
        <w:tc>
          <w:tcPr>
            <w:tcW w:w="2100" w:type="dxa"/>
            <w:vMerge w:val="continue"/>
            <w:tcBorders>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c>
          <w:tcPr>
            <w:tcW w:w="1260" w:type="dxa"/>
            <w:vMerge w:val="continue"/>
            <w:tcBorders>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r>
      <w:tr>
        <w:tblPrEx>
          <w:tblLayout w:type="fixed"/>
          <w:tblCellMar>
            <w:top w:w="15" w:type="dxa"/>
            <w:left w:w="15" w:type="dxa"/>
            <w:bottom w:w="15" w:type="dxa"/>
            <w:right w:w="15" w:type="dxa"/>
          </w:tblCellMar>
        </w:tblPrEx>
        <w:trPr>
          <w:cantSplit/>
          <w:trHeight w:val="1966" w:hRule="atLeast"/>
        </w:trPr>
        <w:tc>
          <w:tcPr>
            <w:tcW w:w="1195" w:type="dxa"/>
            <w:vMerge w:val="continue"/>
            <w:tcBorders>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28</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行政</w:t>
            </w:r>
          </w:p>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许可</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公路工程施工图设计审查、审批</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115036</w:t>
            </w:r>
          </w:p>
        </w:tc>
        <w:tc>
          <w:tcPr>
            <w:tcW w:w="47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hint="eastAsia" w:ascii="宋体" w:hAnsi="宋体" w:cs="宋体"/>
                <w:color w:val="000000"/>
                <w:szCs w:val="22"/>
              </w:rPr>
            </w:pPr>
            <w:r>
              <w:rPr>
                <w:rFonts w:hint="eastAsia" w:ascii="宋体" w:hAnsi="宋体" w:cs="宋体"/>
                <w:color w:val="000000"/>
                <w:szCs w:val="22"/>
              </w:rPr>
              <w:t>1.《建设工程勘察设计管理条例》(2015年国务院令第662号修正)第三十三条。</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2.《港口工程建设管理规定》(交通运输部令2018年第2号)第十六、十七、十八条。</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3.《公路建设监督管理办法》(2006年交通部令第6号)第九条。</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4.《航道建设管理规定》(2007年交通部令第3号)第二十四条。</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5.《建设工程质量管理条例》(2000年国务院令第279号)第十一条。</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6.《中华人民共和国航道法》（2016年修正）()第十条。</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7.《中华人民共和国航道管理条例》(2008年国务院令第545号)。</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8.《公路建设市场管理办法》(2015年交通运输部令第11号修正)第十八条。</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机关、事业单位、企业</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r>
      <w:tr>
        <w:tblPrEx>
          <w:tblLayout w:type="fixed"/>
          <w:tblCellMar>
            <w:top w:w="15" w:type="dxa"/>
            <w:left w:w="15" w:type="dxa"/>
            <w:bottom w:w="15" w:type="dxa"/>
            <w:right w:w="15" w:type="dxa"/>
          </w:tblCellMar>
        </w:tblPrEx>
        <w:trPr>
          <w:cantSplit/>
          <w:trHeight w:val="1966" w:hRule="atLeast"/>
        </w:trPr>
        <w:tc>
          <w:tcPr>
            <w:tcW w:w="119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湛江市交通运输局</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29</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行政</w:t>
            </w:r>
          </w:p>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许可</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水路工程施工图设计审批</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115036</w:t>
            </w:r>
          </w:p>
        </w:tc>
        <w:tc>
          <w:tcPr>
            <w:tcW w:w="47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hint="eastAsia" w:ascii="宋体" w:hAnsi="宋体" w:cs="宋体"/>
                <w:color w:val="000000"/>
                <w:szCs w:val="22"/>
              </w:rPr>
            </w:pPr>
            <w:r>
              <w:rPr>
                <w:rFonts w:hint="eastAsia" w:ascii="宋体" w:hAnsi="宋体" w:cs="宋体"/>
                <w:color w:val="000000"/>
                <w:szCs w:val="22"/>
              </w:rPr>
              <w:t>1.《建设工程勘察设计管理条例》(2015年国务院令第662号修正)第三十三条。</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2.《港口工程建设管理规定》(交通运输部令2018年第2号)第十六、十七、十八条。</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3.《公路建设监督管理办法》(2006年交通部令第6号)第九条。</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4.《航道建设管理规定》(2007年交通部令第3号)第二十四条。</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5.《建设工程质量管理条例》(2000年国务院令第279号)第十一条。</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6.《中华人民共和国航道法》（2016年修正）()第十条。</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7.《中华人民共和国航道管理条例》(2008年国务院令第545号)。</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8.《公路建设市场管理办法》(2015年交通运输部令第11号修正)第十八条。</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机关、事业单位、企业</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r>
      <w:tr>
        <w:tblPrEx>
          <w:tblLayout w:type="fixed"/>
          <w:tblCellMar>
            <w:top w:w="15" w:type="dxa"/>
            <w:left w:w="15" w:type="dxa"/>
            <w:bottom w:w="15" w:type="dxa"/>
            <w:right w:w="15" w:type="dxa"/>
          </w:tblCellMar>
        </w:tblPrEx>
        <w:trPr>
          <w:cantSplit/>
          <w:trHeight w:val="1966" w:hRule="atLeast"/>
        </w:trPr>
        <w:tc>
          <w:tcPr>
            <w:tcW w:w="119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湛江市交通运输局</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30</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行政</w:t>
            </w:r>
          </w:p>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许可</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水运工程建设项目竣工验收</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115037</w:t>
            </w:r>
          </w:p>
        </w:tc>
        <w:tc>
          <w:tcPr>
            <w:tcW w:w="47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hint="eastAsia" w:ascii="宋体" w:hAnsi="宋体" w:cs="宋体"/>
                <w:color w:val="000000"/>
                <w:szCs w:val="22"/>
              </w:rPr>
            </w:pPr>
            <w:r>
              <w:rPr>
                <w:rFonts w:hint="eastAsia" w:ascii="宋体" w:hAnsi="宋体" w:cs="宋体"/>
                <w:color w:val="000000"/>
                <w:szCs w:val="22"/>
              </w:rPr>
              <w:t>1.《港口工程建设管理规定》(交通运输部令2018年第2号)第四十四、四十五、四十七条。</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2.《航道工程竣工验收管理办法》(2014年交通运输部令第13号修正)第五条。</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3.《中华人民共和国港口法》（2015年修正）()第十九条。</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4.《公路工程竣（交）工验收办法》（2004年交通部令第3号）()第三、六、十七条。</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5.《广东省第一批扩大县级政府管理权限事项目录》(2005年粤府令第98号)。</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6.《公路建设监督管理办法》(2006年交通部令第6号)第十一条。</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7.《中华人民共和国公路法》（2017年修正）(第三十三条)。</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8.《中华人民共和国航道法》（2016年修正）()第十三条。</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机关、事业单位、企业</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r>
      <w:tr>
        <w:tblPrEx>
          <w:tblLayout w:type="fixed"/>
          <w:tblCellMar>
            <w:top w:w="15" w:type="dxa"/>
            <w:left w:w="15" w:type="dxa"/>
            <w:bottom w:w="15" w:type="dxa"/>
            <w:right w:w="15" w:type="dxa"/>
          </w:tblCellMar>
        </w:tblPrEx>
        <w:trPr>
          <w:cantSplit/>
          <w:trHeight w:val="1966" w:hRule="atLeast"/>
        </w:trPr>
        <w:tc>
          <w:tcPr>
            <w:tcW w:w="119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湛江市交通运输局</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31</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行政</w:t>
            </w:r>
          </w:p>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许可</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公路工程建设项目竣工验收</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115037</w:t>
            </w:r>
          </w:p>
        </w:tc>
        <w:tc>
          <w:tcPr>
            <w:tcW w:w="47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hint="eastAsia" w:ascii="宋体" w:hAnsi="宋体" w:cs="宋体"/>
                <w:color w:val="000000"/>
                <w:szCs w:val="22"/>
              </w:rPr>
            </w:pPr>
            <w:r>
              <w:rPr>
                <w:rFonts w:hint="eastAsia" w:ascii="宋体" w:hAnsi="宋体" w:cs="宋体"/>
                <w:color w:val="000000"/>
                <w:szCs w:val="22"/>
              </w:rPr>
              <w:t>1.《港口工程建设管理规定》(交通运输部令2018年第2号)第四十四、四十五、四十七条。</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2.《航道工程竣工验收管理办法》(2014年交通运输部令第13号修正)第五条。</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3.《中华人民共和国港口法》（2015年修正）()第十九条。</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4.《公路工程竣（交）工验收办法》（2004年交通部令第3号）()第三、六、十七条。</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5.《广东省第一批扩大县级政府管理权限事项目录》(2005年粤府令第98号)。</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6.《公路建设监督管理办法》(2006年交通部令第6号)第十一条。</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7.《中华人民共和国公路法》（2017年修正）(第三十三条)。</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8.《中华人民共和国航道法》（2016年修正）()第十三条。</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机关、事业单位、企业</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r>
      <w:tr>
        <w:tblPrEx>
          <w:tblLayout w:type="fixed"/>
          <w:tblCellMar>
            <w:top w:w="15" w:type="dxa"/>
            <w:left w:w="15" w:type="dxa"/>
            <w:bottom w:w="15" w:type="dxa"/>
            <w:right w:w="15" w:type="dxa"/>
          </w:tblCellMar>
        </w:tblPrEx>
        <w:trPr>
          <w:cantSplit/>
          <w:trHeight w:val="1966" w:hRule="atLeast"/>
        </w:trPr>
        <w:tc>
          <w:tcPr>
            <w:tcW w:w="119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湛江市交通运输局</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32</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行政</w:t>
            </w:r>
          </w:p>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许可</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经营国内船舶管理业务审批</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115041</w:t>
            </w:r>
          </w:p>
        </w:tc>
        <w:tc>
          <w:tcPr>
            <w:tcW w:w="47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hint="eastAsia" w:ascii="宋体" w:hAnsi="宋体" w:cs="宋体"/>
                <w:color w:val="000000"/>
                <w:szCs w:val="22"/>
              </w:rPr>
            </w:pPr>
            <w:r>
              <w:rPr>
                <w:rFonts w:hint="eastAsia" w:ascii="宋体" w:hAnsi="宋体" w:cs="宋体"/>
                <w:color w:val="000000"/>
                <w:szCs w:val="22"/>
              </w:rPr>
              <w:t>1.《国内水路运输管理条例》(2017年国务院令第676号修改)第二十六、二十七条。</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2.《国内水路运输辅助业管理规定》(2014年交通运输部令第3号)第七、八条。</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eastAsia="宋体" w:cs="宋体"/>
                <w:color w:val="000000"/>
                <w:szCs w:val="22"/>
                <w:lang w:eastAsia="zh-CN"/>
              </w:rPr>
            </w:pPr>
            <w:r>
              <w:rPr>
                <w:rFonts w:hint="eastAsia" w:ascii="宋体" w:hAnsi="宋体" w:cs="宋体"/>
                <w:color w:val="000000"/>
                <w:szCs w:val="22"/>
                <w:lang w:eastAsia="zh-CN"/>
              </w:rPr>
              <w:t>企业</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r>
      <w:tr>
        <w:tblPrEx>
          <w:tblLayout w:type="fixed"/>
          <w:tblCellMar>
            <w:top w:w="15" w:type="dxa"/>
            <w:left w:w="15" w:type="dxa"/>
            <w:bottom w:w="15" w:type="dxa"/>
            <w:right w:w="15" w:type="dxa"/>
          </w:tblCellMar>
        </w:tblPrEx>
        <w:trPr>
          <w:cantSplit/>
          <w:trHeight w:val="1966" w:hRule="atLeast"/>
        </w:trPr>
        <w:tc>
          <w:tcPr>
            <w:tcW w:w="119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湛江市交通运输局</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33</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行政</w:t>
            </w:r>
          </w:p>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许可</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直通港澳道路运输企业经营许可证及车辆道路运输证核准</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115043</w:t>
            </w:r>
          </w:p>
        </w:tc>
        <w:tc>
          <w:tcPr>
            <w:tcW w:w="47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hint="eastAsia" w:ascii="宋体" w:hAnsi="宋体" w:cs="宋体"/>
                <w:color w:val="000000"/>
                <w:szCs w:val="22"/>
              </w:rPr>
            </w:pPr>
            <w:r>
              <w:rPr>
                <w:rFonts w:hint="eastAsia" w:ascii="宋体" w:hAnsi="宋体" w:cs="宋体"/>
                <w:color w:val="000000"/>
                <w:szCs w:val="22"/>
              </w:rPr>
              <w:t>1.《广东省人民政府关于将一批省级行政职权事项调整由广州、深圳市实施的决定》(广东省人民政府令第241号)。</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2.《道路危险货物运输管理规定》(2016年第36号)第八至二十条。</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3.《广东省道路运输条例》（2013年）()第二十三、二十四、二十五条。</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4.《直通港澳运输车辆管理办法》(粤府办〔2002〕39号)第六条。</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5.《道路货物运输及站场管理规定》(2016年交通运输部令第35号)第六十六、六十七条。</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6.《中华人民共和国道路运输条例》(1.《中华人民共和国道路运输条例》（2016年国务院令第666号修改）第七十七、七十八条。)第七十七、七十八条。</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7.《广东省人民政府关于将一批省级行政职权事项调整由各地级以上市实施的决定》(粤府令第248号)。</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eastAsia="宋体" w:cs="宋体"/>
                <w:color w:val="000000"/>
                <w:szCs w:val="22"/>
                <w:lang w:eastAsia="zh-CN"/>
              </w:rPr>
            </w:pPr>
            <w:r>
              <w:rPr>
                <w:rFonts w:hint="eastAsia" w:ascii="宋体" w:hAnsi="宋体" w:cs="宋体"/>
                <w:color w:val="000000"/>
                <w:szCs w:val="22"/>
                <w:lang w:eastAsia="zh-CN"/>
              </w:rPr>
              <w:t>企业</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r>
      <w:tr>
        <w:tblPrEx>
          <w:tblLayout w:type="fixed"/>
          <w:tblCellMar>
            <w:top w:w="15" w:type="dxa"/>
            <w:left w:w="15" w:type="dxa"/>
            <w:bottom w:w="15" w:type="dxa"/>
            <w:right w:w="15" w:type="dxa"/>
          </w:tblCellMar>
        </w:tblPrEx>
        <w:trPr>
          <w:cantSplit/>
          <w:trHeight w:val="1966" w:hRule="atLeast"/>
        </w:trPr>
        <w:tc>
          <w:tcPr>
            <w:tcW w:w="119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湛江市交通运输局</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34</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行政</w:t>
            </w:r>
          </w:p>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许可</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省内新增客船、危险品船运力审批</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115048</w:t>
            </w:r>
          </w:p>
        </w:tc>
        <w:tc>
          <w:tcPr>
            <w:tcW w:w="47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hint="eastAsia" w:ascii="宋体" w:hAnsi="宋体" w:cs="宋体"/>
                <w:color w:val="000000"/>
                <w:szCs w:val="22"/>
              </w:rPr>
            </w:pPr>
            <w:r>
              <w:rPr>
                <w:rFonts w:hint="eastAsia" w:ascii="宋体" w:hAnsi="宋体" w:cs="宋体"/>
                <w:color w:val="000000"/>
                <w:szCs w:val="22"/>
              </w:rPr>
              <w:t>1.《广东省人民政府2012年行政审批制度改革事项目录（第一批）》(2012年粤府令第169号)下放实施第40项。</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2.《国内水路运输管理条例》(2017年国务院令第676号修改)第八条。</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3.《国务院对确需保留的行政审批项目设定行政许可的决定》(2004年国务院令第412号)第135项。</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eastAsia="宋体" w:cs="宋体"/>
                <w:color w:val="000000"/>
                <w:szCs w:val="22"/>
                <w:lang w:eastAsia="zh-CN"/>
              </w:rPr>
            </w:pPr>
            <w:r>
              <w:rPr>
                <w:rFonts w:hint="eastAsia" w:ascii="宋体" w:hAnsi="宋体" w:cs="宋体"/>
                <w:color w:val="000000"/>
                <w:szCs w:val="22"/>
                <w:lang w:eastAsia="zh-CN"/>
              </w:rPr>
              <w:t>企业</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r>
      <w:tr>
        <w:tblPrEx>
          <w:tblLayout w:type="fixed"/>
          <w:tblCellMar>
            <w:top w:w="15" w:type="dxa"/>
            <w:left w:w="15" w:type="dxa"/>
            <w:bottom w:w="15" w:type="dxa"/>
            <w:right w:w="15" w:type="dxa"/>
          </w:tblCellMar>
        </w:tblPrEx>
        <w:trPr>
          <w:cantSplit/>
          <w:trHeight w:val="1966" w:hRule="atLeast"/>
        </w:trPr>
        <w:tc>
          <w:tcPr>
            <w:tcW w:w="119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湛江市交通运输局</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35</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行政</w:t>
            </w:r>
          </w:p>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许可</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公路养护作业单位资质审批</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115051</w:t>
            </w:r>
          </w:p>
        </w:tc>
        <w:tc>
          <w:tcPr>
            <w:tcW w:w="47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hint="eastAsia" w:ascii="宋体" w:hAnsi="宋体" w:cs="宋体"/>
                <w:color w:val="000000"/>
                <w:szCs w:val="22"/>
              </w:rPr>
            </w:pPr>
            <w:r>
              <w:rPr>
                <w:rFonts w:hint="eastAsia" w:ascii="宋体" w:hAnsi="宋体" w:cs="宋体"/>
                <w:color w:val="000000"/>
                <w:szCs w:val="22"/>
              </w:rPr>
              <w:t>1.《广东省交通运输厅关于公路养护工程市场准入的实施细则》(粤交[2018]7号)。</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2.《公路养护工程市场准入暂行规定》(交公路发〔2003〕89号)第二十二条。</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3.《交通运输部办公厅关于开展公路养护作业单位资质管理相关工作的复函》(交办公路函〔2018〕536号)。</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4.《公路安全保护条例》(国务院令第593号)第四十六条。</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eastAsia="宋体" w:cs="宋体"/>
                <w:color w:val="000000"/>
                <w:szCs w:val="22"/>
                <w:lang w:eastAsia="zh-CN"/>
              </w:rPr>
            </w:pPr>
            <w:r>
              <w:rPr>
                <w:rFonts w:hint="eastAsia" w:ascii="宋体" w:hAnsi="宋体" w:cs="宋体"/>
                <w:color w:val="000000"/>
                <w:szCs w:val="22"/>
                <w:lang w:eastAsia="zh-CN"/>
              </w:rPr>
              <w:t>企业</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r>
      <w:tr>
        <w:tblPrEx>
          <w:tblLayout w:type="fixed"/>
          <w:tblCellMar>
            <w:top w:w="15" w:type="dxa"/>
            <w:left w:w="15" w:type="dxa"/>
            <w:bottom w:w="15" w:type="dxa"/>
            <w:right w:w="15" w:type="dxa"/>
          </w:tblCellMar>
        </w:tblPrEx>
        <w:trPr>
          <w:cantSplit/>
          <w:trHeight w:val="1966" w:hRule="atLeast"/>
        </w:trPr>
        <w:tc>
          <w:tcPr>
            <w:tcW w:w="119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湛江市交通运输局</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36</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行政</w:t>
            </w:r>
          </w:p>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许可</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公共汽电车线路运营许可</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115029</w:t>
            </w:r>
          </w:p>
        </w:tc>
        <w:tc>
          <w:tcPr>
            <w:tcW w:w="47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hint="eastAsia" w:ascii="宋体" w:hAnsi="宋体" w:cs="宋体"/>
                <w:color w:val="000000"/>
                <w:szCs w:val="22"/>
              </w:rPr>
            </w:pPr>
            <w:r>
              <w:rPr>
                <w:rFonts w:hint="eastAsia" w:ascii="宋体" w:hAnsi="宋体" w:cs="宋体"/>
                <w:color w:val="000000"/>
                <w:szCs w:val="22"/>
              </w:rPr>
              <w:t>1.《城市公共汽车和电车客运管理规定》(2017年交通运输部令第5号)第十四条。</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2.《中华人民共和国行政许可法》（2003年）(第十一、十二条)。</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eastAsia="宋体" w:cs="宋体"/>
                <w:color w:val="000000"/>
                <w:szCs w:val="22"/>
                <w:lang w:eastAsia="zh-CN"/>
              </w:rPr>
            </w:pPr>
            <w:r>
              <w:rPr>
                <w:rFonts w:hint="eastAsia" w:ascii="宋体" w:hAnsi="宋体" w:cs="宋体"/>
                <w:color w:val="000000"/>
                <w:szCs w:val="22"/>
                <w:lang w:eastAsia="zh-CN"/>
              </w:rPr>
              <w:t>企业</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r>
      <w:tr>
        <w:tblPrEx>
          <w:tblLayout w:type="fixed"/>
          <w:tblCellMar>
            <w:top w:w="15" w:type="dxa"/>
            <w:left w:w="15" w:type="dxa"/>
            <w:bottom w:w="15" w:type="dxa"/>
            <w:right w:w="15" w:type="dxa"/>
          </w:tblCellMar>
        </w:tblPrEx>
        <w:trPr>
          <w:cantSplit/>
          <w:trHeight w:val="1966" w:hRule="atLeast"/>
        </w:trPr>
        <w:tc>
          <w:tcPr>
            <w:tcW w:w="119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湛江市交通运输局</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37</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行政</w:t>
            </w:r>
          </w:p>
          <w:p>
            <w:pPr>
              <w:widowControl/>
              <w:spacing w:line="260" w:lineRule="exact"/>
              <w:jc w:val="center"/>
              <w:rPr>
                <w:rFonts w:hint="eastAsia" w:ascii="宋体" w:hAnsi="宋体" w:cs="宋体"/>
                <w:color w:val="000000"/>
                <w:szCs w:val="22"/>
              </w:rPr>
            </w:pPr>
            <w:r>
              <w:rPr>
                <w:rFonts w:hint="eastAsia" w:ascii="宋体" w:hAnsi="宋体" w:cs="宋体"/>
                <w:color w:val="000000"/>
                <w:szCs w:val="22"/>
              </w:rPr>
              <w:t>许可</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省道路面改造工程建设方案审批</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r>
              <w:rPr>
                <w:rFonts w:hint="eastAsia" w:ascii="宋体" w:hAnsi="宋体" w:cs="宋体"/>
                <w:color w:val="000000"/>
                <w:szCs w:val="22"/>
              </w:rPr>
              <w:t>115046</w:t>
            </w:r>
          </w:p>
        </w:tc>
        <w:tc>
          <w:tcPr>
            <w:tcW w:w="47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hint="eastAsia" w:ascii="宋体" w:hAnsi="宋体" w:cs="宋体"/>
                <w:color w:val="000000"/>
                <w:szCs w:val="22"/>
              </w:rPr>
            </w:pPr>
            <w:r>
              <w:rPr>
                <w:rFonts w:hint="eastAsia" w:ascii="宋体" w:hAnsi="宋体" w:cs="宋体"/>
                <w:color w:val="000000"/>
                <w:szCs w:val="22"/>
              </w:rPr>
              <w:t>1.《广东省交通运输厅关于修订政府投资普通公路和水运项目报批流程和分级审批权限的通知》（粤交规〔2018〕128号）(第二条)</w:t>
            </w:r>
          </w:p>
          <w:p>
            <w:pPr>
              <w:widowControl/>
              <w:spacing w:line="260" w:lineRule="exact"/>
              <w:jc w:val="left"/>
              <w:rPr>
                <w:rFonts w:hint="eastAsia" w:ascii="宋体" w:hAnsi="宋体" w:cs="宋体"/>
                <w:color w:val="000000"/>
                <w:szCs w:val="22"/>
              </w:rPr>
            </w:pPr>
            <w:r>
              <w:rPr>
                <w:rFonts w:hint="eastAsia" w:ascii="宋体" w:hAnsi="宋体" w:cs="宋体"/>
                <w:color w:val="000000"/>
                <w:szCs w:val="22"/>
              </w:rPr>
              <w:t>2.《广东省发改委关于进一步简化政府投资公路和水运项目审批程序的通知》（粤发改交通函〔2014〕2414号）(第二条)</w:t>
            </w:r>
          </w:p>
          <w:p>
            <w:pPr>
              <w:widowControl/>
              <w:spacing w:line="260" w:lineRule="exact"/>
              <w:jc w:val="left"/>
              <w:rPr>
                <w:rFonts w:hint="eastAsia" w:ascii="宋体" w:hAnsi="宋体" w:cs="宋体"/>
                <w:color w:val="000000"/>
                <w:szCs w:val="22"/>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eastAsia="宋体" w:cs="宋体"/>
                <w:color w:val="000000"/>
                <w:szCs w:val="22"/>
                <w:lang w:eastAsia="zh-CN"/>
              </w:rPr>
            </w:pPr>
            <w:r>
              <w:rPr>
                <w:rFonts w:hint="eastAsia" w:ascii="宋体" w:hAnsi="宋体" w:cs="宋体"/>
                <w:color w:val="000000"/>
                <w:szCs w:val="22"/>
                <w:lang w:eastAsia="zh-CN"/>
              </w:rPr>
              <w:t>企业</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r>
      <w:tr>
        <w:tblPrEx>
          <w:tblLayout w:type="fixed"/>
          <w:tblCellMar>
            <w:top w:w="15" w:type="dxa"/>
            <w:left w:w="15" w:type="dxa"/>
            <w:bottom w:w="15" w:type="dxa"/>
            <w:right w:w="15" w:type="dxa"/>
          </w:tblCellMar>
        </w:tblPrEx>
        <w:trPr>
          <w:cantSplit/>
          <w:trHeight w:val="1966" w:hRule="atLeast"/>
        </w:trPr>
        <w:tc>
          <w:tcPr>
            <w:tcW w:w="119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c>
          <w:tcPr>
            <w:tcW w:w="47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hint="eastAsia" w:ascii="宋体" w:hAnsi="宋体" w:cs="宋体"/>
                <w:color w:val="000000"/>
                <w:szCs w:val="22"/>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color w:val="000000"/>
                <w:szCs w:val="22"/>
              </w:rPr>
            </w:pPr>
          </w:p>
        </w:tc>
      </w:tr>
    </w:tbl>
    <w:p>
      <w:pPr>
        <w:widowControl/>
        <w:spacing w:line="260" w:lineRule="exact"/>
        <w:jc w:val="center"/>
        <w:rPr>
          <w:rFonts w:hint="eastAsia" w:ascii="宋体" w:hAnsi="宋体" w:cs="宋体"/>
          <w:color w:val="000000"/>
          <w:szCs w:val="22"/>
        </w:rPr>
      </w:pPr>
    </w:p>
    <w:sectPr>
      <w:headerReference r:id="rId3" w:type="default"/>
      <w:footerReference r:id="rId4" w:type="default"/>
      <w:pgSz w:w="16838" w:h="11906" w:orient="landscape"/>
      <w:pgMar w:top="1134" w:right="1134" w:bottom="1134" w:left="1134" w:header="851" w:footer="850" w:gutter="0"/>
      <w:pgNumType w:fmt="numberInDash"/>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222250" cy="3067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222250" cy="306705"/>
                      </a:xfrm>
                      <a:prstGeom prst="rect">
                        <a:avLst/>
                      </a:prstGeom>
                      <a:noFill/>
                      <a:ln w="9525">
                        <a:noFill/>
                      </a:ln>
                    </wps:spPr>
                    <wps:txbx>
                      <w:txbxContent>
                        <w:p>
                          <w:pPr>
                            <w:snapToGrid w:val="0"/>
                            <w:rPr>
                              <w:sz w:val="18"/>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t>- 9 -</w:t>
                          </w:r>
                          <w:r>
                            <w:rPr>
                              <w:rFonts w:hint="eastAsia" w:ascii="仿宋_GB2312" w:hAnsi="仿宋_GB2312" w:eastAsia="仿宋_GB2312" w:cs="仿宋_GB2312"/>
                              <w:sz w:val="24"/>
                              <w:szCs w:val="24"/>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24.15pt;width:17.5pt;mso-position-horizontal:outside;mso-position-horizontal-relative:margin;mso-wrap-style:none;z-index:251660288;mso-width-relative:page;mso-height-relative:page;" filled="f" stroked="f" coordsize="21600,21600" o:gfxdata="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XXO+adEAAAADAQAADwAAAAAAAAABACAAAAAiAAAAZHJzL2Rvd25yZXYueG1sUEsBAhQAFAAAAAgA&#10;h07iQCQdhcS6AQAAUgMAAA4AAAAAAAAAAQAgAAAAIAEAAGRycy9lMm9Eb2MueG1sUEsFBgAAAAAG&#10;AAYAWQEAAEwFAAAAAA==&#10;">
              <v:fill on="f" focussize="0,0"/>
              <v:stroke on="f"/>
              <v:imagedata o:title=""/>
              <o:lock v:ext="edit" aspectratio="f"/>
              <v:textbox inset="0mm,0mm,0mm,0mm" style="mso-fit-shape-to-text:t;">
                <w:txbxContent>
                  <w:p>
                    <w:pPr>
                      <w:snapToGrid w:val="0"/>
                      <w:rPr>
                        <w:sz w:val="18"/>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t>- 9 -</w:t>
                    </w:r>
                    <w:r>
                      <w:rPr>
                        <w:rFonts w:hint="eastAsia" w:ascii="仿宋_GB2312" w:hAnsi="仿宋_GB2312" w:eastAsia="仿宋_GB2312" w:cs="仿宋_GB2312"/>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4958"/>
      </w:tabs>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838"/>
    <w:rsid w:val="0000095C"/>
    <w:rsid w:val="000E4F35"/>
    <w:rsid w:val="002070F6"/>
    <w:rsid w:val="002C6610"/>
    <w:rsid w:val="00426221"/>
    <w:rsid w:val="006156C9"/>
    <w:rsid w:val="00636900"/>
    <w:rsid w:val="00684048"/>
    <w:rsid w:val="00710506"/>
    <w:rsid w:val="007E6A03"/>
    <w:rsid w:val="0081286D"/>
    <w:rsid w:val="0084012A"/>
    <w:rsid w:val="00A07EB4"/>
    <w:rsid w:val="00A76207"/>
    <w:rsid w:val="00A86080"/>
    <w:rsid w:val="00D85996"/>
    <w:rsid w:val="00DC57EF"/>
    <w:rsid w:val="00DE620A"/>
    <w:rsid w:val="00E22838"/>
    <w:rsid w:val="00E817F3"/>
    <w:rsid w:val="00F36E2B"/>
    <w:rsid w:val="00F54B9E"/>
    <w:rsid w:val="00F62A61"/>
    <w:rsid w:val="2D4B761E"/>
    <w:rsid w:val="2DD1498A"/>
    <w:rsid w:val="5B386E57"/>
    <w:rsid w:val="62B356AA"/>
    <w:rsid w:val="67896186"/>
    <w:rsid w:val="7FD22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unhideWhenUsed/>
    <w:uiPriority w:val="0"/>
    <w:pPr>
      <w:tabs>
        <w:tab w:val="center" w:pos="4153"/>
        <w:tab w:val="right" w:pos="8306"/>
      </w:tabs>
      <w:snapToGrid w:val="0"/>
      <w:jc w:val="left"/>
    </w:pPr>
    <w:rPr>
      <w:sz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4"/>
    <w:link w:val="2"/>
    <w:uiPriority w:val="0"/>
    <w:rPr>
      <w:rFonts w:ascii="Times New Roman" w:hAnsi="Times New Roman" w:eastAsia="宋体" w:cs="Times New Roman"/>
      <w:sz w:val="18"/>
      <w:szCs w:val="20"/>
    </w:rPr>
  </w:style>
  <w:style w:type="character" w:customStyle="1" w:styleId="7">
    <w:name w:val="页眉 Char"/>
    <w:basedOn w:val="4"/>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1007</Words>
  <Characters>5741</Characters>
  <Lines>47</Lines>
  <Paragraphs>13</Paragraphs>
  <TotalTime>2</TotalTime>
  <ScaleCrop>false</ScaleCrop>
  <LinksUpToDate>false</LinksUpToDate>
  <CharactersWithSpaces>6735</CharactersWithSpaces>
  <Application>WPS Office_11.1.0.8306_F1E327BC-269C-435d-A152-05C5408002CA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2018-12-16T03:22:00Z</dcterms:created>
  <dc:creator>郑蔚</dc:creator>
  <cp:lastModifiedBy>郑蔚</cp:lastModifiedBy>
  <dcterms:modified xsi:type="dcterms:W3CDTF">2018-12-17T03:03:45Z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2052-11.1.0.8306</vt:lpwstr>
  </property>
</Properties>
</file>