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29" w:rsidRPr="00B71129" w:rsidRDefault="00B71129" w:rsidP="006D38BB">
      <w:pPr>
        <w:ind w:firstLineChars="450" w:firstLine="1355"/>
        <w:rPr>
          <w:rFonts w:ascii="仿宋" w:eastAsia="仿宋" w:hAnsi="仿宋" w:cs="Times New Roman"/>
          <w:b/>
          <w:sz w:val="30"/>
          <w:szCs w:val="30"/>
        </w:rPr>
      </w:pPr>
      <w:r w:rsidRPr="00B71129">
        <w:rPr>
          <w:rFonts w:ascii="仿宋" w:eastAsia="仿宋" w:hAnsi="仿宋" w:cs="Times New Roman" w:hint="eastAsia"/>
          <w:b/>
          <w:sz w:val="30"/>
          <w:szCs w:val="30"/>
        </w:rPr>
        <w:t>2017年部门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30"/>
          <w:szCs w:val="30"/>
        </w:rPr>
        <w:t>算收入支出增减情况说明</w:t>
      </w:r>
    </w:p>
    <w:p w:rsidR="00B71129" w:rsidRPr="00B71129" w:rsidRDefault="00B71129" w:rsidP="00B71129">
      <w:pPr>
        <w:ind w:firstLineChars="150" w:firstLine="422"/>
        <w:rPr>
          <w:rFonts w:ascii="仿宋" w:eastAsia="仿宋" w:hAnsi="仿宋" w:cs="Times New Roman"/>
          <w:b/>
          <w:sz w:val="28"/>
          <w:szCs w:val="28"/>
        </w:rPr>
      </w:pPr>
      <w:r w:rsidRPr="00B71129">
        <w:rPr>
          <w:rFonts w:ascii="仿宋" w:eastAsia="仿宋" w:hAnsi="仿宋" w:cs="Times New Roman" w:hint="eastAsia"/>
          <w:b/>
          <w:sz w:val="28"/>
          <w:szCs w:val="28"/>
        </w:rPr>
        <w:t>2017年我单位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算总收入250.61万元，其中财政拨款收入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算250.61万元，2016年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算总收入192.62万元，其中财政拨款收入192.62万元</w:t>
      </w:r>
      <w:r w:rsidR="006D38BB">
        <w:rPr>
          <w:rFonts w:ascii="仿宋" w:eastAsia="仿宋" w:hAnsi="仿宋" w:cs="Times New Roman" w:hint="eastAsia"/>
          <w:b/>
          <w:sz w:val="28"/>
          <w:szCs w:val="28"/>
        </w:rPr>
        <w:t>,2017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年总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 xml:space="preserve">算收入比2016 </w:t>
      </w:r>
      <w:r w:rsidR="006D38BB"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算总收入增加了57.99万元，增加了30﹪，增加原因是在职.离退休人员工资和津贴按规定的增加；2017年我单位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算总支出250.61万元，其中财政拨款支出250.61万元，2016年我单位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算总支出192.62万元，其中财政拨款支出192.62万元，2017</w:t>
      </w:r>
      <w:r w:rsidR="006D38BB">
        <w:rPr>
          <w:rFonts w:ascii="仿宋" w:eastAsia="仿宋" w:hAnsi="仿宋" w:cs="Times New Roman" w:hint="eastAsia"/>
          <w:b/>
          <w:sz w:val="28"/>
          <w:szCs w:val="28"/>
        </w:rPr>
        <w:t>年</w:t>
      </w:r>
      <w:bookmarkStart w:id="0" w:name="_GoBack"/>
      <w:bookmarkEnd w:id="0"/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</w:t>
      </w:r>
      <w:r w:rsidR="006D38BB" w:rsidRPr="00B71129">
        <w:rPr>
          <w:rFonts w:ascii="仿宋" w:eastAsia="仿宋" w:hAnsi="仿宋" w:cs="Times New Roman" w:hint="eastAsia"/>
          <w:b/>
          <w:sz w:val="28"/>
          <w:szCs w:val="28"/>
        </w:rPr>
        <w:t>总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支出比2016年</w:t>
      </w:r>
      <w:r w:rsidRPr="00B71129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B71129">
        <w:rPr>
          <w:rFonts w:ascii="仿宋" w:eastAsia="仿宋" w:hAnsi="仿宋" w:cs="Times New Roman" w:hint="eastAsia"/>
          <w:b/>
          <w:sz w:val="28"/>
          <w:szCs w:val="28"/>
        </w:rPr>
        <w:t>算总支出增加了57.99万元，增加了30﹪，增加原因是按政策规定增加的在职、离退人员工资和津贴。</w:t>
      </w:r>
    </w:p>
    <w:p w:rsidR="00B71129" w:rsidRDefault="00B71129" w:rsidP="006E1ECA">
      <w:pPr>
        <w:jc w:val="center"/>
      </w:pPr>
    </w:p>
    <w:sectPr w:rsidR="00B7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CA"/>
    <w:rsid w:val="0020094F"/>
    <w:rsid w:val="006D38BB"/>
    <w:rsid w:val="006E1ECA"/>
    <w:rsid w:val="00B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2017-10-27T07:25:00Z</dcterms:created>
  <dcterms:modified xsi:type="dcterms:W3CDTF">2017-10-27T07:37:00Z</dcterms:modified>
</cp:coreProperties>
</file>