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600" w:lineRule="exact"/>
        <w:jc w:val="both"/>
        <w:outlineLvl w:val="0"/>
        <w:rPr>
          <w:rFonts w:hint="eastAsia" w:ascii="Times New Roman" w:hAnsi="Times New Roman" w:eastAsia="仿宋_GB2312" w:cs="Times New Roman"/>
          <w:kern w:val="2"/>
          <w:sz w:val="32"/>
          <w:szCs w:val="32"/>
          <w:highlight w:val="none"/>
          <w:lang w:eastAsia="zh-CN"/>
        </w:rPr>
      </w:pPr>
      <w:bookmarkStart w:id="0" w:name="_GoBack"/>
      <w:r>
        <w:rPr>
          <w:rFonts w:hint="eastAsia" w:ascii="Times New Roman" w:hAnsi="Times New Roman" w:eastAsia="仿宋_GB2312" w:cs="Times New Roman"/>
          <w:kern w:val="2"/>
          <w:sz w:val="32"/>
          <w:szCs w:val="32"/>
          <w:highlight w:val="none"/>
        </w:rPr>
        <w:t>附件</w:t>
      </w:r>
      <w:r>
        <w:rPr>
          <w:rFonts w:hint="eastAsia" w:ascii="Times New Roman" w:hAnsi="Times New Roman" w:eastAsia="仿宋_GB2312" w:cs="Times New Roman"/>
          <w:kern w:val="2"/>
          <w:sz w:val="32"/>
          <w:szCs w:val="32"/>
          <w:highlight w:val="none"/>
          <w:lang w:val="en-US" w:eastAsia="zh-CN"/>
        </w:rPr>
        <w:t>3</w:t>
      </w:r>
    </w:p>
    <w:p>
      <w:pPr>
        <w:widowControl w:val="0"/>
        <w:snapToGrid w:val="0"/>
        <w:spacing w:after="0" w:line="660" w:lineRule="exact"/>
        <w:jc w:val="center"/>
        <w:outlineLvl w:val="0"/>
        <w:rPr>
          <w:rFonts w:ascii="方正小标宋简体" w:hAnsi="Times New Roman" w:eastAsia="方正小标宋简体" w:cs="Times New Roman"/>
          <w:kern w:val="2"/>
          <w:sz w:val="44"/>
          <w:szCs w:val="44"/>
          <w:highlight w:val="none"/>
        </w:rPr>
      </w:pPr>
    </w:p>
    <w:p>
      <w:pPr>
        <w:widowControl w:val="0"/>
        <w:spacing w:after="0" w:line="360" w:lineRule="auto"/>
        <w:jc w:val="center"/>
        <w:rPr>
          <w:rFonts w:ascii="宋体" w:hAnsi="宋体" w:eastAsia="宋体" w:cs="Times New Roman"/>
          <w:b/>
          <w:color w:val="000000"/>
          <w:kern w:val="2"/>
          <w:sz w:val="44"/>
          <w:szCs w:val="44"/>
          <w:highlight w:val="none"/>
        </w:rPr>
      </w:pPr>
      <w:r>
        <w:rPr>
          <w:rFonts w:hint="eastAsia" w:ascii="宋体" w:hAnsi="宋体" w:eastAsia="宋体" w:cs="Times New Roman"/>
          <w:b/>
          <w:color w:val="000000"/>
          <w:kern w:val="2"/>
          <w:sz w:val="44"/>
          <w:szCs w:val="44"/>
          <w:highlight w:val="none"/>
        </w:rPr>
        <w:t>湛江市</w:t>
      </w:r>
      <w:r>
        <w:rPr>
          <w:rFonts w:hint="eastAsia" w:ascii="宋体" w:hAnsi="宋体" w:eastAsia="宋体" w:cs="Times New Roman"/>
          <w:b/>
          <w:color w:val="000000"/>
          <w:kern w:val="2"/>
          <w:sz w:val="44"/>
          <w:szCs w:val="44"/>
          <w:highlight w:val="none"/>
          <w:lang w:eastAsia="zh-CN"/>
        </w:rPr>
        <w:t>区</w:t>
      </w:r>
      <w:r>
        <w:rPr>
          <w:rFonts w:hint="eastAsia" w:ascii="宋体" w:hAnsi="宋体" w:eastAsia="宋体" w:cs="Times New Roman"/>
          <w:b/>
          <w:color w:val="000000"/>
          <w:kern w:val="2"/>
          <w:sz w:val="44"/>
          <w:szCs w:val="44"/>
          <w:highlight w:val="none"/>
        </w:rPr>
        <w:t>国有农用地基准地价编制项目成果基本内容</w:t>
      </w:r>
    </w:p>
    <w:bookmarkEnd w:id="0"/>
    <w:p>
      <w:pPr>
        <w:widowControl w:val="0"/>
        <w:snapToGrid w:val="0"/>
        <w:spacing w:after="0" w:line="660" w:lineRule="exact"/>
        <w:jc w:val="center"/>
        <w:outlineLvl w:val="0"/>
        <w:rPr>
          <w:rFonts w:ascii="方正小标宋简体" w:hAnsi="Times New Roman" w:eastAsia="方正小标宋简体" w:cs="Times New Roman"/>
          <w:kern w:val="2"/>
          <w:sz w:val="44"/>
          <w:szCs w:val="44"/>
          <w:highlight w:val="none"/>
        </w:rPr>
      </w:pPr>
    </w:p>
    <w:p>
      <w:pPr>
        <w:widowControl w:val="0"/>
        <w:spacing w:after="0" w:line="240" w:lineRule="auto"/>
        <w:ind w:firstLine="640" w:firstLineChars="200"/>
        <w:jc w:val="both"/>
        <w:textAlignment w:val="center"/>
        <w:outlineLvl w:val="4"/>
        <w:rPr>
          <w:rFonts w:ascii="仿宋_GB2312" w:hAnsi="Times New Roman" w:eastAsia="仿宋_GB2312" w:cs="Times New Roman"/>
          <w:color w:val="000000"/>
          <w:kern w:val="2"/>
          <w:sz w:val="32"/>
          <w:szCs w:val="32"/>
          <w:highlight w:val="none"/>
        </w:rPr>
      </w:pPr>
      <w:r>
        <w:rPr>
          <w:rFonts w:hint="eastAsia" w:ascii="仿宋_GB2312" w:hAnsi="Times New Roman" w:eastAsia="仿宋_GB2312" w:cs="Times New Roman"/>
          <w:color w:val="000000"/>
          <w:kern w:val="2"/>
          <w:sz w:val="32"/>
          <w:szCs w:val="32"/>
          <w:highlight w:val="none"/>
        </w:rPr>
        <w:t>一、本次公布的国有农用地基准地价（以下简称基准地价）包括湛江市区所辖行政范围内的四个区，即赤坎区、霞山区、坡头区、麻章区的全部国有农用地及国有宜农未利用地</w:t>
      </w:r>
      <w:r>
        <w:rPr>
          <w:rFonts w:ascii="仿宋_GB2312" w:hAnsi="Times New Roman" w:eastAsia="仿宋_GB2312" w:cs="Times New Roman"/>
          <w:color w:val="000000"/>
          <w:kern w:val="2"/>
          <w:sz w:val="32"/>
          <w:szCs w:val="32"/>
          <w:highlight w:val="none"/>
        </w:rPr>
        <w:t>，农用地分为</w:t>
      </w:r>
      <w:r>
        <w:rPr>
          <w:rFonts w:hint="eastAsia" w:ascii="仿宋_GB2312" w:hAnsi="Times New Roman" w:eastAsia="仿宋_GB2312" w:cs="Times New Roman"/>
          <w:color w:val="000000"/>
          <w:kern w:val="2"/>
          <w:sz w:val="32"/>
          <w:szCs w:val="32"/>
          <w:highlight w:val="none"/>
        </w:rPr>
        <w:t>耕地、园地、林地、坑塘水面、水库水面、设施农用地六</w:t>
      </w:r>
      <w:r>
        <w:rPr>
          <w:rFonts w:ascii="仿宋_GB2312" w:hAnsi="Times New Roman" w:eastAsia="仿宋_GB2312" w:cs="Times New Roman"/>
          <w:color w:val="000000"/>
          <w:kern w:val="2"/>
          <w:sz w:val="32"/>
          <w:szCs w:val="32"/>
          <w:highlight w:val="none"/>
        </w:rPr>
        <w:t>类，宜农未利用地分为</w:t>
      </w:r>
      <w:r>
        <w:rPr>
          <w:rFonts w:hint="eastAsia" w:ascii="仿宋_GB2312" w:hAnsi="Times New Roman" w:eastAsia="仿宋_GB2312" w:cs="Times New Roman"/>
          <w:color w:val="000000"/>
          <w:kern w:val="2"/>
          <w:sz w:val="32"/>
          <w:szCs w:val="32"/>
          <w:highlight w:val="none"/>
        </w:rPr>
        <w:t>草地、河流水面、内陆滩涂和沿海滩涂四</w:t>
      </w:r>
      <w:r>
        <w:rPr>
          <w:rFonts w:ascii="仿宋_GB2312" w:hAnsi="Times New Roman" w:eastAsia="仿宋_GB2312" w:cs="Times New Roman"/>
          <w:color w:val="000000"/>
          <w:kern w:val="2"/>
          <w:sz w:val="32"/>
          <w:szCs w:val="32"/>
          <w:highlight w:val="none"/>
        </w:rPr>
        <w:t>类</w:t>
      </w:r>
      <w:r>
        <w:rPr>
          <w:rFonts w:hint="eastAsia" w:ascii="仿宋_GB2312" w:hAnsi="Times New Roman" w:eastAsia="仿宋_GB2312" w:cs="Times New Roman"/>
          <w:color w:val="000000"/>
          <w:kern w:val="2"/>
          <w:sz w:val="32"/>
          <w:szCs w:val="32"/>
          <w:highlight w:val="none"/>
        </w:rPr>
        <w:t>。</w:t>
      </w:r>
    </w:p>
    <w:p>
      <w:pPr>
        <w:widowControl w:val="0"/>
        <w:spacing w:after="0" w:line="240" w:lineRule="auto"/>
        <w:ind w:firstLine="640" w:firstLineChars="200"/>
        <w:jc w:val="both"/>
        <w:textAlignment w:val="center"/>
        <w:outlineLvl w:val="4"/>
        <w:rPr>
          <w:rFonts w:ascii="仿宋_GB2312" w:hAnsi="Times New Roman" w:eastAsia="仿宋_GB2312" w:cs="Times New Roman"/>
          <w:color w:val="000000"/>
          <w:kern w:val="2"/>
          <w:sz w:val="32"/>
          <w:szCs w:val="32"/>
          <w:highlight w:val="none"/>
        </w:rPr>
      </w:pPr>
      <w:r>
        <w:rPr>
          <w:rFonts w:hint="eastAsia" w:ascii="仿宋_GB2312" w:hAnsi="Times New Roman" w:eastAsia="仿宋_GB2312" w:cs="Times New Roman"/>
          <w:color w:val="000000"/>
          <w:kern w:val="2"/>
          <w:sz w:val="32"/>
          <w:szCs w:val="32"/>
          <w:highlight w:val="none"/>
        </w:rPr>
        <w:t>二、本次基准地价的估价期日为2018年1月1日。</w:t>
      </w:r>
    </w:p>
    <w:p>
      <w:pPr>
        <w:widowControl w:val="0"/>
        <w:spacing w:after="0" w:line="240" w:lineRule="auto"/>
        <w:ind w:firstLine="640" w:firstLineChars="200"/>
        <w:jc w:val="both"/>
        <w:textAlignment w:val="center"/>
        <w:outlineLvl w:val="4"/>
        <w:rPr>
          <w:rFonts w:ascii="仿宋_GB2312" w:hAnsi="Times New Roman" w:eastAsia="仿宋_GB2312" w:cs="Times New Roman"/>
          <w:color w:val="000000"/>
          <w:kern w:val="2"/>
          <w:sz w:val="32"/>
          <w:szCs w:val="32"/>
          <w:highlight w:val="none"/>
        </w:rPr>
      </w:pPr>
      <w:r>
        <w:rPr>
          <w:rFonts w:hint="eastAsia" w:ascii="仿宋_GB2312" w:hAnsi="Times New Roman" w:eastAsia="仿宋_GB2312" w:cs="Times New Roman"/>
          <w:color w:val="000000"/>
          <w:kern w:val="2"/>
          <w:sz w:val="32"/>
          <w:szCs w:val="32"/>
          <w:highlight w:val="none"/>
        </w:rPr>
        <w:t>三、基准地价土地用途划分为耕地、园地、林地、坑塘水面、设施农用地、草地、河流水面、水库水面、内陆滩涂和沿海滩涂共十类用途。</w:t>
      </w:r>
    </w:p>
    <w:p>
      <w:pPr>
        <w:widowControl w:val="0"/>
        <w:spacing w:after="0" w:line="240" w:lineRule="auto"/>
        <w:ind w:firstLine="640" w:firstLineChars="200"/>
        <w:jc w:val="both"/>
        <w:textAlignment w:val="center"/>
        <w:outlineLvl w:val="4"/>
        <w:rPr>
          <w:rFonts w:ascii="仿宋_GB2312" w:hAnsi="Times New Roman" w:eastAsia="仿宋_GB2312" w:cs="Times New Roman"/>
          <w:color w:val="000000"/>
          <w:kern w:val="2"/>
          <w:sz w:val="32"/>
          <w:szCs w:val="32"/>
          <w:highlight w:val="none"/>
        </w:rPr>
      </w:pPr>
      <w:r>
        <w:rPr>
          <w:rFonts w:hint="eastAsia" w:ascii="仿宋_GB2312" w:hAnsi="Times New Roman" w:eastAsia="仿宋_GB2312" w:cs="Times New Roman"/>
          <w:color w:val="000000"/>
          <w:kern w:val="2"/>
          <w:sz w:val="32"/>
          <w:szCs w:val="32"/>
          <w:highlight w:val="none"/>
        </w:rPr>
        <w:t>四、本次基准地价采用的是土地在正常市场条件下、按照各用地类型国有农用地基本设施的平均状况确定于估价期日为2018年1月1日、土地出让使用年期为50年的国有农用地出让使用权价格。价格单位为元/平方米，币种为人民币。其中各用地类型基准地价的内涵如下：</w:t>
      </w:r>
      <w:r>
        <w:rPr>
          <w:rFonts w:ascii="仿宋_GB2312" w:hAnsi="Times New Roman" w:eastAsia="仿宋_GB2312" w:cs="Times New Roman"/>
          <w:color w:val="000000"/>
          <w:kern w:val="2"/>
          <w:sz w:val="32"/>
          <w:szCs w:val="32"/>
          <w:highlight w:val="none"/>
        </w:rPr>
        <w:br w:type="page"/>
      </w:r>
    </w:p>
    <w:p>
      <w:pPr>
        <w:pStyle w:val="39"/>
        <w:widowControl w:val="0"/>
        <w:numPr>
          <w:ilvl w:val="0"/>
          <w:numId w:val="1"/>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 xml:space="preserve"> 湛江市区</w:t>
      </w:r>
      <w:r>
        <w:rPr>
          <w:rFonts w:ascii="Times New Roman" w:hAnsi="Times New Roman" w:eastAsia="仿宋_GB2312" w:cs="Times New Roman"/>
          <w:b/>
          <w:kern w:val="2"/>
          <w:sz w:val="24"/>
          <w:szCs w:val="24"/>
          <w:highlight w:val="none"/>
        </w:rPr>
        <w:t>国有农用地基准地价内涵表</w:t>
      </w:r>
    </w:p>
    <w:tbl>
      <w:tblPr>
        <w:tblStyle w:val="1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1976"/>
        <w:gridCol w:w="1676"/>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94" w:hRule="atLeast"/>
        </w:trPr>
        <w:tc>
          <w:tcPr>
            <w:tcW w:w="1976" w:type="dxa"/>
            <w:vMerge w:val="restart"/>
            <w:vAlign w:val="center"/>
          </w:tcPr>
          <w:p>
            <w:pPr>
              <w:widowControl w:val="0"/>
              <w:spacing w:after="0" w:line="320" w:lineRule="exact"/>
              <w:ind w:left="-9" w:leftChars="-4"/>
              <w:jc w:val="center"/>
              <w:rPr>
                <w:rFonts w:ascii="仿宋_GB2312" w:hAnsi="宋体" w:eastAsia="仿宋_GB2312" w:cs="Times New Roman"/>
                <w:b/>
                <w:kern w:val="2"/>
                <w:sz w:val="24"/>
                <w:szCs w:val="24"/>
                <w:highlight w:val="none"/>
              </w:rPr>
            </w:pPr>
            <w:r>
              <w:rPr>
                <w:rFonts w:ascii="仿宋_GB2312" w:hAnsi="宋体" w:eastAsia="仿宋_GB2312" w:cs="Times New Roman"/>
                <w:b/>
                <w:kern w:val="2"/>
                <w:sz w:val="24"/>
                <w:szCs w:val="24"/>
                <w:highlight w:val="none"/>
              </w:rPr>
              <w:t>国有农用地类型</w:t>
            </w: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农用地</w:t>
            </w:r>
          </w:p>
        </w:tc>
        <w:tc>
          <w:tcPr>
            <w:tcW w:w="4961"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耕地、园地、林地、坑塘水面、设施农用地</w:t>
            </w:r>
            <w:r>
              <w:rPr>
                <w:rFonts w:hint="eastAsia" w:ascii="仿宋_GB2312" w:hAnsi="宋体" w:eastAsia="仿宋_GB2312" w:cs="Times New Roman"/>
                <w:kern w:val="2"/>
                <w:sz w:val="24"/>
                <w:szCs w:val="24"/>
                <w:highlight w:val="none"/>
              </w:rPr>
              <w:t>、</w:t>
            </w:r>
          </w:p>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水库水面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54" w:hRule="atLeast"/>
        </w:trPr>
        <w:tc>
          <w:tcPr>
            <w:tcW w:w="1976" w:type="dxa"/>
            <w:vMerge w:val="continue"/>
            <w:vAlign w:val="center"/>
          </w:tcPr>
          <w:p>
            <w:pPr>
              <w:widowControl w:val="0"/>
              <w:spacing w:after="0" w:line="320" w:lineRule="exact"/>
              <w:ind w:left="-9" w:leftChars="-4"/>
              <w:jc w:val="center"/>
              <w:rPr>
                <w:rFonts w:ascii="仿宋_GB2312" w:hAnsi="宋体" w:eastAsia="仿宋_GB2312" w:cs="Times New Roman"/>
                <w:b/>
                <w:kern w:val="2"/>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宜农未利用地</w:t>
            </w:r>
          </w:p>
        </w:tc>
        <w:tc>
          <w:tcPr>
            <w:tcW w:w="4961"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草地、</w:t>
            </w:r>
            <w:r>
              <w:rPr>
                <w:rFonts w:hint="eastAsia" w:ascii="仿宋_GB2312" w:hAnsi="宋体" w:eastAsia="仿宋_GB2312" w:cs="Times New Roman"/>
                <w:kern w:val="2"/>
                <w:sz w:val="24"/>
                <w:szCs w:val="24"/>
                <w:highlight w:val="none"/>
              </w:rPr>
              <w:t>河流水面、</w:t>
            </w:r>
            <w:r>
              <w:rPr>
                <w:rFonts w:ascii="仿宋_GB2312" w:hAnsi="宋体" w:eastAsia="仿宋_GB2312" w:cs="Times New Roman"/>
                <w:kern w:val="2"/>
                <w:sz w:val="24"/>
                <w:szCs w:val="24"/>
                <w:highlight w:val="none"/>
              </w:rPr>
              <w:t>内陆滩涂、沿海滩涂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90" w:hRule="atLeast"/>
        </w:trPr>
        <w:tc>
          <w:tcPr>
            <w:tcW w:w="1976" w:type="dxa"/>
            <w:vAlign w:val="center"/>
          </w:tcPr>
          <w:p>
            <w:pPr>
              <w:widowControl w:val="0"/>
              <w:spacing w:after="0" w:line="320" w:lineRule="exact"/>
              <w:ind w:left="-9" w:leftChars="-4"/>
              <w:jc w:val="center"/>
              <w:rPr>
                <w:rFonts w:ascii="仿宋_GB2312" w:hAnsi="宋体" w:eastAsia="仿宋_GB2312" w:cs="Times New Roman"/>
                <w:b/>
                <w:kern w:val="2"/>
                <w:sz w:val="24"/>
                <w:szCs w:val="24"/>
                <w:highlight w:val="none"/>
              </w:rPr>
            </w:pPr>
            <w:r>
              <w:rPr>
                <w:rFonts w:ascii="仿宋_GB2312" w:hAnsi="宋体" w:eastAsia="仿宋_GB2312" w:cs="Times New Roman"/>
                <w:b/>
                <w:kern w:val="2"/>
                <w:sz w:val="24"/>
                <w:szCs w:val="24"/>
                <w:highlight w:val="none"/>
              </w:rPr>
              <w:t>土地使用权类型</w:t>
            </w:r>
          </w:p>
        </w:tc>
        <w:tc>
          <w:tcPr>
            <w:tcW w:w="6637" w:type="dxa"/>
            <w:gridSpan w:val="2"/>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国有农用地出让使用权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59" w:hRule="atLeast"/>
        </w:trPr>
        <w:tc>
          <w:tcPr>
            <w:tcW w:w="1976" w:type="dxa"/>
            <w:vAlign w:val="center"/>
          </w:tcPr>
          <w:p>
            <w:pPr>
              <w:widowControl w:val="0"/>
              <w:spacing w:after="0" w:line="320" w:lineRule="exact"/>
              <w:ind w:left="-9" w:leftChars="-4"/>
              <w:jc w:val="center"/>
              <w:rPr>
                <w:rFonts w:ascii="仿宋_GB2312" w:hAnsi="宋体" w:eastAsia="仿宋_GB2312" w:cs="Times New Roman"/>
                <w:b/>
                <w:kern w:val="2"/>
                <w:sz w:val="24"/>
                <w:szCs w:val="24"/>
                <w:highlight w:val="none"/>
              </w:rPr>
            </w:pPr>
            <w:r>
              <w:rPr>
                <w:rFonts w:ascii="仿宋_GB2312" w:hAnsi="宋体" w:eastAsia="仿宋_GB2312" w:cs="Times New Roman"/>
                <w:b/>
                <w:kern w:val="2"/>
                <w:sz w:val="24"/>
                <w:szCs w:val="24"/>
                <w:highlight w:val="none"/>
              </w:rPr>
              <w:t>土地出让年期</w:t>
            </w:r>
          </w:p>
        </w:tc>
        <w:tc>
          <w:tcPr>
            <w:tcW w:w="6637" w:type="dxa"/>
            <w:gridSpan w:val="2"/>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50年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117" w:hRule="atLeast"/>
        </w:trPr>
        <w:tc>
          <w:tcPr>
            <w:tcW w:w="1976" w:type="dxa"/>
            <w:vMerge w:val="restart"/>
            <w:vAlign w:val="center"/>
          </w:tcPr>
          <w:p>
            <w:pPr>
              <w:widowControl w:val="0"/>
              <w:spacing w:after="0" w:line="320" w:lineRule="exact"/>
              <w:ind w:left="-9" w:leftChars="-4"/>
              <w:jc w:val="center"/>
              <w:rPr>
                <w:rFonts w:ascii="仿宋_GB2312" w:hAnsi="宋体" w:eastAsia="仿宋_GB2312" w:cs="Times New Roman"/>
                <w:b/>
                <w:kern w:val="2"/>
                <w:sz w:val="24"/>
                <w:szCs w:val="24"/>
                <w:highlight w:val="none"/>
              </w:rPr>
            </w:pPr>
            <w:r>
              <w:rPr>
                <w:rFonts w:ascii="仿宋_GB2312" w:hAnsi="宋体" w:eastAsia="仿宋_GB2312" w:cs="Times New Roman"/>
                <w:b/>
                <w:kern w:val="2"/>
                <w:sz w:val="24"/>
                <w:szCs w:val="24"/>
                <w:highlight w:val="none"/>
              </w:rPr>
              <w:t>基本设施状况</w:t>
            </w: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耕地</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适宜性种植制度，宗地外道路通达且有水源保障，宗地内平整、大小适中、形状规则、有基本的排水与灌溉设施且田间道路密度适中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园地</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适宜性种植制度，宗地外道路通达且有水源保障，宗地有基本的排水与灌溉设施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林地</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适宜性种植制度，宗地外道路通达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坑塘水面</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适宜性养殖制度，宗地外道路通达且有水源保障，宗地内实现通电、大小适中、形状规则、有基本的排水与引水设施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设施农用地</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适宜性生产制度，宗地外道路通达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844"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草地</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宗地外道路通达、宗地内平整、大小适中、形状规则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水库水面</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宗地外道路通达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河流水面</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hint="eastAsia" w:ascii="仿宋_GB2312" w:hAnsi="宋体" w:eastAsia="仿宋_GB2312" w:cs="Times New Roman"/>
                <w:kern w:val="2"/>
                <w:sz w:val="24"/>
                <w:szCs w:val="24"/>
                <w:highlight w:val="none"/>
              </w:rPr>
              <w:t>宗地外道路通达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沿海滩涂</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宗地外道路通达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467" w:hRule="atLeast"/>
        </w:trPr>
        <w:tc>
          <w:tcPr>
            <w:tcW w:w="1976" w:type="dxa"/>
            <w:vMerge w:val="continue"/>
            <w:vAlign w:val="center"/>
          </w:tcPr>
          <w:p>
            <w:pPr>
              <w:spacing w:line="320" w:lineRule="exact"/>
              <w:ind w:left="-9" w:leftChars="-4"/>
              <w:jc w:val="center"/>
              <w:rPr>
                <w:rFonts w:ascii="仿宋_GB2312" w:hAnsi="宋体"/>
                <w:sz w:val="24"/>
                <w:szCs w:val="24"/>
                <w:highlight w:val="none"/>
              </w:rPr>
            </w:pPr>
          </w:p>
        </w:tc>
        <w:tc>
          <w:tcPr>
            <w:tcW w:w="1676" w:type="dxa"/>
            <w:vAlign w:val="center"/>
          </w:tcPr>
          <w:p>
            <w:pPr>
              <w:widowControl w:val="0"/>
              <w:spacing w:after="0" w:line="320" w:lineRule="exact"/>
              <w:ind w:left="-9" w:leftChars="-4"/>
              <w:jc w:val="center"/>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内陆滩涂</w:t>
            </w:r>
          </w:p>
        </w:tc>
        <w:tc>
          <w:tcPr>
            <w:tcW w:w="4961" w:type="dxa"/>
            <w:vAlign w:val="center"/>
          </w:tcPr>
          <w:p>
            <w:pPr>
              <w:widowControl w:val="0"/>
              <w:spacing w:after="0" w:line="320" w:lineRule="exact"/>
              <w:ind w:left="-9" w:leftChars="-4"/>
              <w:rPr>
                <w:rFonts w:ascii="仿宋_GB2312" w:hAnsi="宋体" w:eastAsia="仿宋_GB2312" w:cs="Times New Roman"/>
                <w:kern w:val="2"/>
                <w:sz w:val="24"/>
                <w:szCs w:val="24"/>
                <w:highlight w:val="none"/>
              </w:rPr>
            </w:pPr>
            <w:r>
              <w:rPr>
                <w:rFonts w:ascii="仿宋_GB2312" w:hAnsi="宋体" w:eastAsia="仿宋_GB2312" w:cs="Times New Roman"/>
                <w:kern w:val="2"/>
                <w:sz w:val="24"/>
                <w:szCs w:val="24"/>
                <w:highlight w:val="none"/>
              </w:rPr>
              <w:t>宗地外道路通达</w:t>
            </w:r>
          </w:p>
        </w:tc>
      </w:tr>
    </w:tbl>
    <w:p>
      <w:pPr>
        <w:pStyle w:val="39"/>
        <w:widowControl w:val="0"/>
        <w:numPr>
          <w:ilvl w:val="0"/>
          <w:numId w:val="1"/>
        </w:numPr>
        <w:spacing w:before="234" w:beforeLines="7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湛江市区国有农用地基准地价表</w:t>
      </w:r>
    </w:p>
    <w:p>
      <w:pPr>
        <w:pStyle w:val="25"/>
        <w:spacing w:before="0" w:beforeLines="0" w:after="0" w:afterLines="0"/>
        <w:ind w:firstLine="482"/>
        <w:jc w:val="right"/>
        <w:rPr>
          <w:rFonts w:ascii="仿宋" w:hAnsi="仿宋"/>
          <w:szCs w:val="21"/>
          <w:highlight w:val="none"/>
        </w:rPr>
      </w:pPr>
      <w:r>
        <w:rPr>
          <w:rFonts w:hint="eastAsia" w:ascii="仿宋" w:hAnsi="仿宋"/>
          <w:szCs w:val="21"/>
          <w:highlight w:val="none"/>
        </w:rPr>
        <w:t>单位：元</w:t>
      </w:r>
      <w:r>
        <w:rPr>
          <w:rFonts w:ascii="仿宋" w:hAnsi="仿宋"/>
          <w:szCs w:val="21"/>
          <w:highlight w:val="none"/>
        </w:rPr>
        <w:t>/</w:t>
      </w:r>
      <w:r>
        <w:rPr>
          <w:rFonts w:hint="eastAsia" w:ascii="仿宋" w:hAnsi="仿宋"/>
          <w:szCs w:val="21"/>
          <w:highlight w:val="none"/>
        </w:rPr>
        <w:t>平方米</w:t>
      </w:r>
    </w:p>
    <w:tbl>
      <w:tblPr>
        <w:tblStyle w:val="16"/>
        <w:tblW w:w="8612" w:type="dxa"/>
        <w:jc w:val="center"/>
        <w:tblInd w:w="0" w:type="dxa"/>
        <w:tblLayout w:type="fixed"/>
        <w:tblCellMar>
          <w:top w:w="0" w:type="dxa"/>
          <w:left w:w="108" w:type="dxa"/>
          <w:bottom w:w="0" w:type="dxa"/>
          <w:right w:w="108" w:type="dxa"/>
        </w:tblCellMar>
      </w:tblPr>
      <w:tblGrid>
        <w:gridCol w:w="1232"/>
        <w:gridCol w:w="1493"/>
        <w:gridCol w:w="1934"/>
        <w:gridCol w:w="1934"/>
        <w:gridCol w:w="2019"/>
      </w:tblGrid>
      <w:tr>
        <w:tblPrEx>
          <w:tblLayout w:type="fixed"/>
          <w:tblCellMar>
            <w:top w:w="0" w:type="dxa"/>
            <w:left w:w="108" w:type="dxa"/>
            <w:bottom w:w="0" w:type="dxa"/>
            <w:right w:w="108" w:type="dxa"/>
          </w:tblCellMar>
        </w:tblPrEx>
        <w:trPr>
          <w:trHeight w:val="651" w:hRule="exact"/>
          <w:tblHeader/>
          <w:jc w:val="center"/>
        </w:trPr>
        <w:tc>
          <w:tcPr>
            <w:tcW w:w="2725"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pStyle w:val="25"/>
              <w:spacing w:before="0" w:beforeLines="0" w:after="0" w:afterLines="0"/>
              <w:ind w:right="412" w:firstLine="482"/>
              <w:rPr>
                <w:rFonts w:ascii="仿宋" w:hAnsi="仿宋"/>
                <w:szCs w:val="21"/>
                <w:highlight w:val="none"/>
              </w:rPr>
            </w:pPr>
            <w:r>
              <w:rPr>
                <w:rFonts w:hint="eastAsia" w:ascii="仿宋" w:hAnsi="仿宋"/>
                <w:szCs w:val="21"/>
                <w:highlight w:val="none"/>
              </w:rPr>
              <w:t xml:space="preserve">    级别</w:t>
            </w:r>
          </w:p>
          <w:p>
            <w:pPr>
              <w:pStyle w:val="25"/>
              <w:spacing w:before="0" w:beforeLines="0" w:after="0" w:afterLines="0"/>
              <w:ind w:firstLine="738" w:firstLineChars="350"/>
              <w:jc w:val="left"/>
              <w:rPr>
                <w:rFonts w:ascii="Times New Roman" w:hAnsi="Times New Roman" w:eastAsia="仿宋_GB2312" w:cs="Times New Roman"/>
                <w:b w:val="0"/>
                <w:color w:val="000000"/>
                <w:highlight w:val="none"/>
              </w:rPr>
            </w:pPr>
            <w:r>
              <w:rPr>
                <w:rFonts w:hint="eastAsia" w:ascii="仿宋" w:hAnsi="仿宋"/>
                <w:szCs w:val="21"/>
                <w:highlight w:val="none"/>
              </w:rPr>
              <w:t>类型</w:t>
            </w:r>
          </w:p>
        </w:tc>
        <w:tc>
          <w:tcPr>
            <w:tcW w:w="19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仿宋_GB2312" w:cs="Times New Roman"/>
                <w:b/>
                <w:color w:val="000000"/>
                <w:sz w:val="21"/>
                <w:szCs w:val="24"/>
                <w:highlight w:val="none"/>
              </w:rPr>
            </w:pPr>
            <w:r>
              <w:rPr>
                <w:rFonts w:hint="eastAsia" w:ascii="Times New Roman" w:hAnsi="Times New Roman" w:eastAsia="仿宋_GB2312" w:cs="Times New Roman"/>
                <w:b/>
                <w:color w:val="000000"/>
                <w:sz w:val="21"/>
                <w:szCs w:val="24"/>
                <w:highlight w:val="none"/>
              </w:rPr>
              <w:t>I级</w:t>
            </w:r>
          </w:p>
        </w:tc>
        <w:tc>
          <w:tcPr>
            <w:tcW w:w="193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仿宋_GB2312" w:cs="Times New Roman"/>
                <w:b/>
                <w:color w:val="000000"/>
                <w:sz w:val="21"/>
                <w:szCs w:val="24"/>
                <w:highlight w:val="none"/>
              </w:rPr>
            </w:pPr>
            <w:r>
              <w:rPr>
                <w:rFonts w:ascii="Times New Roman" w:hAnsi="Times New Roman" w:eastAsia="仿宋_GB2312" w:cs="Times New Roman"/>
                <w:b/>
                <w:color w:val="000000"/>
                <w:sz w:val="21"/>
                <w:szCs w:val="24"/>
                <w:highlight w:val="none"/>
              </w:rPr>
              <w:t>II</w:t>
            </w:r>
            <w:r>
              <w:rPr>
                <w:rFonts w:hint="eastAsia" w:ascii="Times New Roman" w:hAnsi="Times New Roman" w:eastAsia="仿宋_GB2312" w:cs="Times New Roman"/>
                <w:b/>
                <w:color w:val="000000"/>
                <w:sz w:val="21"/>
                <w:szCs w:val="24"/>
                <w:highlight w:val="none"/>
              </w:rPr>
              <w:t>级</w:t>
            </w:r>
          </w:p>
        </w:tc>
        <w:tc>
          <w:tcPr>
            <w:tcW w:w="201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仿宋_GB2312" w:cs="Times New Roman"/>
                <w:b/>
                <w:color w:val="000000"/>
                <w:sz w:val="21"/>
                <w:szCs w:val="24"/>
                <w:highlight w:val="none"/>
              </w:rPr>
            </w:pPr>
            <w:r>
              <w:rPr>
                <w:rFonts w:ascii="Times New Roman" w:hAnsi="Times New Roman" w:eastAsia="仿宋_GB2312" w:cs="Times New Roman"/>
                <w:b/>
                <w:color w:val="000000"/>
                <w:sz w:val="21"/>
                <w:szCs w:val="24"/>
                <w:highlight w:val="none"/>
              </w:rPr>
              <w:t>III</w:t>
            </w:r>
            <w:r>
              <w:rPr>
                <w:rFonts w:hint="eastAsia" w:ascii="Times New Roman" w:hAnsi="Times New Roman" w:eastAsia="仿宋_GB2312" w:cs="Times New Roman"/>
                <w:b/>
                <w:color w:val="000000"/>
                <w:sz w:val="21"/>
                <w:szCs w:val="24"/>
                <w:highlight w:val="none"/>
              </w:rPr>
              <w:t>级</w:t>
            </w:r>
          </w:p>
        </w:tc>
      </w:tr>
      <w:tr>
        <w:tblPrEx>
          <w:tblLayout w:type="fixed"/>
          <w:tblCellMar>
            <w:top w:w="0" w:type="dxa"/>
            <w:left w:w="108" w:type="dxa"/>
            <w:bottom w:w="0" w:type="dxa"/>
            <w:right w:w="108" w:type="dxa"/>
          </w:tblCellMar>
        </w:tblPrEx>
        <w:trPr>
          <w:trHeight w:val="397" w:hRule="atLeast"/>
          <w:jc w:val="center"/>
        </w:trPr>
        <w:tc>
          <w:tcPr>
            <w:tcW w:w="1232" w:type="dxa"/>
            <w:vMerge w:val="restart"/>
            <w:tcBorders>
              <w:top w:val="single" w:color="auto" w:sz="4" w:space="0"/>
              <w:left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耕地</w:t>
            </w:r>
          </w:p>
        </w:tc>
        <w:tc>
          <w:tcPr>
            <w:tcW w:w="1493"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 xml:space="preserve">水田 </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75</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68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58</w:t>
            </w:r>
          </w:p>
        </w:tc>
      </w:tr>
      <w:tr>
        <w:tblPrEx>
          <w:tblLayout w:type="fixed"/>
          <w:tblCellMar>
            <w:top w:w="0" w:type="dxa"/>
            <w:left w:w="108" w:type="dxa"/>
            <w:bottom w:w="0" w:type="dxa"/>
            <w:right w:w="108" w:type="dxa"/>
          </w:tblCellMar>
        </w:tblPrEx>
        <w:trPr>
          <w:trHeight w:val="397" w:hRule="atLeast"/>
          <w:jc w:val="center"/>
        </w:trPr>
        <w:tc>
          <w:tcPr>
            <w:tcW w:w="1232" w:type="dxa"/>
            <w:vMerge w:val="continue"/>
            <w:tcBorders>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p>
        </w:tc>
        <w:tc>
          <w:tcPr>
            <w:tcW w:w="1493"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旱地</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71</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63 </w:t>
            </w:r>
          </w:p>
        </w:tc>
        <w:tc>
          <w:tcPr>
            <w:tcW w:w="2019" w:type="dxa"/>
            <w:tcBorders>
              <w:top w:val="single" w:color="auto" w:sz="4" w:space="0"/>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55</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园地</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60</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52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 xml:space="preserve">49 </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林地</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30</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27</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23</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设施农用地</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83</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76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 xml:space="preserve">71 </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坑塘水面</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87 </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75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hint="eastAsia" w:ascii="Times New Roman" w:hAnsi="Times New Roman"/>
                <w:color w:val="auto"/>
                <w:spacing w:val="0"/>
                <w:kern w:val="0"/>
                <w:szCs w:val="21"/>
                <w:highlight w:val="none"/>
                <w:lang w:bidi="ar-SA"/>
              </w:rPr>
              <w:t>68</w:t>
            </w:r>
            <w:r>
              <w:rPr>
                <w:rFonts w:ascii="Times New Roman" w:hAnsi="Times New Roman"/>
                <w:color w:val="auto"/>
                <w:spacing w:val="0"/>
                <w:kern w:val="0"/>
                <w:szCs w:val="21"/>
                <w:highlight w:val="none"/>
                <w:lang w:bidi="ar-SA"/>
              </w:rPr>
              <w:t xml:space="preserve"> </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草地</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27 </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23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 xml:space="preserve">21 </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河流水面</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43 </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38 </w:t>
            </w:r>
          </w:p>
        </w:tc>
        <w:tc>
          <w:tcPr>
            <w:tcW w:w="2019" w:type="dxa"/>
            <w:tcBorders>
              <w:top w:val="single" w:color="auto" w:sz="4" w:space="0"/>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水库水面</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44 </w:t>
            </w:r>
          </w:p>
        </w:tc>
        <w:tc>
          <w:tcPr>
            <w:tcW w:w="1934"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40 </w:t>
            </w:r>
          </w:p>
        </w:tc>
        <w:tc>
          <w:tcPr>
            <w:tcW w:w="2019" w:type="dxa"/>
            <w:tcBorders>
              <w:top w:val="single" w:color="auto" w:sz="4" w:space="0"/>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 xml:space="preserve">37 </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沿海滩涂</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38 </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35 </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w:t>
            </w:r>
          </w:p>
        </w:tc>
      </w:tr>
      <w:tr>
        <w:tblPrEx>
          <w:tblLayout w:type="fixed"/>
          <w:tblCellMar>
            <w:top w:w="0" w:type="dxa"/>
            <w:left w:w="108" w:type="dxa"/>
            <w:bottom w:w="0" w:type="dxa"/>
            <w:right w:w="108" w:type="dxa"/>
          </w:tblCellMar>
        </w:tblPrEx>
        <w:trPr>
          <w:trHeight w:val="397" w:hRule="atLeast"/>
          <w:jc w:val="center"/>
        </w:trPr>
        <w:tc>
          <w:tcPr>
            <w:tcW w:w="2725" w:type="dxa"/>
            <w:gridSpan w:val="2"/>
            <w:tcBorders>
              <w:top w:val="nil"/>
              <w:left w:val="single" w:color="auto" w:sz="4" w:space="0"/>
              <w:bottom w:val="single" w:color="auto" w:sz="4" w:space="0"/>
              <w:right w:val="single" w:color="auto" w:sz="4" w:space="0"/>
            </w:tcBorders>
            <w:vAlign w:val="center"/>
          </w:tcPr>
          <w:p>
            <w:pPr>
              <w:widowControl w:val="0"/>
              <w:snapToGrid w:val="0"/>
              <w:spacing w:after="0" w:line="240" w:lineRule="auto"/>
              <w:jc w:val="center"/>
              <w:rPr>
                <w:rFonts w:ascii="Times New Roman" w:hAnsi="Times New Roman" w:eastAsia="仿宋_GB2312" w:cs="Times New Roman"/>
                <w:bCs/>
                <w:kern w:val="28"/>
                <w:sz w:val="21"/>
                <w:szCs w:val="21"/>
                <w:highlight w:val="none"/>
              </w:rPr>
            </w:pPr>
            <w:r>
              <w:rPr>
                <w:rFonts w:hint="eastAsia" w:ascii="Times New Roman" w:hAnsi="Times New Roman" w:eastAsia="仿宋_GB2312" w:cs="Times New Roman"/>
                <w:bCs/>
                <w:kern w:val="28"/>
                <w:sz w:val="21"/>
                <w:szCs w:val="21"/>
                <w:highlight w:val="none"/>
              </w:rPr>
              <w:t>内陆滩涂</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 xml:space="preserve">43 </w:t>
            </w:r>
          </w:p>
        </w:tc>
        <w:tc>
          <w:tcPr>
            <w:tcW w:w="1934"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eastAsia="仿宋"/>
                <w:sz w:val="21"/>
                <w:szCs w:val="21"/>
                <w:highlight w:val="none"/>
              </w:rPr>
            </w:pPr>
            <w:r>
              <w:rPr>
                <w:rFonts w:ascii="Times New Roman" w:hAnsi="Times New Roman" w:eastAsia="仿宋"/>
                <w:sz w:val="21"/>
                <w:szCs w:val="21"/>
                <w:highlight w:val="none"/>
              </w:rPr>
              <w:t>--</w:t>
            </w:r>
          </w:p>
        </w:tc>
        <w:tc>
          <w:tcPr>
            <w:tcW w:w="2019" w:type="dxa"/>
            <w:tcBorders>
              <w:top w:val="nil"/>
              <w:left w:val="nil"/>
              <w:bottom w:val="single" w:color="auto" w:sz="4" w:space="0"/>
              <w:right w:val="single" w:color="auto" w:sz="4" w:space="0"/>
            </w:tcBorders>
            <w:vAlign w:val="center"/>
          </w:tcPr>
          <w:p>
            <w:pPr>
              <w:pStyle w:val="51"/>
              <w:rPr>
                <w:rFonts w:ascii="Times New Roman" w:hAnsi="Times New Roman"/>
                <w:color w:val="auto"/>
                <w:spacing w:val="0"/>
                <w:kern w:val="0"/>
                <w:szCs w:val="21"/>
                <w:highlight w:val="none"/>
                <w:lang w:bidi="ar-SA"/>
              </w:rPr>
            </w:pPr>
            <w:r>
              <w:rPr>
                <w:rFonts w:ascii="Times New Roman" w:hAnsi="Times New Roman"/>
                <w:color w:val="auto"/>
                <w:spacing w:val="0"/>
                <w:kern w:val="0"/>
                <w:szCs w:val="21"/>
                <w:highlight w:val="none"/>
                <w:lang w:bidi="ar-SA"/>
              </w:rPr>
              <w:t>--</w:t>
            </w:r>
          </w:p>
        </w:tc>
      </w:tr>
    </w:tbl>
    <w:p>
      <w:pPr>
        <w:widowControl w:val="0"/>
        <w:tabs>
          <w:tab w:val="left" w:pos="3906"/>
        </w:tabs>
        <w:spacing w:after="0" w:line="240" w:lineRule="auto"/>
        <w:jc w:val="both"/>
        <w:rPr>
          <w:rFonts w:ascii="仿宋_GB2312" w:hAnsi="Times New Roman" w:eastAsia="仿宋_GB2312"/>
          <w:kern w:val="2"/>
          <w:sz w:val="18"/>
          <w:szCs w:val="18"/>
          <w:highlight w:val="none"/>
        </w:rPr>
      </w:pPr>
      <w:r>
        <w:rPr>
          <w:rFonts w:hint="eastAsia" w:ascii="仿宋_GB2312" w:hAnsi="Times New Roman" w:eastAsia="仿宋_GB2312"/>
          <w:kern w:val="2"/>
          <w:sz w:val="18"/>
          <w:szCs w:val="18"/>
          <w:highlight w:val="none"/>
        </w:rPr>
        <w:t>注：上述用地的级别地价是设定在适宜的农业生产条件下和设定地价内涵下的地价。</w:t>
      </w:r>
    </w:p>
    <w:p>
      <w:pPr>
        <w:widowControl w:val="0"/>
        <w:spacing w:after="0" w:line="240" w:lineRule="auto"/>
        <w:ind w:firstLine="640" w:firstLineChars="200"/>
        <w:jc w:val="both"/>
        <w:textAlignment w:val="center"/>
        <w:outlineLvl w:val="4"/>
        <w:rPr>
          <w:rFonts w:ascii="仿宋_GB2312" w:hAnsi="Times New Roman" w:eastAsia="仿宋_GB2312" w:cs="Times New Roman"/>
          <w:color w:val="000000"/>
          <w:kern w:val="2"/>
          <w:sz w:val="32"/>
          <w:szCs w:val="32"/>
          <w:highlight w:val="none"/>
        </w:rPr>
      </w:pPr>
      <w:r>
        <w:rPr>
          <w:rFonts w:hint="eastAsia" w:ascii="仿宋_GB2312" w:hAnsi="Times New Roman" w:eastAsia="仿宋_GB2312" w:cs="Times New Roman"/>
          <w:color w:val="000000"/>
          <w:kern w:val="2"/>
          <w:sz w:val="32"/>
          <w:szCs w:val="32"/>
          <w:highlight w:val="none"/>
        </w:rPr>
        <w:t>五、各用途级别图</w:t>
      </w:r>
    </w:p>
    <w:p>
      <w:pPr>
        <w:rPr>
          <w:highlight w:val="none"/>
        </w:rPr>
      </w:pPr>
      <w:r>
        <w:rPr>
          <w:rFonts w:ascii="Calibri" w:hAnsi="Calibri" w:eastAsia="宋体" w:cs="Times New Roman"/>
          <w:highlight w:val="none"/>
        </w:rPr>
        <w:drawing>
          <wp:inline distT="0" distB="0" distL="0" distR="0">
            <wp:extent cx="5274310" cy="3569970"/>
            <wp:effectExtent l="0" t="0" r="2540" b="0"/>
            <wp:docPr id="2" name="图片 2" descr="C:\Users\Administrator\Documents\Tencent Files\526003609\FileRecv\级别图jpg\02湛江市区耕地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526003609\FileRecv\级别图jpg\02湛江市区耕地基准地价级别图.jpg"/>
                    <pic:cNvPicPr>
                      <a:picLocks noChangeAspect="1" noChangeArrowheads="1"/>
                    </pic:cNvPicPr>
                  </pic:nvPicPr>
                  <pic:blipFill>
                    <a:blip r:embed="rId6"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湛江市区国有农用地基准地价耕地级别图</w:t>
      </w:r>
    </w:p>
    <w:p>
      <w:pPr>
        <w:rPr>
          <w:highlight w:val="none"/>
        </w:rPr>
      </w:pPr>
      <w:r>
        <w:rPr>
          <w:rFonts w:ascii="Calibri" w:hAnsi="Calibri" w:eastAsia="宋体" w:cs="Times New Roman"/>
          <w:highlight w:val="none"/>
        </w:rPr>
        <w:drawing>
          <wp:inline distT="0" distB="0" distL="0" distR="0">
            <wp:extent cx="5274310" cy="3569970"/>
            <wp:effectExtent l="0" t="0" r="2540" b="0"/>
            <wp:docPr id="3" name="图片 3" descr="C:\Users\Administrator\Documents\Tencent Files\526003609\FileRecv\级别图jpg\03湛江市区园地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Tencent Files\526003609\FileRecv\级别图jpg\03湛江市区园地基准地价级别图.jpg"/>
                    <pic:cNvPicPr>
                      <a:picLocks noChangeAspect="1" noChangeArrowheads="1"/>
                    </pic:cNvPicPr>
                  </pic:nvPicPr>
                  <pic:blipFill>
                    <a:blip r:embed="rId7"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湛江市区国有农用地基准地价园地级别图</w:t>
      </w:r>
    </w:p>
    <w:p>
      <w:pPr>
        <w:spacing w:before="78" w:beforeLines="25" w:after="78" w:afterLines="25" w:line="240" w:lineRule="auto"/>
        <w:rPr>
          <w:rFonts w:ascii="仿宋_GB2312" w:hAnsi="Times New Roman" w:eastAsia="仿宋_GB2312"/>
          <w:b/>
          <w:kern w:val="2"/>
          <w:sz w:val="24"/>
          <w:szCs w:val="24"/>
          <w:highlight w:val="none"/>
        </w:rPr>
      </w:pPr>
    </w:p>
    <w:p>
      <w:pPr>
        <w:spacing w:before="78" w:beforeLines="25" w:after="78" w:afterLines="25" w:line="240" w:lineRule="auto"/>
        <w:rPr>
          <w:rFonts w:ascii="仿宋_GB2312" w:hAnsi="Times New Roman" w:eastAsia="仿宋_GB2312"/>
          <w:b/>
          <w:kern w:val="2"/>
          <w:sz w:val="24"/>
          <w:szCs w:val="24"/>
          <w:highlight w:val="none"/>
        </w:rPr>
      </w:pPr>
    </w:p>
    <w:p>
      <w:pPr>
        <w:rPr>
          <w:highlight w:val="none"/>
        </w:rPr>
      </w:pPr>
      <w:r>
        <w:rPr>
          <w:rFonts w:ascii="Calibri" w:hAnsi="Calibri" w:eastAsia="宋体" w:cs="Times New Roman"/>
          <w:highlight w:val="none"/>
        </w:rPr>
        <w:drawing>
          <wp:inline distT="0" distB="0" distL="0" distR="0">
            <wp:extent cx="5274310" cy="3569970"/>
            <wp:effectExtent l="0" t="0" r="2540" b="0"/>
            <wp:docPr id="4" name="图片 4" descr="C:\Users\Administrator\Documents\Tencent Files\526003609\FileRecv\级别图jpg\04湛江市区林地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526003609\FileRecv\级别图jpg\04湛江市区林地基准地价级别图.jpg"/>
                    <pic:cNvPicPr>
                      <a:picLocks noChangeAspect="1" noChangeArrowheads="1"/>
                    </pic:cNvPicPr>
                  </pic:nvPicPr>
                  <pic:blipFill>
                    <a:blip r:embed="rId8"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湛江市区国有农用地基准地价林地级别图</w:t>
      </w:r>
    </w:p>
    <w:p>
      <w:pPr>
        <w:rPr>
          <w:highlight w:val="none"/>
        </w:rPr>
      </w:pPr>
      <w:r>
        <w:rPr>
          <w:rFonts w:ascii="Calibri" w:hAnsi="Calibri" w:eastAsia="宋体" w:cs="Times New Roman"/>
          <w:highlight w:val="none"/>
        </w:rPr>
        <w:drawing>
          <wp:inline distT="0" distB="0" distL="0" distR="0">
            <wp:extent cx="5274310" cy="3569970"/>
            <wp:effectExtent l="0" t="0" r="2540" b="0"/>
            <wp:docPr id="5" name="图片 5" descr="C:\Users\Administrator\Documents\Tencent Files\526003609\FileRecv\级别图jpg\05湛江市区坑塘水面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526003609\FileRecv\级别图jpg\05湛江市区坑塘水面基准地价级别图.jpg"/>
                    <pic:cNvPicPr>
                      <a:picLocks noChangeAspect="1" noChangeArrowheads="1"/>
                    </pic:cNvPicPr>
                  </pic:nvPicPr>
                  <pic:blipFill>
                    <a:blip r:embed="rId9"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湛江市区国有农用地基准地价坑塘水面级别图</w:t>
      </w:r>
    </w:p>
    <w:p>
      <w:pPr>
        <w:spacing w:before="78" w:beforeLines="25" w:after="78" w:afterLines="25" w:line="240" w:lineRule="auto"/>
        <w:rPr>
          <w:rFonts w:ascii="仿宋_GB2312" w:hAnsi="Times New Roman" w:eastAsia="仿宋_GB2312"/>
          <w:b/>
          <w:kern w:val="2"/>
          <w:sz w:val="24"/>
          <w:szCs w:val="24"/>
          <w:highlight w:val="none"/>
        </w:rPr>
      </w:pPr>
    </w:p>
    <w:p>
      <w:pPr>
        <w:spacing w:before="78" w:beforeLines="25" w:after="78" w:afterLines="25" w:line="240" w:lineRule="auto"/>
        <w:rPr>
          <w:rFonts w:ascii="仿宋_GB2312" w:hAnsi="Times New Roman" w:eastAsia="仿宋_GB2312"/>
          <w:b/>
          <w:kern w:val="2"/>
          <w:sz w:val="24"/>
          <w:szCs w:val="24"/>
          <w:highlight w:val="none"/>
        </w:rPr>
      </w:pPr>
    </w:p>
    <w:p>
      <w:pPr>
        <w:rPr>
          <w:highlight w:val="none"/>
        </w:rPr>
      </w:pPr>
      <w:r>
        <w:rPr>
          <w:rFonts w:ascii="Calibri" w:hAnsi="Calibri" w:eastAsia="宋体" w:cs="Times New Roman"/>
          <w:highlight w:val="none"/>
        </w:rPr>
        <w:drawing>
          <wp:inline distT="0" distB="0" distL="0" distR="0">
            <wp:extent cx="5274310" cy="3569970"/>
            <wp:effectExtent l="0" t="0" r="2540" b="0"/>
            <wp:docPr id="6" name="图片 6" descr="C:\Users\Administrator\Documents\Tencent Files\526003609\FileRecv\级别图jpg\08湛江市区设施农用地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Tencent Files\526003609\FileRecv\级别图jpg\08湛江市区设施农用地基准地价级别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湛江市区国有农用地基准地价设施农用地级别图</w:t>
      </w:r>
    </w:p>
    <w:p>
      <w:pPr>
        <w:rPr>
          <w:highlight w:val="none"/>
        </w:rPr>
      </w:pPr>
      <w:r>
        <w:rPr>
          <w:rFonts w:ascii="Calibri" w:hAnsi="Calibri" w:eastAsia="宋体" w:cs="Times New Roman"/>
          <w:highlight w:val="none"/>
        </w:rPr>
        <w:drawing>
          <wp:inline distT="0" distB="0" distL="0" distR="0">
            <wp:extent cx="5274310" cy="3569970"/>
            <wp:effectExtent l="0" t="0" r="2540" b="0"/>
            <wp:docPr id="7" name="图片 7" descr="C:\Users\Administrator\Documents\Tencent Files\526003609\FileRecv\级别图jpg\09湛江市区草地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Tencent Files\526003609\FileRecv\级别图jpg\09湛江市区草地基准地价级别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t="4337"/>
                    <a:stretch>
                      <a:fillRect/>
                    </a:stretch>
                  </pic:blipFill>
                  <pic:spPr>
                    <a:xfrm>
                      <a:off x="0" y="0"/>
                      <a:ext cx="5274310" cy="3570585"/>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湛江市区国有农用地基准地价草地级别图</w:t>
      </w:r>
    </w:p>
    <w:p>
      <w:pPr>
        <w:spacing w:before="78" w:beforeLines="25" w:after="78" w:afterLines="25" w:line="240" w:lineRule="auto"/>
        <w:rPr>
          <w:rFonts w:ascii="仿宋_GB2312" w:hAnsi="Times New Roman" w:eastAsia="仿宋_GB2312"/>
          <w:b/>
          <w:kern w:val="2"/>
          <w:sz w:val="24"/>
          <w:szCs w:val="24"/>
          <w:highlight w:val="none"/>
        </w:rPr>
      </w:pPr>
    </w:p>
    <w:p>
      <w:pPr>
        <w:spacing w:before="78" w:beforeLines="25" w:after="78" w:afterLines="25" w:line="240" w:lineRule="auto"/>
        <w:rPr>
          <w:rFonts w:ascii="仿宋_GB2312" w:hAnsi="Times New Roman" w:eastAsia="仿宋_GB2312"/>
          <w:b/>
          <w:kern w:val="2"/>
          <w:sz w:val="24"/>
          <w:szCs w:val="24"/>
          <w:highlight w:val="none"/>
        </w:rPr>
      </w:pPr>
    </w:p>
    <w:p>
      <w:pPr>
        <w:rPr>
          <w:highlight w:val="none"/>
        </w:rPr>
      </w:pPr>
      <w:r>
        <w:rPr>
          <w:rFonts w:ascii="Calibri" w:hAnsi="Calibri" w:eastAsia="宋体" w:cs="Times New Roman"/>
          <w:highlight w:val="none"/>
        </w:rPr>
        <w:drawing>
          <wp:inline distT="0" distB="0" distL="0" distR="0">
            <wp:extent cx="5274310" cy="3550920"/>
            <wp:effectExtent l="0" t="0" r="2540" b="0"/>
            <wp:docPr id="8" name="图片 8" descr="C:\Users\Administrator\Documents\Tencent Files\526003609\FileRecv\级别图jpg\06湛江市区河流水面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Tencent Files\526003609\FileRecv\级别图jpg\06湛江市区河流水面基准地价级别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t="4847"/>
                    <a:stretch>
                      <a:fillRect/>
                    </a:stretch>
                  </pic:blipFill>
                  <pic:spPr>
                    <a:xfrm>
                      <a:off x="0" y="0"/>
                      <a:ext cx="5274310" cy="3551542"/>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湛江市区国有农用地基准地价河流水面级别图</w:t>
      </w:r>
    </w:p>
    <w:p>
      <w:pPr>
        <w:rPr>
          <w:highlight w:val="none"/>
        </w:rPr>
      </w:pPr>
    </w:p>
    <w:p>
      <w:pPr>
        <w:rPr>
          <w:highlight w:val="none"/>
        </w:rPr>
      </w:pPr>
      <w:r>
        <w:rPr>
          <w:rFonts w:ascii="Calibri" w:hAnsi="Calibri" w:eastAsia="宋体" w:cs="Times New Roman"/>
          <w:highlight w:val="none"/>
        </w:rPr>
        <w:drawing>
          <wp:inline distT="0" distB="0" distL="0" distR="0">
            <wp:extent cx="5274310" cy="3550920"/>
            <wp:effectExtent l="0" t="0" r="2540" b="0"/>
            <wp:docPr id="9" name="图片 9" descr="C:\Users\Administrator\Documents\Tencent Files\526003609\FileRecv\级别图jpg\07湛江市区水库水面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Tencent Files\526003609\FileRecv\级别图jpg\07湛江市区水库水面基准地价级别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t="4847"/>
                    <a:stretch>
                      <a:fillRect/>
                    </a:stretch>
                  </pic:blipFill>
                  <pic:spPr>
                    <a:xfrm>
                      <a:off x="0" y="0"/>
                      <a:ext cx="5274310" cy="3551542"/>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湛江市区国有农用地基准地价水库水面级别图</w:t>
      </w:r>
    </w:p>
    <w:p>
      <w:pPr>
        <w:spacing w:before="78" w:beforeLines="25" w:after="78" w:afterLines="25" w:line="240" w:lineRule="auto"/>
        <w:rPr>
          <w:rFonts w:ascii="仿宋_GB2312" w:hAnsi="Times New Roman" w:eastAsia="仿宋_GB2312"/>
          <w:b/>
          <w:kern w:val="2"/>
          <w:sz w:val="24"/>
          <w:szCs w:val="24"/>
          <w:highlight w:val="none"/>
        </w:rPr>
      </w:pPr>
    </w:p>
    <w:p>
      <w:pPr>
        <w:spacing w:before="78" w:beforeLines="25" w:after="78" w:afterLines="25" w:line="240" w:lineRule="auto"/>
        <w:rPr>
          <w:rFonts w:ascii="仿宋_GB2312" w:hAnsi="Times New Roman" w:eastAsia="仿宋_GB2312"/>
          <w:b/>
          <w:kern w:val="2"/>
          <w:sz w:val="24"/>
          <w:szCs w:val="24"/>
          <w:highlight w:val="none"/>
        </w:rPr>
      </w:pPr>
    </w:p>
    <w:p>
      <w:pPr>
        <w:rPr>
          <w:highlight w:val="none"/>
        </w:rPr>
      </w:pPr>
      <w:r>
        <w:rPr>
          <w:rFonts w:ascii="Calibri" w:hAnsi="Calibri" w:eastAsia="宋体" w:cs="Times New Roman"/>
          <w:highlight w:val="none"/>
        </w:rPr>
        <w:drawing>
          <wp:inline distT="0" distB="0" distL="0" distR="0">
            <wp:extent cx="5274310" cy="3560445"/>
            <wp:effectExtent l="0" t="0" r="2540" b="1905"/>
            <wp:docPr id="10" name="图片 10" descr="C:\Users\Administrator\Documents\Tencent Files\526003609\FileRecv\级别图jpg\10湛江市区内陆滩涂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Tencent Files\526003609\FileRecv\级别图jpg\10湛江市区内陆滩涂基准地价级别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t="4592"/>
                    <a:stretch>
                      <a:fillRect/>
                    </a:stretch>
                  </pic:blipFill>
                  <pic:spPr>
                    <a:xfrm>
                      <a:off x="0" y="0"/>
                      <a:ext cx="5274310" cy="3561064"/>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湛江市区国有农用地基准地价内陆滩涂级别图</w:t>
      </w:r>
    </w:p>
    <w:p>
      <w:pPr>
        <w:rPr>
          <w:highlight w:val="none"/>
        </w:rPr>
      </w:pPr>
    </w:p>
    <w:p>
      <w:pPr>
        <w:rPr>
          <w:highlight w:val="none"/>
        </w:rPr>
      </w:pPr>
      <w:r>
        <w:rPr>
          <w:rFonts w:ascii="Calibri" w:hAnsi="Calibri" w:eastAsia="宋体" w:cs="Times New Roman"/>
          <w:highlight w:val="none"/>
        </w:rPr>
        <w:drawing>
          <wp:inline distT="0" distB="0" distL="0" distR="0">
            <wp:extent cx="5274310" cy="3550920"/>
            <wp:effectExtent l="0" t="0" r="2540" b="0"/>
            <wp:docPr id="11" name="图片 11" descr="C:\Users\Administrator\Documents\Tencent Files\526003609\FileRecv\级别图jpg\11湛江市区沿海滩涂基准地价级别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Tencent Files\526003609\FileRecv\级别图jpg\11湛江市区沿海滩涂基准地价级别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t="4847"/>
                    <a:stretch>
                      <a:fillRect/>
                    </a:stretch>
                  </pic:blipFill>
                  <pic:spPr>
                    <a:xfrm>
                      <a:off x="0" y="0"/>
                      <a:ext cx="5274310" cy="3551542"/>
                    </a:xfrm>
                    <a:prstGeom prst="rect">
                      <a:avLst/>
                    </a:prstGeom>
                    <a:noFill/>
                    <a:ln>
                      <a:noFill/>
                    </a:ln>
                  </pic:spPr>
                </pic:pic>
              </a:graphicData>
            </a:graphic>
          </wp:inline>
        </w:drawing>
      </w:r>
    </w:p>
    <w:p>
      <w:pPr>
        <w:pStyle w:val="39"/>
        <w:widowControl w:val="0"/>
        <w:numPr>
          <w:ilvl w:val="0"/>
          <w:numId w:val="2"/>
        </w:numPr>
        <w:spacing w:before="78" w:beforeLines="25" w:after="78" w:afterLines="25" w:line="240" w:lineRule="auto"/>
        <w:contextualSpacing w:val="0"/>
        <w:jc w:val="center"/>
        <w:outlineLvl w:val="5"/>
        <w:rPr>
          <w:rFonts w:ascii="Times New Roman" w:hAnsi="Times New Roman" w:eastAsia="仿宋_GB2312" w:cs="Times New Roman"/>
          <w:b/>
          <w:kern w:val="2"/>
          <w:sz w:val="24"/>
          <w:szCs w:val="24"/>
          <w:highlight w:val="none"/>
        </w:rPr>
      </w:pPr>
      <w:r>
        <w:rPr>
          <w:rFonts w:hint="eastAsia" w:ascii="Times New Roman" w:hAnsi="Times New Roman" w:eastAsia="仿宋_GB2312" w:cs="Times New Roman"/>
          <w:b/>
          <w:kern w:val="2"/>
          <w:sz w:val="24"/>
          <w:szCs w:val="24"/>
          <w:highlight w:val="none"/>
        </w:rPr>
        <w:t>湛江市区国有农用地基准地价沿海滩涂级别图</w:t>
      </w:r>
    </w:p>
    <w:p>
      <w:pPr>
        <w:rPr>
          <w:highlight w:val="none"/>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19"/>
        <w:rFonts w:ascii="宋体" w:hAnsi="宋体" w:eastAsia="宋体"/>
        <w:sz w:val="28"/>
        <w:szCs w:val="28"/>
      </w:rPr>
    </w:pPr>
    <w:r>
      <w:rPr>
        <w:rStyle w:val="19"/>
        <w:rFonts w:hint="eastAsia" w:ascii="宋体" w:hAnsi="宋体" w:eastAsia="宋体"/>
        <w:sz w:val="28"/>
        <w:szCs w:val="28"/>
      </w:rPr>
      <w:t xml:space="preserve">— </w:t>
    </w:r>
    <w:r>
      <w:rPr>
        <w:rStyle w:val="19"/>
        <w:rFonts w:ascii="宋体" w:hAnsi="宋体" w:eastAsia="宋体"/>
        <w:sz w:val="28"/>
        <w:szCs w:val="28"/>
      </w:rPr>
      <w:fldChar w:fldCharType="begin"/>
    </w:r>
    <w:r>
      <w:rPr>
        <w:rStyle w:val="19"/>
        <w:rFonts w:ascii="宋体" w:hAnsi="宋体" w:eastAsia="宋体"/>
        <w:sz w:val="28"/>
        <w:szCs w:val="28"/>
      </w:rPr>
      <w:instrText xml:space="preserve">PAGE  </w:instrText>
    </w:r>
    <w:r>
      <w:rPr>
        <w:rStyle w:val="19"/>
        <w:rFonts w:ascii="宋体" w:hAnsi="宋体" w:eastAsia="宋体"/>
        <w:sz w:val="28"/>
        <w:szCs w:val="28"/>
      </w:rPr>
      <w:fldChar w:fldCharType="separate"/>
    </w:r>
    <w:r>
      <w:rPr>
        <w:rStyle w:val="19"/>
        <w:rFonts w:ascii="宋体" w:hAnsi="宋体" w:eastAsia="宋体"/>
        <w:sz w:val="28"/>
        <w:szCs w:val="28"/>
      </w:rPr>
      <w:t>4</w:t>
    </w:r>
    <w:r>
      <w:rPr>
        <w:rStyle w:val="19"/>
        <w:rFonts w:ascii="宋体" w:hAnsi="宋体" w:eastAsia="宋体"/>
        <w:sz w:val="28"/>
        <w:szCs w:val="28"/>
      </w:rPr>
      <w:fldChar w:fldCharType="end"/>
    </w:r>
    <w:r>
      <w:rPr>
        <w:rStyle w:val="19"/>
        <w:rFonts w:hint="eastAsia" w:ascii="宋体" w:hAnsi="宋体" w:eastAsia="宋体"/>
        <w:sz w:val="28"/>
        <w:szCs w:val="28"/>
      </w:rPr>
      <w:t xml:space="preserve"> —</w:t>
    </w:r>
  </w:p>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page" w:hAnchor="margin" w:yAlign="outside"/>
      <w:rPr>
        <w:rStyle w:val="19"/>
      </w:rPr>
    </w:pPr>
    <w:r>
      <w:fldChar w:fldCharType="begin"/>
    </w:r>
    <w:r>
      <w:rPr>
        <w:rStyle w:val="19"/>
      </w:rPr>
      <w:instrText xml:space="preserve">PAGE  </w:instrText>
    </w:r>
    <w:r>
      <w:fldChar w:fldCharType="end"/>
    </w:r>
  </w:p>
  <w:p>
    <w:pPr>
      <w:pStyle w:val="1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71BC3"/>
    <w:multiLevelType w:val="multilevel"/>
    <w:tmpl w:val="18371BC3"/>
    <w:lvl w:ilvl="0" w:tentative="0">
      <w:start w:val="1"/>
      <w:numFmt w:val="decimal"/>
      <w:lvlText w:val="图5-%1"/>
      <w:lvlJc w:val="center"/>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
    <w:nsid w:val="66BE4B5D"/>
    <w:multiLevelType w:val="multilevel"/>
    <w:tmpl w:val="66BE4B5D"/>
    <w:lvl w:ilvl="0" w:tentative="0">
      <w:start w:val="1"/>
      <w:numFmt w:val="decimal"/>
      <w:lvlText w:val="表4-%1"/>
      <w:lvlJc w:val="center"/>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A57"/>
    <w:rsid w:val="0007318C"/>
    <w:rsid w:val="000F7B6C"/>
    <w:rsid w:val="00114A1B"/>
    <w:rsid w:val="00182729"/>
    <w:rsid w:val="001C64BC"/>
    <w:rsid w:val="00227332"/>
    <w:rsid w:val="002D4A1A"/>
    <w:rsid w:val="00367A2E"/>
    <w:rsid w:val="003B1A2D"/>
    <w:rsid w:val="00404655"/>
    <w:rsid w:val="0043009D"/>
    <w:rsid w:val="004418E4"/>
    <w:rsid w:val="0044360E"/>
    <w:rsid w:val="00471D5B"/>
    <w:rsid w:val="004879B2"/>
    <w:rsid w:val="004956C9"/>
    <w:rsid w:val="0058115A"/>
    <w:rsid w:val="00584BFC"/>
    <w:rsid w:val="00622F34"/>
    <w:rsid w:val="006A5393"/>
    <w:rsid w:val="006B0115"/>
    <w:rsid w:val="00706F35"/>
    <w:rsid w:val="00800C58"/>
    <w:rsid w:val="008D3205"/>
    <w:rsid w:val="009C5CB3"/>
    <w:rsid w:val="009D21B9"/>
    <w:rsid w:val="009D6433"/>
    <w:rsid w:val="009F5739"/>
    <w:rsid w:val="00A909D7"/>
    <w:rsid w:val="00AE07F3"/>
    <w:rsid w:val="00B06430"/>
    <w:rsid w:val="00B9556A"/>
    <w:rsid w:val="00B97411"/>
    <w:rsid w:val="00C86521"/>
    <w:rsid w:val="00CD3A57"/>
    <w:rsid w:val="00CF1E15"/>
    <w:rsid w:val="00D4496A"/>
    <w:rsid w:val="00D51680"/>
    <w:rsid w:val="00D77894"/>
    <w:rsid w:val="00DB1721"/>
    <w:rsid w:val="00E17CF2"/>
    <w:rsid w:val="00E33F26"/>
    <w:rsid w:val="00E43194"/>
    <w:rsid w:val="00EB3836"/>
    <w:rsid w:val="00EB457B"/>
    <w:rsid w:val="00EE236F"/>
    <w:rsid w:val="00F11152"/>
    <w:rsid w:val="00FD710A"/>
    <w:rsid w:val="13D26A0A"/>
    <w:rsid w:val="28DF1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27"/>
    <w:qFormat/>
    <w:uiPriority w:val="9"/>
    <w:pPr>
      <w:spacing w:before="480" w:after="0"/>
      <w:contextualSpacing/>
      <w:outlineLvl w:val="0"/>
    </w:pPr>
    <w:rPr>
      <w:rFonts w:asciiTheme="majorHAnsi" w:hAnsiTheme="majorHAnsi" w:eastAsiaTheme="majorEastAsia" w:cstheme="majorBidi"/>
      <w:b/>
      <w:bCs/>
      <w:sz w:val="28"/>
      <w:szCs w:val="28"/>
    </w:rPr>
  </w:style>
  <w:style w:type="paragraph" w:styleId="3">
    <w:name w:val="heading 2"/>
    <w:basedOn w:val="1"/>
    <w:next w:val="1"/>
    <w:link w:val="28"/>
    <w:semiHidden/>
    <w:unhideWhenUsed/>
    <w:qFormat/>
    <w:uiPriority w:val="9"/>
    <w:pPr>
      <w:spacing w:before="200" w:after="0"/>
      <w:outlineLvl w:val="1"/>
    </w:pPr>
    <w:rPr>
      <w:rFonts w:asciiTheme="majorHAnsi" w:hAnsiTheme="majorHAnsi" w:eastAsiaTheme="majorEastAsia" w:cstheme="majorBidi"/>
      <w:b/>
      <w:bCs/>
      <w:sz w:val="26"/>
      <w:szCs w:val="26"/>
    </w:rPr>
  </w:style>
  <w:style w:type="paragraph" w:styleId="4">
    <w:name w:val="heading 3"/>
    <w:basedOn w:val="1"/>
    <w:next w:val="1"/>
    <w:link w:val="29"/>
    <w:semiHidden/>
    <w:unhideWhenUsed/>
    <w:qFormat/>
    <w:uiPriority w:val="9"/>
    <w:pPr>
      <w:spacing w:before="200" w:after="0" w:line="271" w:lineRule="auto"/>
      <w:outlineLvl w:val="2"/>
    </w:pPr>
    <w:rPr>
      <w:rFonts w:asciiTheme="majorHAnsi" w:hAnsiTheme="majorHAnsi" w:eastAsiaTheme="majorEastAsia" w:cstheme="majorBidi"/>
      <w:b/>
      <w:bCs/>
    </w:rPr>
  </w:style>
  <w:style w:type="paragraph" w:styleId="5">
    <w:name w:val="heading 4"/>
    <w:basedOn w:val="1"/>
    <w:next w:val="1"/>
    <w:link w:val="30"/>
    <w:semiHidden/>
    <w:unhideWhenUsed/>
    <w:qFormat/>
    <w:uiPriority w:val="9"/>
    <w:pPr>
      <w:spacing w:before="200" w:after="0"/>
      <w:outlineLvl w:val="3"/>
    </w:pPr>
    <w:rPr>
      <w:rFonts w:asciiTheme="majorHAnsi" w:hAnsiTheme="majorHAnsi" w:eastAsiaTheme="majorEastAsia" w:cstheme="majorBidi"/>
      <w:b/>
      <w:bCs/>
      <w:i/>
      <w:iCs/>
    </w:rPr>
  </w:style>
  <w:style w:type="paragraph" w:styleId="6">
    <w:name w:val="heading 5"/>
    <w:basedOn w:val="1"/>
    <w:next w:val="1"/>
    <w:link w:val="31"/>
    <w:semiHidden/>
    <w:unhideWhenUsed/>
    <w:qFormat/>
    <w:uiPriority w:val="9"/>
    <w:pPr>
      <w:spacing w:before="200" w:after="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7">
    <w:name w:val="heading 6"/>
    <w:basedOn w:val="1"/>
    <w:next w:val="1"/>
    <w:link w:val="32"/>
    <w:semiHidden/>
    <w:unhideWhenUsed/>
    <w:qFormat/>
    <w:uiPriority w:val="9"/>
    <w:pPr>
      <w:spacing w:after="0" w:line="271" w:lineRule="auto"/>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8">
    <w:name w:val="heading 7"/>
    <w:basedOn w:val="1"/>
    <w:next w:val="1"/>
    <w:link w:val="33"/>
    <w:semiHidden/>
    <w:unhideWhenUsed/>
    <w:qFormat/>
    <w:uiPriority w:val="9"/>
    <w:pPr>
      <w:spacing w:after="0"/>
      <w:outlineLvl w:val="6"/>
    </w:pPr>
    <w:rPr>
      <w:rFonts w:asciiTheme="majorHAnsi" w:hAnsiTheme="majorHAnsi" w:eastAsiaTheme="majorEastAsia" w:cstheme="majorBidi"/>
      <w:i/>
      <w:iCs/>
    </w:rPr>
  </w:style>
  <w:style w:type="paragraph" w:styleId="9">
    <w:name w:val="heading 8"/>
    <w:basedOn w:val="1"/>
    <w:next w:val="1"/>
    <w:link w:val="34"/>
    <w:semiHidden/>
    <w:unhideWhenUsed/>
    <w:qFormat/>
    <w:uiPriority w:val="9"/>
    <w:pPr>
      <w:spacing w:after="0"/>
      <w:outlineLvl w:val="7"/>
    </w:pPr>
    <w:rPr>
      <w:rFonts w:asciiTheme="majorHAnsi" w:hAnsiTheme="majorHAnsi" w:eastAsiaTheme="majorEastAsia" w:cstheme="majorBidi"/>
      <w:sz w:val="20"/>
      <w:szCs w:val="20"/>
    </w:rPr>
  </w:style>
  <w:style w:type="paragraph" w:styleId="10">
    <w:name w:val="heading 9"/>
    <w:basedOn w:val="1"/>
    <w:next w:val="1"/>
    <w:link w:val="35"/>
    <w:semiHidden/>
    <w:unhideWhenUsed/>
    <w:qFormat/>
    <w:uiPriority w:val="9"/>
    <w:pPr>
      <w:spacing w:after="0"/>
      <w:outlineLvl w:val="8"/>
    </w:pPr>
    <w:rPr>
      <w:rFonts w:asciiTheme="majorHAnsi" w:hAnsiTheme="majorHAnsi" w:eastAsiaTheme="majorEastAsia" w:cstheme="majorBidi"/>
      <w:i/>
      <w:iCs/>
      <w:spacing w:val="5"/>
      <w:sz w:val="20"/>
      <w:szCs w:val="20"/>
    </w:rPr>
  </w:style>
  <w:style w:type="character" w:default="1" w:styleId="17">
    <w:name w:val="Default Paragraph Font"/>
    <w:unhideWhenUsed/>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24"/>
    <w:semiHidden/>
    <w:unhideWhenUsed/>
    <w:qFormat/>
    <w:uiPriority w:val="99"/>
    <w:rPr>
      <w:sz w:val="18"/>
      <w:szCs w:val="18"/>
    </w:rPr>
  </w:style>
  <w:style w:type="paragraph" w:styleId="12">
    <w:name w:val="footer"/>
    <w:basedOn w:val="1"/>
    <w:link w:val="22"/>
    <w:unhideWhenUsed/>
    <w:qFormat/>
    <w:uiPriority w:val="0"/>
    <w:pPr>
      <w:tabs>
        <w:tab w:val="center" w:pos="4153"/>
        <w:tab w:val="right" w:pos="8306"/>
      </w:tabs>
      <w:snapToGrid w:val="0"/>
    </w:pPr>
    <w:rPr>
      <w:sz w:val="18"/>
      <w:szCs w:val="18"/>
    </w:rPr>
  </w:style>
  <w:style w:type="paragraph" w:styleId="13">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37"/>
    <w:qFormat/>
    <w:uiPriority w:val="11"/>
    <w:pPr>
      <w:spacing w:after="600"/>
    </w:pPr>
    <w:rPr>
      <w:rFonts w:asciiTheme="majorHAnsi" w:hAnsiTheme="majorHAnsi" w:eastAsiaTheme="majorEastAsia" w:cstheme="majorBidi"/>
      <w:i/>
      <w:iCs/>
      <w:spacing w:val="13"/>
      <w:sz w:val="24"/>
      <w:szCs w:val="24"/>
    </w:rPr>
  </w:style>
  <w:style w:type="paragraph" w:styleId="15">
    <w:name w:val="Title"/>
    <w:basedOn w:val="1"/>
    <w:next w:val="1"/>
    <w:link w:val="36"/>
    <w:qFormat/>
    <w:uiPriority w:val="10"/>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character" w:styleId="18">
    <w:name w:val="Strong"/>
    <w:qFormat/>
    <w:uiPriority w:val="22"/>
    <w:rPr>
      <w:b/>
      <w:bCs/>
    </w:rPr>
  </w:style>
  <w:style w:type="character" w:styleId="19">
    <w:name w:val="page number"/>
    <w:basedOn w:val="17"/>
    <w:qFormat/>
    <w:uiPriority w:val="0"/>
  </w:style>
  <w:style w:type="character" w:styleId="20">
    <w:name w:val="Emphasis"/>
    <w:qFormat/>
    <w:uiPriority w:val="20"/>
    <w:rPr>
      <w:b/>
      <w:bCs/>
      <w:i/>
      <w:iCs/>
      <w:spacing w:val="10"/>
      <w:shd w:val="clear" w:color="auto" w:fill="auto"/>
    </w:rPr>
  </w:style>
  <w:style w:type="character" w:customStyle="1" w:styleId="21">
    <w:name w:val="页眉 Char"/>
    <w:basedOn w:val="17"/>
    <w:link w:val="13"/>
    <w:qFormat/>
    <w:uiPriority w:val="99"/>
    <w:rPr>
      <w:sz w:val="18"/>
      <w:szCs w:val="18"/>
    </w:rPr>
  </w:style>
  <w:style w:type="character" w:customStyle="1" w:styleId="22">
    <w:name w:val="页脚 Char"/>
    <w:basedOn w:val="17"/>
    <w:link w:val="12"/>
    <w:qFormat/>
    <w:uiPriority w:val="99"/>
    <w:rPr>
      <w:sz w:val="18"/>
      <w:szCs w:val="18"/>
    </w:rPr>
  </w:style>
  <w:style w:type="character" w:customStyle="1" w:styleId="23">
    <w:name w:val="页脚 Char1"/>
    <w:qFormat/>
    <w:locked/>
    <w:uiPriority w:val="0"/>
    <w:rPr>
      <w:rFonts w:eastAsia="仿宋_GB2312"/>
      <w:kern w:val="2"/>
      <w:sz w:val="18"/>
      <w:szCs w:val="18"/>
      <w:lang w:val="en-US" w:eastAsia="zh-CN" w:bidi="ar-SA"/>
    </w:rPr>
  </w:style>
  <w:style w:type="character" w:customStyle="1" w:styleId="24">
    <w:name w:val="批注框文本 Char"/>
    <w:basedOn w:val="17"/>
    <w:link w:val="11"/>
    <w:semiHidden/>
    <w:qFormat/>
    <w:uiPriority w:val="99"/>
    <w:rPr>
      <w:rFonts w:ascii="Times New Roman" w:hAnsi="Times New Roman" w:eastAsia="仿宋_GB2312" w:cs="Times New Roman"/>
      <w:sz w:val="18"/>
      <w:szCs w:val="18"/>
    </w:rPr>
  </w:style>
  <w:style w:type="paragraph" w:customStyle="1" w:styleId="25">
    <w:name w:val="图表"/>
    <w:basedOn w:val="1"/>
    <w:link w:val="26"/>
    <w:qFormat/>
    <w:uiPriority w:val="0"/>
    <w:pPr>
      <w:snapToGrid w:val="0"/>
      <w:spacing w:before="50" w:beforeLines="50" w:after="50" w:afterLines="50"/>
      <w:jc w:val="center"/>
    </w:pPr>
    <w:rPr>
      <w:rFonts w:eastAsia="仿宋"/>
      <w:b/>
      <w:kern w:val="28"/>
      <w:sz w:val="21"/>
      <w:szCs w:val="24"/>
    </w:rPr>
  </w:style>
  <w:style w:type="character" w:customStyle="1" w:styleId="26">
    <w:name w:val="图表 Char"/>
    <w:link w:val="25"/>
    <w:qFormat/>
    <w:uiPriority w:val="0"/>
    <w:rPr>
      <w:rFonts w:ascii="Times New Roman" w:hAnsi="Times New Roman" w:eastAsia="仿宋" w:cs="Times New Roman"/>
      <w:b/>
      <w:kern w:val="28"/>
      <w:szCs w:val="24"/>
    </w:rPr>
  </w:style>
  <w:style w:type="character" w:customStyle="1" w:styleId="27">
    <w:name w:val="标题 1 Char"/>
    <w:basedOn w:val="17"/>
    <w:link w:val="2"/>
    <w:qFormat/>
    <w:uiPriority w:val="9"/>
    <w:rPr>
      <w:rFonts w:asciiTheme="majorHAnsi" w:hAnsiTheme="majorHAnsi" w:eastAsiaTheme="majorEastAsia" w:cstheme="majorBidi"/>
      <w:b/>
      <w:bCs/>
      <w:sz w:val="28"/>
      <w:szCs w:val="28"/>
    </w:rPr>
  </w:style>
  <w:style w:type="character" w:customStyle="1" w:styleId="28">
    <w:name w:val="标题 2 Char"/>
    <w:basedOn w:val="17"/>
    <w:link w:val="3"/>
    <w:semiHidden/>
    <w:qFormat/>
    <w:uiPriority w:val="9"/>
    <w:rPr>
      <w:rFonts w:asciiTheme="majorHAnsi" w:hAnsiTheme="majorHAnsi" w:eastAsiaTheme="majorEastAsia" w:cstheme="majorBidi"/>
      <w:b/>
      <w:bCs/>
      <w:sz w:val="26"/>
      <w:szCs w:val="26"/>
    </w:rPr>
  </w:style>
  <w:style w:type="character" w:customStyle="1" w:styleId="29">
    <w:name w:val="标题 3 Char"/>
    <w:basedOn w:val="17"/>
    <w:link w:val="4"/>
    <w:semiHidden/>
    <w:uiPriority w:val="9"/>
    <w:rPr>
      <w:rFonts w:asciiTheme="majorHAnsi" w:hAnsiTheme="majorHAnsi" w:eastAsiaTheme="majorEastAsia" w:cstheme="majorBidi"/>
      <w:b/>
      <w:bCs/>
    </w:rPr>
  </w:style>
  <w:style w:type="character" w:customStyle="1" w:styleId="30">
    <w:name w:val="标题 4 Char"/>
    <w:basedOn w:val="17"/>
    <w:link w:val="5"/>
    <w:semiHidden/>
    <w:qFormat/>
    <w:uiPriority w:val="9"/>
    <w:rPr>
      <w:rFonts w:asciiTheme="majorHAnsi" w:hAnsiTheme="majorHAnsi" w:eastAsiaTheme="majorEastAsia" w:cstheme="majorBidi"/>
      <w:b/>
      <w:bCs/>
      <w:i/>
      <w:iCs/>
    </w:rPr>
  </w:style>
  <w:style w:type="character" w:customStyle="1" w:styleId="31">
    <w:name w:val="标题 5 Char"/>
    <w:basedOn w:val="17"/>
    <w:link w:val="6"/>
    <w:semiHidden/>
    <w:uiPriority w:val="9"/>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character" w:customStyle="1" w:styleId="32">
    <w:name w:val="标题 6 Char"/>
    <w:basedOn w:val="17"/>
    <w:link w:val="7"/>
    <w:semiHidden/>
    <w:uiPriority w:val="9"/>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character" w:customStyle="1" w:styleId="33">
    <w:name w:val="标题 7 Char"/>
    <w:basedOn w:val="17"/>
    <w:link w:val="8"/>
    <w:semiHidden/>
    <w:qFormat/>
    <w:uiPriority w:val="9"/>
    <w:rPr>
      <w:rFonts w:asciiTheme="majorHAnsi" w:hAnsiTheme="majorHAnsi" w:eastAsiaTheme="majorEastAsia" w:cstheme="majorBidi"/>
      <w:i/>
      <w:iCs/>
    </w:rPr>
  </w:style>
  <w:style w:type="character" w:customStyle="1" w:styleId="34">
    <w:name w:val="标题 8 Char"/>
    <w:basedOn w:val="17"/>
    <w:link w:val="9"/>
    <w:semiHidden/>
    <w:qFormat/>
    <w:uiPriority w:val="9"/>
    <w:rPr>
      <w:rFonts w:asciiTheme="majorHAnsi" w:hAnsiTheme="majorHAnsi" w:eastAsiaTheme="majorEastAsia" w:cstheme="majorBidi"/>
      <w:sz w:val="20"/>
      <w:szCs w:val="20"/>
    </w:rPr>
  </w:style>
  <w:style w:type="character" w:customStyle="1" w:styleId="35">
    <w:name w:val="标题 9 Char"/>
    <w:basedOn w:val="17"/>
    <w:link w:val="10"/>
    <w:semiHidden/>
    <w:qFormat/>
    <w:uiPriority w:val="9"/>
    <w:rPr>
      <w:rFonts w:asciiTheme="majorHAnsi" w:hAnsiTheme="majorHAnsi" w:eastAsiaTheme="majorEastAsia" w:cstheme="majorBidi"/>
      <w:i/>
      <w:iCs/>
      <w:spacing w:val="5"/>
      <w:sz w:val="20"/>
      <w:szCs w:val="20"/>
    </w:rPr>
  </w:style>
  <w:style w:type="character" w:customStyle="1" w:styleId="36">
    <w:name w:val="标题 Char"/>
    <w:basedOn w:val="17"/>
    <w:link w:val="15"/>
    <w:uiPriority w:val="10"/>
    <w:rPr>
      <w:rFonts w:asciiTheme="majorHAnsi" w:hAnsiTheme="majorHAnsi" w:eastAsiaTheme="majorEastAsia" w:cstheme="majorBidi"/>
      <w:spacing w:val="5"/>
      <w:sz w:val="52"/>
      <w:szCs w:val="52"/>
    </w:rPr>
  </w:style>
  <w:style w:type="character" w:customStyle="1" w:styleId="37">
    <w:name w:val="副标题 Char"/>
    <w:basedOn w:val="17"/>
    <w:link w:val="14"/>
    <w:qFormat/>
    <w:uiPriority w:val="11"/>
    <w:rPr>
      <w:rFonts w:asciiTheme="majorHAnsi" w:hAnsiTheme="majorHAnsi" w:eastAsiaTheme="majorEastAsia" w:cstheme="majorBidi"/>
      <w:i/>
      <w:iCs/>
      <w:spacing w:val="13"/>
      <w:sz w:val="24"/>
      <w:szCs w:val="24"/>
    </w:rPr>
  </w:style>
  <w:style w:type="paragraph" w:styleId="38">
    <w:name w:val="No Spacing"/>
    <w:basedOn w:val="1"/>
    <w:qFormat/>
    <w:uiPriority w:val="1"/>
    <w:pPr>
      <w:spacing w:after="0" w:line="240" w:lineRule="auto"/>
    </w:pPr>
  </w:style>
  <w:style w:type="paragraph" w:styleId="39">
    <w:name w:val="List Paragraph"/>
    <w:basedOn w:val="1"/>
    <w:qFormat/>
    <w:uiPriority w:val="34"/>
    <w:pPr>
      <w:ind w:left="720"/>
      <w:contextualSpacing/>
    </w:pPr>
  </w:style>
  <w:style w:type="paragraph" w:styleId="40">
    <w:name w:val="Quote"/>
    <w:basedOn w:val="1"/>
    <w:next w:val="1"/>
    <w:link w:val="41"/>
    <w:qFormat/>
    <w:uiPriority w:val="29"/>
    <w:pPr>
      <w:spacing w:before="200" w:after="0"/>
      <w:ind w:left="360" w:right="360"/>
    </w:pPr>
    <w:rPr>
      <w:i/>
      <w:iCs/>
    </w:rPr>
  </w:style>
  <w:style w:type="character" w:customStyle="1" w:styleId="41">
    <w:name w:val="引用 Char"/>
    <w:basedOn w:val="17"/>
    <w:link w:val="40"/>
    <w:qFormat/>
    <w:uiPriority w:val="29"/>
    <w:rPr>
      <w:i/>
      <w:iCs/>
    </w:rPr>
  </w:style>
  <w:style w:type="paragraph" w:styleId="42">
    <w:name w:val="Intense Quote"/>
    <w:basedOn w:val="1"/>
    <w:next w:val="1"/>
    <w:link w:val="43"/>
    <w:qFormat/>
    <w:uiPriority w:val="30"/>
    <w:pPr>
      <w:pBdr>
        <w:bottom w:val="single" w:color="auto" w:sz="4" w:space="1"/>
      </w:pBdr>
      <w:spacing w:before="200" w:after="280"/>
      <w:ind w:left="1008" w:right="1152"/>
      <w:jc w:val="both"/>
    </w:pPr>
    <w:rPr>
      <w:b/>
      <w:bCs/>
      <w:i/>
      <w:iCs/>
    </w:rPr>
  </w:style>
  <w:style w:type="character" w:customStyle="1" w:styleId="43">
    <w:name w:val="明显引用 Char"/>
    <w:basedOn w:val="17"/>
    <w:link w:val="42"/>
    <w:qFormat/>
    <w:uiPriority w:val="30"/>
    <w:rPr>
      <w:b/>
      <w:bCs/>
      <w:i/>
      <w:iCs/>
    </w:rPr>
  </w:style>
  <w:style w:type="character" w:customStyle="1" w:styleId="44">
    <w:name w:val="Subtle Emphasis"/>
    <w:qFormat/>
    <w:uiPriority w:val="19"/>
    <w:rPr>
      <w:i/>
      <w:iCs/>
    </w:rPr>
  </w:style>
  <w:style w:type="character" w:customStyle="1" w:styleId="45">
    <w:name w:val="Intense Emphasis"/>
    <w:qFormat/>
    <w:uiPriority w:val="21"/>
    <w:rPr>
      <w:b/>
      <w:bCs/>
    </w:rPr>
  </w:style>
  <w:style w:type="character" w:customStyle="1" w:styleId="46">
    <w:name w:val="Subtle Reference"/>
    <w:qFormat/>
    <w:uiPriority w:val="31"/>
    <w:rPr>
      <w:smallCaps/>
    </w:rPr>
  </w:style>
  <w:style w:type="character" w:customStyle="1" w:styleId="47">
    <w:name w:val="Intense Reference"/>
    <w:qFormat/>
    <w:uiPriority w:val="32"/>
    <w:rPr>
      <w:smallCaps/>
      <w:spacing w:val="5"/>
      <w:u w:val="single"/>
    </w:rPr>
  </w:style>
  <w:style w:type="character" w:customStyle="1" w:styleId="48">
    <w:name w:val="Book Title"/>
    <w:qFormat/>
    <w:uiPriority w:val="33"/>
    <w:rPr>
      <w:i/>
      <w:iCs/>
      <w:smallCaps/>
      <w:spacing w:val="5"/>
    </w:rPr>
  </w:style>
  <w:style w:type="paragraph" w:customStyle="1" w:styleId="49">
    <w:name w:val="TOC Heading"/>
    <w:basedOn w:val="2"/>
    <w:next w:val="1"/>
    <w:semiHidden/>
    <w:unhideWhenUsed/>
    <w:qFormat/>
    <w:uiPriority w:val="39"/>
    <w:pPr>
      <w:outlineLvl w:val="9"/>
    </w:pPr>
    <w:rPr>
      <w:lang w:bidi="en-US"/>
    </w:rPr>
  </w:style>
  <w:style w:type="character" w:customStyle="1" w:styleId="50">
    <w:name w:val="060-图表 Char"/>
    <w:link w:val="51"/>
    <w:uiPriority w:val="0"/>
    <w:rPr>
      <w:rFonts w:eastAsia="仿宋"/>
      <w:color w:val="000000"/>
      <w:spacing w:val="6"/>
      <w:kern w:val="28"/>
      <w:sz w:val="21"/>
      <w:lang w:bidi="en-US"/>
    </w:rPr>
  </w:style>
  <w:style w:type="paragraph" w:customStyle="1" w:styleId="51">
    <w:name w:val="060-图表"/>
    <w:basedOn w:val="1"/>
    <w:link w:val="50"/>
    <w:qFormat/>
    <w:uiPriority w:val="0"/>
    <w:pPr>
      <w:spacing w:after="0" w:line="240" w:lineRule="auto"/>
      <w:jc w:val="center"/>
    </w:pPr>
    <w:rPr>
      <w:rFonts w:eastAsia="仿宋"/>
      <w:color w:val="000000"/>
      <w:spacing w:val="6"/>
      <w:kern w:val="28"/>
      <w:sz w:val="21"/>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B3995D-DD89-4899-9746-48BFDBF04EF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192</Words>
  <Characters>1099</Characters>
  <Lines>9</Lines>
  <Paragraphs>2</Paragraphs>
  <TotalTime>0</TotalTime>
  <ScaleCrop>false</ScaleCrop>
  <LinksUpToDate>false</LinksUpToDate>
  <CharactersWithSpaces>1289</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2018-11-14T08:02:00Z</dcterms:created>
  <dc:creator>杜凯</dc:creator>
  <cp:lastModifiedBy>Administrator</cp:lastModifiedBy>
  <dcterms:modified xsi:type="dcterms:W3CDTF">2019-01-29T08:30:44Z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