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CD" w:rsidRDefault="007B02CD" w:rsidP="007B02CD">
      <w:pPr>
        <w:jc w:val="center"/>
        <w:rPr>
          <w:rFonts w:ascii="黑体" w:eastAsia="黑体" w:hAnsi="黑体" w:hint="eastAsia"/>
          <w:sz w:val="44"/>
        </w:rPr>
      </w:pPr>
      <w:r>
        <w:rPr>
          <w:rFonts w:ascii="黑体" w:eastAsia="黑体" w:hAnsi="黑体" w:hint="eastAsia"/>
          <w:sz w:val="44"/>
        </w:rPr>
        <w:t>省新一轮技术改造政策简介</w:t>
      </w:r>
    </w:p>
    <w:p w:rsidR="007B02CD" w:rsidRDefault="007B02CD" w:rsidP="007B02CD">
      <w:pPr>
        <w:rPr>
          <w:rFonts w:ascii="黑体" w:eastAsia="黑体" w:hAnsi="黑体" w:hint="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1"/>
        <w:gridCol w:w="7291"/>
      </w:tblGrid>
      <w:tr w:rsidR="007B02CD" w:rsidTr="008334B3">
        <w:tc>
          <w:tcPr>
            <w:tcW w:w="1231" w:type="dxa"/>
            <w:vAlign w:val="center"/>
          </w:tcPr>
          <w:p w:rsidR="007B02CD" w:rsidRDefault="007B02CD" w:rsidP="008334B3">
            <w:pPr>
              <w:jc w:val="left"/>
              <w:rPr>
                <w:rFonts w:ascii="宋体" w:hAnsi="宋体" w:hint="eastAsia"/>
                <w:bCs/>
                <w:sz w:val="24"/>
                <w:szCs w:val="32"/>
              </w:rPr>
            </w:pPr>
            <w:r>
              <w:rPr>
                <w:rFonts w:ascii="宋体" w:hAnsi="宋体" w:hint="eastAsia"/>
                <w:bCs/>
                <w:sz w:val="24"/>
                <w:szCs w:val="32"/>
              </w:rPr>
              <w:t>工作目标</w:t>
            </w:r>
          </w:p>
        </w:tc>
        <w:tc>
          <w:tcPr>
            <w:tcW w:w="7291" w:type="dxa"/>
          </w:tcPr>
          <w:p w:rsidR="007B02CD" w:rsidRDefault="007B02CD" w:rsidP="008334B3">
            <w:pPr>
              <w:jc w:val="left"/>
              <w:rPr>
                <w:rFonts w:ascii="宋体" w:hAnsi="宋体" w:hint="eastAsia"/>
              </w:rPr>
            </w:pPr>
            <w:r>
              <w:rPr>
                <w:rFonts w:ascii="宋体" w:hAnsi="宋体" w:hint="eastAsia"/>
              </w:rPr>
              <w:t xml:space="preserve">    力争用3年左右时间，推动全省先进制造业和优势传统产业实施新一轮技术改造，工业技术改造投资年均增长25%左右，累计完成投资9000亿元以上，工业企业全员劳动率年均提高5000元/人左右。</w:t>
            </w:r>
          </w:p>
        </w:tc>
      </w:tr>
      <w:tr w:rsidR="007B02CD" w:rsidTr="008334B3">
        <w:tc>
          <w:tcPr>
            <w:tcW w:w="1231" w:type="dxa"/>
            <w:vAlign w:val="center"/>
          </w:tcPr>
          <w:p w:rsidR="007B02CD" w:rsidRDefault="007B02CD" w:rsidP="008334B3">
            <w:pPr>
              <w:jc w:val="center"/>
              <w:rPr>
                <w:rFonts w:ascii="宋体" w:hAnsi="宋体" w:hint="eastAsia"/>
                <w:sz w:val="24"/>
              </w:rPr>
            </w:pPr>
            <w:r>
              <w:rPr>
                <w:rFonts w:ascii="宋体" w:hAnsi="宋体" w:hint="eastAsia"/>
                <w:bCs/>
                <w:sz w:val="24"/>
                <w:szCs w:val="32"/>
              </w:rPr>
              <w:t>主要任务</w:t>
            </w:r>
          </w:p>
        </w:tc>
        <w:tc>
          <w:tcPr>
            <w:tcW w:w="7291" w:type="dxa"/>
          </w:tcPr>
          <w:p w:rsidR="007B02CD" w:rsidRDefault="007B02CD" w:rsidP="008334B3">
            <w:pPr>
              <w:jc w:val="left"/>
              <w:rPr>
                <w:rFonts w:ascii="宋体" w:hAnsi="宋体" w:hint="eastAsia"/>
              </w:rPr>
            </w:pPr>
            <w:r>
              <w:rPr>
                <w:rFonts w:ascii="宋体" w:hAnsi="宋体" w:hint="eastAsia"/>
              </w:rPr>
              <w:t xml:space="preserve">    支持扩产增效、推动智能化改造、推动设备更新、加强公共服务平台建设、引导绿色发展。</w:t>
            </w:r>
          </w:p>
        </w:tc>
      </w:tr>
      <w:tr w:rsidR="007B02CD" w:rsidTr="008334B3">
        <w:tc>
          <w:tcPr>
            <w:tcW w:w="1231" w:type="dxa"/>
            <w:vAlign w:val="center"/>
          </w:tcPr>
          <w:p w:rsidR="007B02CD" w:rsidRDefault="007B02CD" w:rsidP="008334B3">
            <w:pPr>
              <w:tabs>
                <w:tab w:val="left" w:pos="538"/>
              </w:tabs>
              <w:jc w:val="center"/>
              <w:rPr>
                <w:rFonts w:ascii="宋体" w:hAnsi="宋体" w:hint="eastAsia"/>
                <w:sz w:val="24"/>
              </w:rPr>
            </w:pPr>
            <w:r>
              <w:rPr>
                <w:rFonts w:ascii="宋体" w:hAnsi="宋体" w:hint="eastAsia"/>
                <w:sz w:val="24"/>
              </w:rPr>
              <w:t>财政支持</w:t>
            </w:r>
          </w:p>
        </w:tc>
        <w:tc>
          <w:tcPr>
            <w:tcW w:w="7291" w:type="dxa"/>
          </w:tcPr>
          <w:p w:rsidR="007B02CD" w:rsidRDefault="007B02CD" w:rsidP="008334B3">
            <w:pPr>
              <w:jc w:val="left"/>
              <w:rPr>
                <w:rFonts w:ascii="宋体" w:hAnsi="宋体" w:hint="eastAsia"/>
              </w:rPr>
            </w:pPr>
            <w:r>
              <w:rPr>
                <w:rFonts w:ascii="宋体" w:hAnsi="宋体" w:hint="eastAsia"/>
              </w:rPr>
              <w:t xml:space="preserve">    第一类：2015年至2017年，省财政预算安排技术专项资金75亿元，主要采用股权投资、贴息等方式支持有规模效应、龙头聚集效应的项目，对进口先进技术设备用于技术改造投资项目，符合进口设备贴息政策的，给予贴息支持，具体办法由省财政厅会同省经济和信息化委另行研究制定。鼓励投资额大、带动性强的项目申报国家财政专项资金。引导地方政府加大对技改支持力度，鼓励有条件的的地市设立技改专项。</w:t>
            </w:r>
          </w:p>
          <w:p w:rsidR="007B02CD" w:rsidRDefault="007B02CD" w:rsidP="008334B3">
            <w:pPr>
              <w:ind w:firstLineChars="200" w:firstLine="420"/>
              <w:jc w:val="left"/>
              <w:rPr>
                <w:rFonts w:ascii="宋体" w:hAnsi="宋体" w:hint="eastAsia"/>
              </w:rPr>
            </w:pPr>
            <w:r>
              <w:rPr>
                <w:rFonts w:ascii="宋体" w:hAnsi="宋体" w:hint="eastAsia"/>
              </w:rPr>
              <w:t>第二类：实施事后奖补政策，从2015年起，对符合国家产业政策和《目录》、在广东省内注册并取得技术改造投资项目备案证的规模以上工业企业，省、市、县财政通过预算安排，从完工下一年起连续三年内，按对财政贡献增量额度中省级分成部分的60%、地市级分成部分的50%、县级分成部分的40%实行以奖代补。</w:t>
            </w:r>
          </w:p>
        </w:tc>
      </w:tr>
      <w:tr w:rsidR="007B02CD" w:rsidTr="008334B3">
        <w:tc>
          <w:tcPr>
            <w:tcW w:w="1231" w:type="dxa"/>
            <w:vAlign w:val="center"/>
          </w:tcPr>
          <w:p w:rsidR="007B02CD" w:rsidRDefault="007B02CD" w:rsidP="008334B3">
            <w:pPr>
              <w:jc w:val="center"/>
              <w:rPr>
                <w:rFonts w:ascii="宋体" w:hAnsi="宋体" w:hint="eastAsia"/>
                <w:sz w:val="24"/>
              </w:rPr>
            </w:pPr>
            <w:r>
              <w:rPr>
                <w:rFonts w:ascii="宋体" w:hAnsi="宋体" w:hint="eastAsia"/>
                <w:sz w:val="24"/>
              </w:rPr>
              <w:t>民间投入</w:t>
            </w:r>
          </w:p>
        </w:tc>
        <w:tc>
          <w:tcPr>
            <w:tcW w:w="7291" w:type="dxa"/>
          </w:tcPr>
          <w:p w:rsidR="007B02CD" w:rsidRDefault="007B02CD" w:rsidP="008334B3">
            <w:pPr>
              <w:jc w:val="left"/>
              <w:rPr>
                <w:rFonts w:ascii="宋体" w:hAnsi="宋体" w:hint="eastAsia"/>
              </w:rPr>
            </w:pPr>
            <w:r>
              <w:rPr>
                <w:rFonts w:ascii="宋体" w:hAnsi="宋体" w:hint="eastAsia"/>
              </w:rPr>
              <w:t xml:space="preserve">    按市场化原则，鼓励引导民间资本设立股权基金、产业基金、偿债基金、质押股权收购基金等，支持企业技术改造。支持企业上市融资，鼓励企业发债，吸引风险投资、创业投资等民间资本参与企业技术改造。</w:t>
            </w:r>
          </w:p>
        </w:tc>
      </w:tr>
      <w:tr w:rsidR="007B02CD" w:rsidTr="008334B3">
        <w:tc>
          <w:tcPr>
            <w:tcW w:w="1231" w:type="dxa"/>
            <w:vAlign w:val="center"/>
          </w:tcPr>
          <w:p w:rsidR="007B02CD" w:rsidRDefault="007B02CD" w:rsidP="008334B3">
            <w:pPr>
              <w:jc w:val="center"/>
              <w:rPr>
                <w:rFonts w:ascii="宋体" w:hAnsi="宋体" w:hint="eastAsia"/>
                <w:sz w:val="24"/>
              </w:rPr>
            </w:pPr>
            <w:r>
              <w:rPr>
                <w:rFonts w:ascii="宋体" w:hAnsi="宋体" w:hint="eastAsia"/>
                <w:sz w:val="24"/>
              </w:rPr>
              <w:t>金融服务</w:t>
            </w:r>
          </w:p>
        </w:tc>
        <w:tc>
          <w:tcPr>
            <w:tcW w:w="7291" w:type="dxa"/>
          </w:tcPr>
          <w:p w:rsidR="007B02CD" w:rsidRDefault="007B02CD" w:rsidP="008334B3">
            <w:pPr>
              <w:jc w:val="left"/>
              <w:rPr>
                <w:rFonts w:ascii="宋体" w:hAnsi="宋体" w:hint="eastAsia"/>
              </w:rPr>
            </w:pPr>
            <w:r>
              <w:rPr>
                <w:rFonts w:ascii="宋体" w:hAnsi="宋体" w:hint="eastAsia"/>
              </w:rPr>
              <w:t xml:space="preserve">    鼓励金融机构开发针对工业企业技术改造的信贷新品种，开设工业企业技术改造融资“绿色通道”，推动金融机构简化贷款审批流程、缩短审批时间，对重点工业项目和重点技术改造项目优先给予扶持。大力发展融资租赁，重点推动企业通过租赁方式引进大型技术装备进行技术改造，支持企业通过融资租赁购买设备进行技术改造投资。</w:t>
            </w:r>
          </w:p>
        </w:tc>
      </w:tr>
      <w:tr w:rsidR="007B02CD" w:rsidTr="008334B3">
        <w:tc>
          <w:tcPr>
            <w:tcW w:w="1231" w:type="dxa"/>
            <w:vAlign w:val="center"/>
          </w:tcPr>
          <w:p w:rsidR="007B02CD" w:rsidRDefault="007B02CD" w:rsidP="008334B3">
            <w:pPr>
              <w:jc w:val="center"/>
              <w:rPr>
                <w:rFonts w:ascii="宋体" w:hAnsi="宋体" w:hint="eastAsia"/>
                <w:sz w:val="24"/>
              </w:rPr>
            </w:pPr>
            <w:r>
              <w:rPr>
                <w:rFonts w:ascii="宋体" w:hAnsi="宋体" w:hint="eastAsia"/>
                <w:sz w:val="24"/>
              </w:rPr>
              <w:t>用地支持</w:t>
            </w:r>
          </w:p>
        </w:tc>
        <w:tc>
          <w:tcPr>
            <w:tcW w:w="7291" w:type="dxa"/>
          </w:tcPr>
          <w:p w:rsidR="007B02CD" w:rsidRDefault="007B02CD" w:rsidP="008334B3">
            <w:pPr>
              <w:jc w:val="left"/>
              <w:rPr>
                <w:rFonts w:ascii="宋体" w:hAnsi="宋体" w:hint="eastAsia"/>
              </w:rPr>
            </w:pPr>
            <w:r>
              <w:rPr>
                <w:rFonts w:ascii="宋体" w:hAnsi="宋体" w:hint="eastAsia"/>
              </w:rPr>
              <w:t xml:space="preserve">    各地在省下达的用地计划指标中统筹考虑优质技改项目，优先支持投资强度达到500万元/亩以上（粤东西北地区300万元/亩以上）的优质技改项目。鼓励企业充分利用已有的场地进行技术改造，在符合规划、不改变土地用途的前提下，通过增建生产性设施、拆除重建、加层等方式进行改扩建，新增建筑面积部分不再征收土地出让金。允许和鼓励企业将老厂区用地纳入“三旧”改造范围，并享受“三旧”改造优惠政策。对符合投资强度、容积率、绿地率等约束性指标的技术改造项目给予优先审批、并联审批、及时供地。</w:t>
            </w:r>
          </w:p>
        </w:tc>
      </w:tr>
      <w:tr w:rsidR="007B02CD" w:rsidTr="008334B3">
        <w:tc>
          <w:tcPr>
            <w:tcW w:w="1231" w:type="dxa"/>
            <w:vAlign w:val="center"/>
          </w:tcPr>
          <w:p w:rsidR="007B02CD" w:rsidRDefault="007B02CD" w:rsidP="008334B3">
            <w:pPr>
              <w:jc w:val="center"/>
              <w:rPr>
                <w:rFonts w:ascii="宋体" w:hAnsi="宋体" w:hint="eastAsia"/>
                <w:sz w:val="24"/>
              </w:rPr>
            </w:pPr>
            <w:r>
              <w:rPr>
                <w:rFonts w:ascii="宋体" w:hAnsi="宋体" w:hint="eastAsia"/>
                <w:sz w:val="24"/>
              </w:rPr>
              <w:t>简化环评</w:t>
            </w:r>
          </w:p>
        </w:tc>
        <w:tc>
          <w:tcPr>
            <w:tcW w:w="7291" w:type="dxa"/>
          </w:tcPr>
          <w:p w:rsidR="007B02CD" w:rsidRDefault="007B02CD" w:rsidP="008334B3">
            <w:pPr>
              <w:jc w:val="left"/>
              <w:rPr>
                <w:rFonts w:ascii="宋体" w:hAnsi="宋体" w:hint="eastAsia"/>
              </w:rPr>
            </w:pPr>
            <w:r>
              <w:rPr>
                <w:rFonts w:ascii="宋体" w:hAnsi="宋体" w:hint="eastAsia"/>
              </w:rPr>
              <w:t xml:space="preserve">    推行并联审批，减少环评审批前置条件，企业技术改造投资项目备案、用地预审、水资源论证和水土保持方案等审查或审批意见不作为环评文件受理前置条件。对企业实施设备更新改造的“零新增地”技术改造项目，最大程度简化环评手续，提高环评效率。</w:t>
            </w:r>
          </w:p>
        </w:tc>
      </w:tr>
      <w:tr w:rsidR="007B02CD" w:rsidTr="008334B3">
        <w:tc>
          <w:tcPr>
            <w:tcW w:w="1231" w:type="dxa"/>
            <w:vAlign w:val="center"/>
          </w:tcPr>
          <w:p w:rsidR="007B02CD" w:rsidRDefault="007B02CD" w:rsidP="008334B3">
            <w:pPr>
              <w:jc w:val="center"/>
              <w:rPr>
                <w:rFonts w:ascii="宋体" w:hAnsi="宋体" w:hint="eastAsia"/>
                <w:sz w:val="24"/>
              </w:rPr>
            </w:pPr>
            <w:r>
              <w:rPr>
                <w:rFonts w:ascii="宋体" w:hAnsi="宋体" w:hint="eastAsia"/>
                <w:sz w:val="24"/>
              </w:rPr>
              <w:t>企业减负</w:t>
            </w:r>
          </w:p>
        </w:tc>
        <w:tc>
          <w:tcPr>
            <w:tcW w:w="7291" w:type="dxa"/>
          </w:tcPr>
          <w:p w:rsidR="007B02CD" w:rsidRDefault="007B02CD" w:rsidP="008334B3">
            <w:pPr>
              <w:jc w:val="left"/>
              <w:rPr>
                <w:rFonts w:ascii="宋体" w:hAnsi="宋体" w:hint="eastAsia"/>
              </w:rPr>
            </w:pPr>
            <w:r>
              <w:rPr>
                <w:rFonts w:ascii="宋体" w:hAnsi="宋体" w:hint="eastAsia"/>
              </w:rPr>
              <w:t xml:space="preserve">    全面落实国家和省关于减轻企业负担的各项规定和政策，推动建立和实施涉企收费目录清单制度，建立企业负担调查信息平台，完善企业举报和反馈机制。严厉查处对企业乱摊派、乱检查、乱收费等违法行为。除了法律另有规定外，涉及技术改造的各种鉴定、检验检测等结果实行互认互通，各地各部门不得重复进行、重复收费。</w:t>
            </w:r>
          </w:p>
        </w:tc>
      </w:tr>
    </w:tbl>
    <w:p w:rsidR="007B02CD" w:rsidRDefault="007B02CD" w:rsidP="007B02CD">
      <w:pPr>
        <w:jc w:val="center"/>
        <w:rPr>
          <w:rFonts w:ascii="黑体" w:eastAsia="黑体" w:hAnsi="黑体" w:hint="eastAsia"/>
          <w:sz w:val="32"/>
        </w:rPr>
      </w:pPr>
    </w:p>
    <w:p w:rsidR="007B02CD" w:rsidRDefault="007B02CD" w:rsidP="007B02CD">
      <w:pPr>
        <w:jc w:val="center"/>
        <w:rPr>
          <w:rFonts w:ascii="黑体" w:eastAsia="黑体" w:hAnsi="黑体" w:hint="eastAsia"/>
          <w:sz w:val="32"/>
        </w:rPr>
      </w:pPr>
    </w:p>
    <w:p w:rsidR="007B02CD" w:rsidRDefault="007B02CD" w:rsidP="007B02CD">
      <w:pPr>
        <w:jc w:val="center"/>
        <w:rPr>
          <w:rFonts w:ascii="黑体" w:eastAsia="黑体" w:hAnsi="黑体" w:hint="eastAsia"/>
          <w:sz w:val="44"/>
        </w:rPr>
      </w:pPr>
      <w:r>
        <w:rPr>
          <w:rFonts w:ascii="黑体" w:eastAsia="黑体" w:hAnsi="黑体" w:hint="eastAsia"/>
          <w:sz w:val="44"/>
        </w:rPr>
        <w:t>广东省企业技术改造监测管理流程图</w:t>
      </w:r>
    </w:p>
    <w:p w:rsidR="007B02CD" w:rsidRDefault="007B02CD" w:rsidP="007B02CD"/>
    <w:p w:rsidR="007B02CD" w:rsidRDefault="007B02CD" w:rsidP="007B02CD"/>
    <w:p w:rsidR="007B02CD" w:rsidRDefault="007B02CD" w:rsidP="007B02CD">
      <w:r>
        <w:pict>
          <v:rect id="_x0000_s2050" style="position:absolute;left:0;text-align:left;margin-left:76.4pt;margin-top:9.7pt;width:69.6pt;height:22pt;z-index:251660288">
            <v:textbox>
              <w:txbxContent>
                <w:p w:rsidR="007B02CD" w:rsidRDefault="007B02CD" w:rsidP="007B02CD">
                  <w:pPr>
                    <w:rPr>
                      <w:rFonts w:hint="eastAsia"/>
                      <w:sz w:val="24"/>
                    </w:rPr>
                  </w:pPr>
                  <w:r>
                    <w:rPr>
                      <w:rFonts w:hint="eastAsia"/>
                      <w:sz w:val="24"/>
                    </w:rPr>
                    <w:t>企业注册</w:t>
                  </w:r>
                </w:p>
              </w:txbxContent>
            </v:textbox>
          </v:rect>
        </w:pict>
      </w:r>
      <w:r>
        <w:pict>
          <v:rect id="_x0000_s2051" style="position:absolute;left:0;text-align:left;margin-left:190.4pt;margin-top:8.55pt;width:67.5pt;height:23.15pt;z-index:251661312">
            <v:textbox>
              <w:txbxContent>
                <w:p w:rsidR="007B02CD" w:rsidRDefault="007B02CD" w:rsidP="007B02CD">
                  <w:pPr>
                    <w:rPr>
                      <w:rFonts w:hint="eastAsia"/>
                      <w:sz w:val="24"/>
                    </w:rPr>
                  </w:pPr>
                  <w:r>
                    <w:rPr>
                      <w:rFonts w:hint="eastAsia"/>
                      <w:sz w:val="24"/>
                    </w:rPr>
                    <w:t>备案申请</w:t>
                  </w:r>
                </w:p>
              </w:txbxContent>
            </v:textbox>
          </v:rect>
        </w:pict>
      </w:r>
      <w:r>
        <w:pict>
          <v:rect id="_x0000_s2053" style="position:absolute;left:0;text-align:left;margin-left:302.45pt;margin-top:8.55pt;width:64.95pt;height:23.1pt;z-index:251663360">
            <v:textbox>
              <w:txbxContent>
                <w:p w:rsidR="007B02CD" w:rsidRDefault="007B02CD" w:rsidP="007B02CD">
                  <w:pPr>
                    <w:rPr>
                      <w:rFonts w:hint="eastAsia"/>
                      <w:sz w:val="24"/>
                    </w:rPr>
                  </w:pPr>
                  <w:r>
                    <w:rPr>
                      <w:rFonts w:hint="eastAsia"/>
                      <w:sz w:val="24"/>
                    </w:rPr>
                    <w:t>开工告知</w:t>
                  </w:r>
                </w:p>
              </w:txbxContent>
            </v:textbox>
          </v:rect>
        </w:pict>
      </w:r>
    </w:p>
    <w:p w:rsidR="007B02CD" w:rsidRDefault="007B02CD" w:rsidP="007B02CD">
      <w:r>
        <w:pict>
          <v:line id="_x0000_s2052" style="position:absolute;left:0;text-align:left;z-index:251662336" from="146pt,4.05pt" to="190.4pt,4.2pt">
            <v:stroke endarrow="block"/>
          </v:line>
        </w:pict>
      </w:r>
      <w:r>
        <w:pict>
          <v:line id="_x0000_s2054" style="position:absolute;left:0;text-align:left;z-index:251664384" from="257.25pt,4.05pt" to="302.3pt,4.15pt">
            <v:stroke endarrow="block"/>
          </v:line>
        </w:pict>
      </w:r>
    </w:p>
    <w:p w:rsidR="007B02CD" w:rsidRDefault="007B02CD" w:rsidP="007B02CD">
      <w:r>
        <w:pict>
          <v:line id="_x0000_s2058" style="position:absolute;left:0;text-align:left;z-index:251668480" from="331.35pt,.45pt" to="331.4pt,24.75pt">
            <v:stroke endarrow="block"/>
          </v:line>
        </w:pict>
      </w:r>
    </w:p>
    <w:p w:rsidR="007B02CD" w:rsidRDefault="007B02CD" w:rsidP="007B02CD">
      <w:r>
        <w:pict>
          <v:rect id="_x0000_s2057" style="position:absolute;left:0;text-align:left;margin-left:71.9pt;margin-top:9.9pt;width:76.6pt;height:21.75pt;z-index:251667456">
            <v:textbox>
              <w:txbxContent>
                <w:p w:rsidR="007B02CD" w:rsidRDefault="007B02CD" w:rsidP="007B02CD">
                  <w:pPr>
                    <w:jc w:val="center"/>
                    <w:rPr>
                      <w:rFonts w:hint="eastAsia"/>
                      <w:sz w:val="24"/>
                    </w:rPr>
                  </w:pPr>
                  <w:r>
                    <w:rPr>
                      <w:rFonts w:hint="eastAsia"/>
                      <w:sz w:val="24"/>
                    </w:rPr>
                    <w:t>事后奖补</w:t>
                  </w:r>
                </w:p>
              </w:txbxContent>
            </v:textbox>
          </v:rect>
        </w:pict>
      </w:r>
      <w:r>
        <w:pict>
          <v:rect id="_x0000_s2055" style="position:absolute;left:0;text-align:left;margin-left:190.4pt;margin-top:8.4pt;width:63.7pt;height:23.25pt;z-index:251665408">
            <v:textbox>
              <w:txbxContent>
                <w:p w:rsidR="007B02CD" w:rsidRDefault="007B02CD" w:rsidP="007B02CD">
                  <w:pPr>
                    <w:rPr>
                      <w:rFonts w:hint="eastAsia"/>
                      <w:sz w:val="24"/>
                    </w:rPr>
                  </w:pPr>
                  <w:r>
                    <w:rPr>
                      <w:rFonts w:hint="eastAsia"/>
                      <w:sz w:val="24"/>
                    </w:rPr>
                    <w:t>完工评价</w:t>
                  </w:r>
                </w:p>
              </w:txbxContent>
            </v:textbox>
          </v:rect>
        </w:pict>
      </w:r>
      <w:r>
        <w:pict>
          <v:rect id="_x0000_s2056" style="position:absolute;left:0;text-align:left;margin-left:284.9pt;margin-top:8.4pt;width:102pt;height:21.7pt;z-index:251666432">
            <v:textbox>
              <w:txbxContent>
                <w:p w:rsidR="007B02CD" w:rsidRDefault="007B02CD" w:rsidP="007B02CD">
                  <w:pPr>
                    <w:rPr>
                      <w:rFonts w:hint="eastAsia"/>
                      <w:sz w:val="24"/>
                    </w:rPr>
                  </w:pPr>
                  <w:r>
                    <w:rPr>
                      <w:rFonts w:hint="eastAsia"/>
                      <w:sz w:val="24"/>
                    </w:rPr>
                    <w:t>进度报告（季度）</w:t>
                  </w:r>
                </w:p>
              </w:txbxContent>
            </v:textbox>
          </v:rect>
        </w:pict>
      </w:r>
    </w:p>
    <w:p w:rsidR="007B02CD" w:rsidRDefault="007B02CD" w:rsidP="007B02CD">
      <w:r>
        <w:pict>
          <v:line id="_x0000_s2060" style="position:absolute;left:0;text-align:left;flip:x;z-index:251670528" from="147.65pt,2.9pt" to="188.15pt,3.05pt">
            <v:stroke endarrow="block"/>
          </v:line>
        </w:pict>
      </w:r>
      <w:r>
        <w:pict>
          <v:line id="_x0000_s2059" style="position:absolute;left:0;text-align:left;flip:x y;z-index:251669504" from="254.1pt,2.85pt" to="284.9pt,2.9pt">
            <v:stroke endarrow="block"/>
          </v:line>
        </w:pict>
      </w:r>
    </w:p>
    <w:p w:rsidR="007B02CD" w:rsidRDefault="007B02CD" w:rsidP="007B02CD"/>
    <w:p w:rsidR="007B02CD" w:rsidRDefault="007B02CD" w:rsidP="007B02CD"/>
    <w:p w:rsidR="007B02CD" w:rsidRDefault="007B02CD" w:rsidP="007B02CD"/>
    <w:p w:rsidR="007B02CD" w:rsidRDefault="007B02CD" w:rsidP="007B02CD"/>
    <w:p w:rsidR="007B02CD" w:rsidRDefault="007B02CD" w:rsidP="007B02CD">
      <w:pPr>
        <w:jc w:val="center"/>
        <w:rPr>
          <w:rFonts w:ascii="黑体" w:eastAsia="黑体" w:hAnsi="黑体" w:hint="eastAsia"/>
          <w:sz w:val="44"/>
        </w:rPr>
      </w:pPr>
      <w:r>
        <w:rPr>
          <w:rFonts w:ascii="黑体" w:eastAsia="黑体" w:hAnsi="黑体" w:hint="eastAsia"/>
          <w:sz w:val="44"/>
        </w:rPr>
        <w:t>广东省企业技术改造事后奖补流程图</w:t>
      </w:r>
    </w:p>
    <w:p w:rsidR="007B02CD" w:rsidRDefault="007B02CD" w:rsidP="007B02CD">
      <w:pPr>
        <w:jc w:val="center"/>
        <w:rPr>
          <w:rFonts w:ascii="黑体" w:eastAsia="黑体" w:hAnsi="黑体" w:hint="eastAsia"/>
          <w:sz w:val="32"/>
        </w:rPr>
      </w:pPr>
    </w:p>
    <w:p w:rsidR="007B02CD" w:rsidRDefault="007B02CD" w:rsidP="007B02CD">
      <w:r>
        <w:pict>
          <v:rect id="_x0000_s2061" style="position:absolute;left:0;text-align:left;margin-left:8.75pt;margin-top:14.05pt;width:66.8pt;height:22pt;z-index:251671552">
            <v:textbox>
              <w:txbxContent>
                <w:p w:rsidR="007B02CD" w:rsidRDefault="007B02CD" w:rsidP="007B02CD">
                  <w:pPr>
                    <w:rPr>
                      <w:rFonts w:hint="eastAsia"/>
                      <w:sz w:val="24"/>
                    </w:rPr>
                  </w:pPr>
                  <w:r>
                    <w:rPr>
                      <w:rFonts w:hint="eastAsia"/>
                      <w:sz w:val="24"/>
                    </w:rPr>
                    <w:t>项目备案</w:t>
                  </w:r>
                </w:p>
              </w:txbxContent>
            </v:textbox>
          </v:rect>
        </w:pict>
      </w:r>
      <w:r>
        <w:pict>
          <v:rect id="_x0000_s2062" style="position:absolute;left:0;text-align:left;margin-left:122.35pt;margin-top:14.05pt;width:88.3pt;height:23.15pt;z-index:251672576">
            <v:textbox>
              <w:txbxContent>
                <w:p w:rsidR="007B02CD" w:rsidRDefault="007B02CD" w:rsidP="007B02CD">
                  <w:pPr>
                    <w:rPr>
                      <w:rFonts w:hint="eastAsia"/>
                    </w:rPr>
                  </w:pPr>
                  <w:r>
                    <w:rPr>
                      <w:rFonts w:hint="eastAsia"/>
                      <w:sz w:val="24"/>
                    </w:rPr>
                    <w:t>企业完工评</w:t>
                  </w:r>
                  <w:r>
                    <w:rPr>
                      <w:rFonts w:hint="eastAsia"/>
                    </w:rPr>
                    <w:t>价</w:t>
                  </w:r>
                </w:p>
              </w:txbxContent>
            </v:textbox>
          </v:rect>
        </w:pict>
      </w:r>
    </w:p>
    <w:p w:rsidR="007B02CD" w:rsidRDefault="007B02CD" w:rsidP="007B02CD">
      <w:r>
        <w:pict>
          <v:line id="_x0000_s2065" style="position:absolute;left:0;text-align:left;z-index:251675648" from="210.65pt,9.6pt" to="264.2pt,9.75pt">
            <v:stroke endarrow="block"/>
          </v:line>
        </w:pict>
      </w:r>
      <w:r>
        <w:pict>
          <v:line id="_x0000_s2063" style="position:absolute;left:0;text-align:left;z-index:251673600" from="75.55pt,9.7pt" to="122.35pt,9.8pt">
            <v:stroke endarrow="block"/>
          </v:line>
        </w:pict>
      </w:r>
      <w:r>
        <w:pict>
          <v:rect id="_x0000_s2064" style="position:absolute;left:0;text-align:left;margin-left:264.2pt;margin-top:-.4pt;width:137.8pt;height:23.1pt;z-index:251674624">
            <v:textbox>
              <w:txbxContent>
                <w:p w:rsidR="007B02CD" w:rsidRDefault="007B02CD" w:rsidP="007B02CD">
                  <w:pPr>
                    <w:rPr>
                      <w:rFonts w:hint="eastAsia"/>
                      <w:sz w:val="24"/>
                    </w:rPr>
                  </w:pPr>
                  <w:r>
                    <w:rPr>
                      <w:rFonts w:hint="eastAsia"/>
                      <w:sz w:val="24"/>
                    </w:rPr>
                    <w:t>发布奖励资金申报通知</w:t>
                  </w:r>
                </w:p>
              </w:txbxContent>
            </v:textbox>
          </v:rect>
        </w:pict>
      </w:r>
    </w:p>
    <w:p w:rsidR="007B02CD" w:rsidRDefault="007B02CD" w:rsidP="007B02CD">
      <w:r>
        <w:pict>
          <v:line id="_x0000_s2068" style="position:absolute;left:0;text-align:left;z-index:251678720" from="350.95pt,7.1pt" to="351.05pt,36.05pt">
            <v:stroke endarrow="block"/>
          </v:line>
        </w:pict>
      </w:r>
    </w:p>
    <w:p w:rsidR="007B02CD" w:rsidRDefault="007B02CD" w:rsidP="007B02CD"/>
    <w:p w:rsidR="007B02CD" w:rsidRDefault="007B02CD" w:rsidP="007B02CD">
      <w:r>
        <w:pict>
          <v:rect id="_x0000_s2066" style="position:absolute;left:0;text-align:left;margin-left:308.45pt;margin-top:4.85pt;width:93.55pt;height:25.45pt;z-index:251676672">
            <v:textbox>
              <w:txbxContent>
                <w:p w:rsidR="007B02CD" w:rsidRDefault="007B02CD" w:rsidP="007B02CD">
                  <w:pPr>
                    <w:rPr>
                      <w:rFonts w:hint="eastAsia"/>
                      <w:sz w:val="24"/>
                    </w:rPr>
                  </w:pPr>
                  <w:r>
                    <w:rPr>
                      <w:rFonts w:hint="eastAsia"/>
                      <w:sz w:val="24"/>
                    </w:rPr>
                    <w:t>企业申请奖励</w:t>
                  </w:r>
                </w:p>
              </w:txbxContent>
            </v:textbox>
          </v:rect>
        </w:pict>
      </w:r>
      <w:r>
        <w:pict>
          <v:rect id="_x0000_s2067" style="position:absolute;left:0;text-align:left;margin-left:195.65pt;margin-top:4.85pt;width:84.05pt;height:25.45pt;z-index:251677696">
            <v:textbox>
              <w:txbxContent>
                <w:p w:rsidR="007B02CD" w:rsidRDefault="007B02CD" w:rsidP="007B02CD">
                  <w:pPr>
                    <w:jc w:val="center"/>
                    <w:rPr>
                      <w:rFonts w:hint="eastAsia"/>
                      <w:sz w:val="24"/>
                    </w:rPr>
                  </w:pPr>
                  <w:r>
                    <w:rPr>
                      <w:rFonts w:hint="eastAsia"/>
                      <w:sz w:val="24"/>
                    </w:rPr>
                    <w:t>资金审核</w:t>
                  </w:r>
                </w:p>
              </w:txbxContent>
            </v:textbox>
          </v:rect>
        </w:pict>
      </w:r>
      <w:r>
        <w:pict>
          <v:rect id="_x0000_s2070" style="position:absolute;left:0;text-align:left;margin-left:8.75pt;margin-top:4.1pt;width:67.65pt;height:26.2pt;z-index:251680768">
            <v:textbox>
              <w:txbxContent>
                <w:p w:rsidR="007B02CD" w:rsidRDefault="007B02CD" w:rsidP="007B02CD">
                  <w:pPr>
                    <w:rPr>
                      <w:rFonts w:hint="eastAsia"/>
                      <w:sz w:val="24"/>
                    </w:rPr>
                  </w:pPr>
                  <w:r>
                    <w:rPr>
                      <w:rFonts w:hint="eastAsia"/>
                      <w:sz w:val="24"/>
                    </w:rPr>
                    <w:t>监督管理</w:t>
                  </w:r>
                </w:p>
              </w:txbxContent>
            </v:textbox>
          </v:rect>
        </w:pict>
      </w:r>
      <w:r>
        <w:pict>
          <v:rect id="_x0000_s2069" style="position:absolute;left:0;text-align:left;margin-left:101.15pt;margin-top:4.85pt;width:63.6pt;height:25.45pt;z-index:251679744">
            <v:textbox>
              <w:txbxContent>
                <w:p w:rsidR="007B02CD" w:rsidRDefault="007B02CD" w:rsidP="007B02CD">
                  <w:pPr>
                    <w:rPr>
                      <w:rFonts w:hint="eastAsia"/>
                      <w:sz w:val="24"/>
                    </w:rPr>
                  </w:pPr>
                  <w:r>
                    <w:rPr>
                      <w:rFonts w:hint="eastAsia"/>
                      <w:sz w:val="24"/>
                    </w:rPr>
                    <w:t>资金拨付</w:t>
                  </w:r>
                </w:p>
              </w:txbxContent>
            </v:textbox>
          </v:rect>
        </w:pict>
      </w:r>
    </w:p>
    <w:p w:rsidR="007B02CD" w:rsidRDefault="007B02CD" w:rsidP="007B02CD">
      <w:r>
        <w:rPr>
          <w:lang w:val="en-US" w:eastAsia="zh-CN"/>
        </w:rPr>
        <w:pict>
          <v:line id="_x0000_s2073" style="position:absolute;left:0;text-align:left;flip:x;z-index:251683840" from="279.7pt,.7pt" to="308.45pt,.8pt">
            <v:stroke endarrow="block"/>
          </v:line>
        </w:pict>
      </w:r>
      <w:r>
        <w:rPr>
          <w:lang w:val="en-US" w:eastAsia="zh-CN"/>
        </w:rPr>
        <w:pict>
          <v:line id="_x0000_s2072" style="position:absolute;left:0;text-align:left;flip:x;z-index:251682816" from="163.4pt,.55pt" to="195.65pt,.7pt">
            <v:stroke endarrow="block"/>
          </v:line>
        </w:pict>
      </w:r>
      <w:r>
        <w:pict>
          <v:line id="_x0000_s2071" style="position:absolute;left:0;text-align:left;flip:x;z-index:251681792" from="76.4pt,.5pt" to="101.15pt,.6pt">
            <v:stroke endarrow="block"/>
          </v:line>
        </w:pict>
      </w:r>
    </w:p>
    <w:p w:rsidR="007B02CD" w:rsidRDefault="007B02CD" w:rsidP="007B02CD"/>
    <w:p w:rsidR="007B02CD" w:rsidRDefault="007B02CD" w:rsidP="007B02CD"/>
    <w:p w:rsidR="007B02CD" w:rsidRDefault="007B02CD" w:rsidP="007B02CD"/>
    <w:p w:rsidR="007B02CD" w:rsidRDefault="007B02CD" w:rsidP="007B02CD">
      <w:pPr>
        <w:rPr>
          <w:rFonts w:hint="eastAsia"/>
          <w:sz w:val="24"/>
        </w:rPr>
      </w:pPr>
      <w:r>
        <w:rPr>
          <w:rFonts w:ascii="宋体" w:hAnsi="宋体" w:hint="eastAsia"/>
          <w:sz w:val="32"/>
        </w:rPr>
        <w:t xml:space="preserve">     广东省经济和信息化委官方网站：www.gdei.gov.cn</w:t>
      </w:r>
    </w:p>
    <w:p w:rsidR="00F22201" w:rsidRPr="007B02CD" w:rsidRDefault="00F22201"/>
    <w:sectPr w:rsidR="00F22201" w:rsidRPr="007B02C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201" w:rsidRDefault="00F22201" w:rsidP="007B02CD">
      <w:r>
        <w:separator/>
      </w:r>
    </w:p>
  </w:endnote>
  <w:endnote w:type="continuationSeparator" w:id="1">
    <w:p w:rsidR="00F22201" w:rsidRDefault="00F22201" w:rsidP="007B02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CD" w:rsidRDefault="007B02C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CD" w:rsidRDefault="007B02C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CD" w:rsidRDefault="007B02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201" w:rsidRDefault="00F22201" w:rsidP="007B02CD">
      <w:r>
        <w:separator/>
      </w:r>
    </w:p>
  </w:footnote>
  <w:footnote w:type="continuationSeparator" w:id="1">
    <w:p w:rsidR="00F22201" w:rsidRDefault="00F22201" w:rsidP="007B0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CD" w:rsidRDefault="007B02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CD" w:rsidRDefault="007B02CD" w:rsidP="007B02C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CD" w:rsidRDefault="007B02C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2CD"/>
    <w:rsid w:val="007B02CD"/>
    <w:rsid w:val="00F22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2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02CD"/>
    <w:rPr>
      <w:sz w:val="18"/>
      <w:szCs w:val="18"/>
    </w:rPr>
  </w:style>
  <w:style w:type="paragraph" w:styleId="a4">
    <w:name w:val="footer"/>
    <w:basedOn w:val="a"/>
    <w:link w:val="Char0"/>
    <w:uiPriority w:val="99"/>
    <w:semiHidden/>
    <w:unhideWhenUsed/>
    <w:rsid w:val="007B02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02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Company>微软中国</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2015-10-15T03:02:00Z</dcterms:created>
  <dcterms:modified xsi:type="dcterms:W3CDTF">2015-10-15T03:02:00Z</dcterms:modified>
</cp:coreProperties>
</file>