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01" w:rsidRDefault="00CF2201" w:rsidP="00CF2201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 w:hint="eastAsia"/>
          <w:snapToGrid w:val="0"/>
          <w:spacing w:val="-4"/>
          <w:kern w:val="0"/>
          <w:sz w:val="44"/>
          <w:szCs w:val="44"/>
        </w:rPr>
      </w:pPr>
    </w:p>
    <w:p w:rsidR="00CF2201" w:rsidRDefault="00CF2201" w:rsidP="00CF2201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 w:hint="eastAsia"/>
          <w:snapToGrid w:val="0"/>
          <w:spacing w:val="-4"/>
          <w:kern w:val="0"/>
          <w:sz w:val="44"/>
          <w:szCs w:val="44"/>
        </w:rPr>
      </w:pPr>
    </w:p>
    <w:p w:rsidR="00CF2201" w:rsidRPr="00CF2201" w:rsidRDefault="00CF2201" w:rsidP="00CF2201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 w:hint="eastAsia"/>
          <w:snapToGrid w:val="0"/>
          <w:spacing w:val="-4"/>
          <w:kern w:val="0"/>
          <w:sz w:val="44"/>
          <w:szCs w:val="44"/>
        </w:rPr>
      </w:pPr>
      <w:r w:rsidRPr="00CF2201">
        <w:rPr>
          <w:rFonts w:ascii="宋体" w:eastAsia="宋体" w:hAnsi="宋体" w:cs="Times New Roman" w:hint="eastAsia"/>
          <w:snapToGrid w:val="0"/>
          <w:spacing w:val="-4"/>
          <w:kern w:val="0"/>
          <w:sz w:val="44"/>
          <w:szCs w:val="44"/>
        </w:rPr>
        <w:t>湛江市审计局2016年度下半年重大政策措施落实情况跟踪审计结果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Times New Roman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bCs/>
          <w:snapToGrid w:val="0"/>
          <w:color w:val="00000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在2016年度下半年重大政策措施落实情况跟踪审计中，湛江市审计局着重组织了对供给侧结构性改革中去库存、去产能、去杠杆、补短板</w:t>
      </w:r>
      <w:r w:rsidRPr="00CF2201">
        <w:rPr>
          <w:rFonts w:ascii="仿宋_GB2312" w:eastAsia="仿宋_GB2312" w:hAnsi="Times New Roman" w:cs="Times New Roman" w:hint="eastAsia"/>
          <w:bCs/>
          <w:snapToGrid w:val="0"/>
          <w:color w:val="000000"/>
          <w:spacing w:val="-4"/>
          <w:kern w:val="0"/>
          <w:sz w:val="32"/>
          <w:szCs w:val="20"/>
        </w:rPr>
        <w:t>行动计划、农业资源量化指标等政策措施落实情况进行了审计。</w:t>
      </w:r>
    </w:p>
    <w:p w:rsidR="00CF2201" w:rsidRPr="00CF2201" w:rsidRDefault="00CF2201" w:rsidP="00CF2201">
      <w:pPr>
        <w:topLinePunct/>
        <w:adjustRightInd w:val="0"/>
        <w:snapToGrid w:val="0"/>
        <w:spacing w:line="336" w:lineRule="auto"/>
        <w:outlineLvl w:val="1"/>
        <w:rPr>
          <w:rFonts w:ascii="黑体" w:eastAsia="黑体" w:hAnsi="Arial" w:cs="Times New Roman" w:hint="eastAsia"/>
          <w:bCs/>
          <w:snapToGrid w:val="0"/>
          <w:spacing w:val="-4"/>
          <w:kern w:val="0"/>
          <w:sz w:val="32"/>
          <w:szCs w:val="32"/>
        </w:rPr>
      </w:pPr>
      <w:r w:rsidRPr="00CF2201">
        <w:rPr>
          <w:rFonts w:ascii="黑体" w:eastAsia="黑体" w:hAnsi="Arial" w:cs="Times New Roman" w:hint="eastAsia"/>
          <w:bCs/>
          <w:snapToGrid w:val="0"/>
          <w:spacing w:val="-4"/>
          <w:kern w:val="0"/>
          <w:sz w:val="32"/>
          <w:szCs w:val="32"/>
        </w:rPr>
        <w:t xml:space="preserve">    一、基本情况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Times New Roman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湛江市各县（市、区）人民政府（管委会）和市直相关单位积极推进国家和省重大政策措施贯彻落实，积极推进供给侧结构性改革的决策部署，明确落实“三去一降一补”结构性改革重点任务，及时制定了《湛江市供给侧结构性改革总体方案（2016-2018年）》及五个行动计划，明确工作任务和责任单位，建立健全工作机制，积极组织实施，推动政策落地。</w:t>
      </w:r>
    </w:p>
    <w:p w:rsidR="00CF2201" w:rsidRPr="00CF2201" w:rsidRDefault="00CF2201" w:rsidP="00CF2201">
      <w:pPr>
        <w:topLinePunct/>
        <w:adjustRightInd w:val="0"/>
        <w:snapToGrid w:val="0"/>
        <w:spacing w:line="336" w:lineRule="auto"/>
        <w:outlineLvl w:val="1"/>
        <w:rPr>
          <w:rFonts w:ascii="黑体" w:eastAsia="黑体" w:hAnsi="Arial" w:cs="Times New Roman" w:hint="eastAsia"/>
          <w:bCs/>
          <w:snapToGrid w:val="0"/>
          <w:spacing w:val="-4"/>
          <w:kern w:val="0"/>
          <w:sz w:val="32"/>
          <w:szCs w:val="32"/>
        </w:rPr>
      </w:pPr>
      <w:r w:rsidRPr="00CF2201">
        <w:rPr>
          <w:rFonts w:ascii="黑体" w:eastAsia="黑体" w:hAnsi="Arial" w:cs="Times New Roman" w:hint="eastAsia"/>
          <w:bCs/>
          <w:snapToGrid w:val="0"/>
          <w:spacing w:val="-4"/>
          <w:kern w:val="0"/>
          <w:sz w:val="32"/>
          <w:szCs w:val="32"/>
        </w:rPr>
        <w:t xml:space="preserve">    二、跟踪审计发现的主要问题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宋体" w:eastAsia="宋体" w:hAnsi="宋体" w:cs="Times New Roman" w:hint="eastAsia"/>
          <w:b/>
          <w:snapToGrid w:val="0"/>
          <w:spacing w:val="-4"/>
          <w:kern w:val="0"/>
          <w:sz w:val="32"/>
          <w:szCs w:val="20"/>
        </w:rPr>
      </w:pPr>
      <w:r w:rsidRPr="00CF2201">
        <w:rPr>
          <w:rFonts w:ascii="宋体" w:eastAsia="宋体" w:hAnsi="宋体" w:cs="Times New Roman" w:hint="eastAsia"/>
          <w:b/>
          <w:snapToGrid w:val="0"/>
          <w:spacing w:val="-4"/>
          <w:kern w:val="0"/>
          <w:sz w:val="32"/>
          <w:szCs w:val="20"/>
        </w:rPr>
        <w:t xml:space="preserve">    （一）去产能行动计划落实情况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 xml:space="preserve">    1．出清重组“僵尸企业”工作机制尚未完善。市国资委未出台湛江市国有“僵尸企业”实施方案，各县（市、区）政府（管委会）未成立国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资系统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国有“僵尸企业”领导小组或工作小组，也未制定实施方案。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 xml:space="preserve">    2．市国资委提供的县区国有“僵尸企业”总数与各县（市、</w:t>
      </w: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lastRenderedPageBreak/>
        <w:t>区）提供的汇总数不一致。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 xml:space="preserve">    3．市国有资产经营公司尚未对“僵尸企业”逐个建立档案，也未按要求实施个案处理、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一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企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一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策，未提出具体处置方案、明确时间表、路线图以及负责人，处置进度缓慢。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 xml:space="preserve">    4．淘汰落后造纸产能2.5万吨尚未通过验收。广东省遂溪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县嘉畅造纸厂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淘汰落后产能所安装的新生产设备尚未投产，验收资料正在整理申报中。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 xml:space="preserve">    5．承接珠三角产业梯度转移项目任务完成进度慢。经省认定，截止2016年7月，我市承接珠三角地区产业梯度转移项目6个，完成省下达目标任务的40％。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 xml:space="preserve">    6.财政资金未及时安排分配。湛江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产业园扩能增效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32"/>
        </w:rPr>
        <w:t>扶持资金5000万元未及时分配（已整改）。产业园区建设和招商引资工作奖励资金7400万元未及时分配；截止8月底，各县（市、区）尚未按规定编制资金使用方案（开发区使用方案正在报批中）。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宋体" w:eastAsia="宋体" w:hAnsi="宋体" w:cs="Times New Roman" w:hint="eastAsia"/>
          <w:b/>
          <w:snapToGrid w:val="0"/>
          <w:spacing w:val="-4"/>
          <w:kern w:val="0"/>
          <w:sz w:val="32"/>
          <w:szCs w:val="20"/>
        </w:rPr>
      </w:pPr>
      <w:r w:rsidRPr="00CF2201">
        <w:rPr>
          <w:rFonts w:ascii="宋体" w:eastAsia="宋体" w:hAnsi="宋体" w:cs="Times New Roman" w:hint="eastAsia"/>
          <w:b/>
          <w:snapToGrid w:val="0"/>
          <w:spacing w:val="-4"/>
          <w:kern w:val="0"/>
          <w:sz w:val="32"/>
          <w:szCs w:val="20"/>
        </w:rPr>
        <w:t xml:space="preserve">    （二）补短板行动计划落实情况。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1．完善互联互通交通网络方面，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汕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湛高速公路云浮至湛江段项目市级资本金尚有2.08亿元未拨付，东雷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高速项目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征地拆迁工作滞后，项目海域使用权证办理工作相关部门批复缓慢。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2．城乡水利防灾减灾工程方面，廉江市南堤围海堤达标加固工程廉江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市配套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资金1659.66万元未能配套，徐闻县新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寮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岛环岛海堤加固达标工程由于资金不足目前已停滞。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3．水资源保障体系工程方面，徐闻县农村通自来水工程</w:t>
      </w: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lastRenderedPageBreak/>
        <w:t>建设项目开工率及完成率较低，任务计划完成率仅为14.55%。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4．加大环境污染治理力度落实情况方面，廉江市生活垃圾焚烧发电厂项目厂房区域未进行绿化工程，垃圾进场道路运输不通畅（已整改）。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 xml:space="preserve">    （三）去杠杆行动计划落实情况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湛江市金融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局尚未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与人行、银监会、保监会、市有关部门以及县（市、区）政府（管委会）建立起定期会商及信息共享制度，尚未制定金融诈骗监测预警制度(已整改)。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 xml:space="preserve">    （四）农业资源量化指标完成情况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1．涉嫌闲置土地1345.7085亩调查结论认定欠及时。至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6"/>
        </w:smartTagPr>
        <w:r w:rsidRPr="00CF2201">
          <w:rPr>
            <w:rFonts w:ascii="仿宋_GB2312" w:eastAsia="仿宋_GB2312" w:hAnsi="Times New Roman" w:cs="Times New Roman" w:hint="eastAsia"/>
            <w:snapToGrid w:val="0"/>
            <w:spacing w:val="-4"/>
            <w:kern w:val="0"/>
            <w:sz w:val="32"/>
            <w:szCs w:val="20"/>
          </w:rPr>
          <w:t>2016年12月20日</w:t>
        </w:r>
      </w:smartTag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，市国土局已对其中21宗1100.45亩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作出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了认定结论，余下2宗245.25亩待进一步处置。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2．闲置土地的信息公开不够规范、明细（已整改）。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3．竣工验收工作滞后，一定程度上影响了高标农田建设任务如期完成。截止2016年5月末，2014年全市80个高标农田建设项目，只有3个项目已完成县级初验收，77个项目已完工但未进行县级初验收，也未能在规定时限内（2016年3月底）完成项目验收工作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4．部份项目前期工作滞后，影响工程后续进度。截止2016年5月末，2015年全市82个高标农田建设项目只有4个开工建设，有70个项目只完成预算批复，有8个项目的设计报告尚未通过专家评审。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5．项目前期工作、竣工验收工作等滞后，造成财政资金大量闲置。截止2016年5月底，湛江市各县（市、区）财政</w:t>
      </w: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lastRenderedPageBreak/>
        <w:t>部门未拨上级财政部门下达资金达114178.23万元，其中：2014年41781.60万元，占总额的49.14%；2015年72396.63万元，占总额的96.78%。</w:t>
      </w:r>
    </w:p>
    <w:p w:rsidR="00CF2201" w:rsidRPr="00CF2201" w:rsidRDefault="00CF2201" w:rsidP="00CF2201">
      <w:pPr>
        <w:topLinePunct/>
        <w:adjustRightInd w:val="0"/>
        <w:snapToGrid w:val="0"/>
        <w:spacing w:line="336" w:lineRule="auto"/>
        <w:outlineLvl w:val="1"/>
        <w:rPr>
          <w:rFonts w:ascii="黑体" w:eastAsia="黑体" w:hAnsi="Arial" w:cs="Times New Roman" w:hint="eastAsia"/>
          <w:bCs/>
          <w:snapToGrid w:val="0"/>
          <w:spacing w:val="-4"/>
          <w:kern w:val="0"/>
          <w:sz w:val="32"/>
          <w:szCs w:val="32"/>
        </w:rPr>
      </w:pPr>
      <w:r w:rsidRPr="00CF2201">
        <w:rPr>
          <w:rFonts w:ascii="黑体" w:eastAsia="黑体" w:hAnsi="Arial" w:cs="Times New Roman" w:hint="eastAsia"/>
          <w:bCs/>
          <w:snapToGrid w:val="0"/>
          <w:spacing w:val="-4"/>
          <w:kern w:val="0"/>
          <w:sz w:val="32"/>
          <w:szCs w:val="32"/>
        </w:rPr>
        <w:t xml:space="preserve">    三、应关注事项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 xml:space="preserve">    （一）商品房供应结构值得关注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商品住房存量主要集中在90平方米以上的户型，偏远地带或周边设施不配套的楼盘去库存难，非住宅商品房供大于求。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 xml:space="preserve">    （二）去库存应用数据管理薄弱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去库存数据信息零碎分散于各职能部门，未建立统一利用平台。审计中多项调查内容收集不到完整、准确的数据，部分县（市、区）审计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组甚至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遇到职能部门无数据可查的状况。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 xml:space="preserve">    （三）2015年淘汰落后产能任务完成情况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1．吴川市梅录新兴造纸厂和吴川市长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岐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苏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村土福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纸厂淘汰落后产能申报资料中未附生产许可证、环保部门核发的《广东省污染物排放许可证》和工商营业执照。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2．三家造纸企业拆除生产线数量或淘汰产能与下达任务数不符。，其中吴川市长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岐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苏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村土福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纸厂实际淘汰生产线2条产能0.3万吨（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比任务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数0.95万吨少0.65万吨），遂溪县兴洋造纸厂实际淘汰生产线1条产能1万吨（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比任务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数3条2万吨少2条1万吨），遂溪县华润纸业有限公司实际淘汰生产线1条产能1.5万吨（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比任务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数2条3万吨少1条1.5万吨）。</w:t>
      </w:r>
    </w:p>
    <w:p w:rsidR="00CF2201" w:rsidRPr="00CF2201" w:rsidRDefault="00CF2201" w:rsidP="00CF2201">
      <w:pPr>
        <w:adjustRightInd w:val="0"/>
        <w:snapToGrid w:val="0"/>
        <w:spacing w:line="336" w:lineRule="auto"/>
        <w:outlineLvl w:val="1"/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</w:pPr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 xml:space="preserve">    （四）</w:t>
      </w:r>
      <w:proofErr w:type="gramStart"/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>湛徐高速公路</w:t>
      </w:r>
      <w:proofErr w:type="gramEnd"/>
      <w:r w:rsidRPr="00CF2201">
        <w:rPr>
          <w:rFonts w:ascii="仿宋_GB2312" w:eastAsia="仿宋_GB2312" w:hAnsi="Times New Roman" w:cs="Times New Roman" w:hint="eastAsia"/>
          <w:b/>
          <w:snapToGrid w:val="0"/>
          <w:spacing w:val="-4"/>
          <w:kern w:val="0"/>
          <w:sz w:val="32"/>
          <w:szCs w:val="32"/>
        </w:rPr>
        <w:t>徐闻港支线建设情况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1．项目全线开工时间延后。按上级要求，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湛徐高速公路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徐闻港支线全线开工时间为2016年6月，但因用地报批尚未</w:t>
      </w: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lastRenderedPageBreak/>
        <w:t>获得国土资源部门批复，未取得施工许可批准，故无法开展实质性工程建设。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2．征地拆迁工作推进缓慢。少数群众不满意《湛徐高速公路徐闻港支线项目土地征收有关补偿方案》的补偿标准，不愿搬迁。</w:t>
      </w:r>
    </w:p>
    <w:p w:rsidR="00CF2201" w:rsidRPr="00CF2201" w:rsidRDefault="00CF2201" w:rsidP="00CF2201">
      <w:pPr>
        <w:adjustRightInd w:val="0"/>
        <w:snapToGrid w:val="0"/>
        <w:spacing w:line="336" w:lineRule="auto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 xml:space="preserve">    3．征地数据不清晰。</w:t>
      </w:r>
      <w:proofErr w:type="gramStart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湛徐高速公路</w:t>
      </w:r>
      <w:proofErr w:type="gramEnd"/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徐闻港支线建设工作指挥部未能掌握征地进展的准确情况，导致本次审计中未拆迁户总数、青苗补偿及附着物明细清单、已交付土地面积及各完成率等内容收集不到完整、准确的数据。</w:t>
      </w:r>
    </w:p>
    <w:p w:rsidR="00CF2201" w:rsidRDefault="00CF2201" w:rsidP="00CF2201">
      <w:pPr>
        <w:adjustRightInd w:val="0"/>
        <w:snapToGrid w:val="0"/>
        <w:spacing w:line="336" w:lineRule="auto"/>
        <w:ind w:firstLine="615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r w:rsidRPr="00CF2201"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  <w:t>对以上发现问题和应关注事项，湛江市审计局已出具审计报告或整改函，提出了审计建议；市政府高度重视跟踪审计发现的问题已责令有关部门单位整改。</w:t>
      </w:r>
    </w:p>
    <w:p w:rsidR="00CF2201" w:rsidRDefault="00CF2201" w:rsidP="00CF2201">
      <w:pPr>
        <w:adjustRightInd w:val="0"/>
        <w:snapToGrid w:val="0"/>
        <w:spacing w:line="336" w:lineRule="auto"/>
        <w:ind w:firstLine="615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</w:p>
    <w:p w:rsidR="00CF2201" w:rsidRDefault="00CF2201" w:rsidP="00CF2201">
      <w:pPr>
        <w:adjustRightInd w:val="0"/>
        <w:snapToGrid w:val="0"/>
        <w:spacing w:line="336" w:lineRule="auto"/>
        <w:ind w:firstLine="615"/>
        <w:rPr>
          <w:rFonts w:ascii="仿宋_GB2312" w:eastAsia="仿宋_GB2312" w:hAnsi="Times New Roman" w:cs="Times New Roman" w:hint="eastAsia"/>
          <w:snapToGrid w:val="0"/>
          <w:spacing w:val="-4"/>
          <w:kern w:val="0"/>
          <w:sz w:val="32"/>
          <w:szCs w:val="20"/>
        </w:rPr>
      </w:pPr>
      <w:bookmarkStart w:id="0" w:name="_GoBack"/>
      <w:bookmarkEnd w:id="0"/>
    </w:p>
    <w:sectPr w:rsidR="00CF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01"/>
    <w:rsid w:val="00000767"/>
    <w:rsid w:val="0000232C"/>
    <w:rsid w:val="000149DE"/>
    <w:rsid w:val="00046E0B"/>
    <w:rsid w:val="0007656F"/>
    <w:rsid w:val="00090F9E"/>
    <w:rsid w:val="000B17EE"/>
    <w:rsid w:val="000C5414"/>
    <w:rsid w:val="00144C76"/>
    <w:rsid w:val="001512BE"/>
    <w:rsid w:val="001636E1"/>
    <w:rsid w:val="00165F8C"/>
    <w:rsid w:val="00173876"/>
    <w:rsid w:val="00184857"/>
    <w:rsid w:val="001852D3"/>
    <w:rsid w:val="001943D2"/>
    <w:rsid w:val="0019797C"/>
    <w:rsid w:val="001D195B"/>
    <w:rsid w:val="001D53E3"/>
    <w:rsid w:val="001E28C0"/>
    <w:rsid w:val="0020418D"/>
    <w:rsid w:val="00213E44"/>
    <w:rsid w:val="00216138"/>
    <w:rsid w:val="0023637D"/>
    <w:rsid w:val="00297244"/>
    <w:rsid w:val="002A3CDD"/>
    <w:rsid w:val="002B5575"/>
    <w:rsid w:val="002D60F2"/>
    <w:rsid w:val="002E2B84"/>
    <w:rsid w:val="002E69F9"/>
    <w:rsid w:val="0030002C"/>
    <w:rsid w:val="003050E9"/>
    <w:rsid w:val="00307DDC"/>
    <w:rsid w:val="00315677"/>
    <w:rsid w:val="003666C0"/>
    <w:rsid w:val="00374C85"/>
    <w:rsid w:val="00394C20"/>
    <w:rsid w:val="003C6A6A"/>
    <w:rsid w:val="003C6E5B"/>
    <w:rsid w:val="00401B92"/>
    <w:rsid w:val="00404BA9"/>
    <w:rsid w:val="00423CA4"/>
    <w:rsid w:val="00424964"/>
    <w:rsid w:val="004712AD"/>
    <w:rsid w:val="0047705B"/>
    <w:rsid w:val="00491801"/>
    <w:rsid w:val="00497AB4"/>
    <w:rsid w:val="004A481A"/>
    <w:rsid w:val="004C16CA"/>
    <w:rsid w:val="004D3F6A"/>
    <w:rsid w:val="00504276"/>
    <w:rsid w:val="00521CBC"/>
    <w:rsid w:val="00531C02"/>
    <w:rsid w:val="00535CA5"/>
    <w:rsid w:val="00552FE2"/>
    <w:rsid w:val="005554EB"/>
    <w:rsid w:val="00580E43"/>
    <w:rsid w:val="00592C79"/>
    <w:rsid w:val="005D0953"/>
    <w:rsid w:val="005E76CA"/>
    <w:rsid w:val="00606493"/>
    <w:rsid w:val="00617861"/>
    <w:rsid w:val="00624463"/>
    <w:rsid w:val="0063401D"/>
    <w:rsid w:val="0064032D"/>
    <w:rsid w:val="006557F2"/>
    <w:rsid w:val="00670A16"/>
    <w:rsid w:val="00673391"/>
    <w:rsid w:val="0068082A"/>
    <w:rsid w:val="00685A3E"/>
    <w:rsid w:val="006918A7"/>
    <w:rsid w:val="006A1B68"/>
    <w:rsid w:val="006A3E3B"/>
    <w:rsid w:val="006A532C"/>
    <w:rsid w:val="006A5CBC"/>
    <w:rsid w:val="006B5009"/>
    <w:rsid w:val="006D2C13"/>
    <w:rsid w:val="006F31DC"/>
    <w:rsid w:val="006F49FE"/>
    <w:rsid w:val="006F7937"/>
    <w:rsid w:val="00707FDF"/>
    <w:rsid w:val="00712FB5"/>
    <w:rsid w:val="007238F5"/>
    <w:rsid w:val="00732F67"/>
    <w:rsid w:val="0073376D"/>
    <w:rsid w:val="0075579A"/>
    <w:rsid w:val="00783851"/>
    <w:rsid w:val="00790D2A"/>
    <w:rsid w:val="00792A6E"/>
    <w:rsid w:val="007952D6"/>
    <w:rsid w:val="007C634B"/>
    <w:rsid w:val="007D7A1B"/>
    <w:rsid w:val="007E53B9"/>
    <w:rsid w:val="007E7EF5"/>
    <w:rsid w:val="007F7594"/>
    <w:rsid w:val="00801136"/>
    <w:rsid w:val="0084155A"/>
    <w:rsid w:val="00870296"/>
    <w:rsid w:val="00873F8F"/>
    <w:rsid w:val="0087448F"/>
    <w:rsid w:val="008A3FAA"/>
    <w:rsid w:val="008A6303"/>
    <w:rsid w:val="008B5FCF"/>
    <w:rsid w:val="008C1C15"/>
    <w:rsid w:val="008C2D2F"/>
    <w:rsid w:val="008C6C6F"/>
    <w:rsid w:val="008E1465"/>
    <w:rsid w:val="008F6627"/>
    <w:rsid w:val="009102B6"/>
    <w:rsid w:val="009119A5"/>
    <w:rsid w:val="009251B6"/>
    <w:rsid w:val="00932AE2"/>
    <w:rsid w:val="00933BA7"/>
    <w:rsid w:val="009536C7"/>
    <w:rsid w:val="009602FF"/>
    <w:rsid w:val="00970B3A"/>
    <w:rsid w:val="00971390"/>
    <w:rsid w:val="009930A7"/>
    <w:rsid w:val="009B5668"/>
    <w:rsid w:val="009F2DDF"/>
    <w:rsid w:val="00A043E4"/>
    <w:rsid w:val="00A04AD5"/>
    <w:rsid w:val="00A12F1B"/>
    <w:rsid w:val="00A137E0"/>
    <w:rsid w:val="00A14808"/>
    <w:rsid w:val="00A15C71"/>
    <w:rsid w:val="00A2378F"/>
    <w:rsid w:val="00A279B9"/>
    <w:rsid w:val="00A46B26"/>
    <w:rsid w:val="00A519A1"/>
    <w:rsid w:val="00A51B2D"/>
    <w:rsid w:val="00A97D00"/>
    <w:rsid w:val="00AA1B2E"/>
    <w:rsid w:val="00AD0E12"/>
    <w:rsid w:val="00AE45F9"/>
    <w:rsid w:val="00AE4B9E"/>
    <w:rsid w:val="00B0437D"/>
    <w:rsid w:val="00B145FE"/>
    <w:rsid w:val="00B45DE5"/>
    <w:rsid w:val="00B50ABC"/>
    <w:rsid w:val="00B55E8E"/>
    <w:rsid w:val="00B60326"/>
    <w:rsid w:val="00B77839"/>
    <w:rsid w:val="00B83866"/>
    <w:rsid w:val="00B91986"/>
    <w:rsid w:val="00BB247B"/>
    <w:rsid w:val="00BB52CD"/>
    <w:rsid w:val="00BD4735"/>
    <w:rsid w:val="00BD55C0"/>
    <w:rsid w:val="00BE11B5"/>
    <w:rsid w:val="00C65447"/>
    <w:rsid w:val="00C65D32"/>
    <w:rsid w:val="00C71FC1"/>
    <w:rsid w:val="00C745AE"/>
    <w:rsid w:val="00C976A2"/>
    <w:rsid w:val="00CA2E95"/>
    <w:rsid w:val="00CC1117"/>
    <w:rsid w:val="00CE4FB2"/>
    <w:rsid w:val="00CF2201"/>
    <w:rsid w:val="00D0052B"/>
    <w:rsid w:val="00D03B99"/>
    <w:rsid w:val="00D06E2E"/>
    <w:rsid w:val="00D41B87"/>
    <w:rsid w:val="00D43DD2"/>
    <w:rsid w:val="00D44799"/>
    <w:rsid w:val="00D60A7D"/>
    <w:rsid w:val="00D61421"/>
    <w:rsid w:val="00D76A27"/>
    <w:rsid w:val="00D844F4"/>
    <w:rsid w:val="00D933FF"/>
    <w:rsid w:val="00DA5823"/>
    <w:rsid w:val="00DC472B"/>
    <w:rsid w:val="00DD47D1"/>
    <w:rsid w:val="00DE2342"/>
    <w:rsid w:val="00DE72EA"/>
    <w:rsid w:val="00DF387E"/>
    <w:rsid w:val="00E062D5"/>
    <w:rsid w:val="00E16C0D"/>
    <w:rsid w:val="00E21D4C"/>
    <w:rsid w:val="00E31B46"/>
    <w:rsid w:val="00E43625"/>
    <w:rsid w:val="00E5069D"/>
    <w:rsid w:val="00E558A4"/>
    <w:rsid w:val="00E715AC"/>
    <w:rsid w:val="00E84BDF"/>
    <w:rsid w:val="00E908F0"/>
    <w:rsid w:val="00E97010"/>
    <w:rsid w:val="00EB7141"/>
    <w:rsid w:val="00EC46A7"/>
    <w:rsid w:val="00F05BA9"/>
    <w:rsid w:val="00F16931"/>
    <w:rsid w:val="00FA3D4B"/>
    <w:rsid w:val="00FE4F87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刘志伟</dc:creator>
  <cp:lastModifiedBy>刘志伟</cp:lastModifiedBy>
  <cp:revision>1</cp:revision>
  <dcterms:created xsi:type="dcterms:W3CDTF">2017-03-23T07:40:00Z</dcterms:created>
  <dcterms:modified xsi:type="dcterms:W3CDTF">2017-03-23T07:43:00Z</dcterms:modified>
</cp:coreProperties>
</file>