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64" w:rsidRPr="004E1AE7" w:rsidRDefault="00AD4A64" w:rsidP="00AD4A64">
      <w:pPr>
        <w:widowControl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  <w:r w:rsidRPr="004E1AE7">
        <w:rPr>
          <w:rFonts w:asciiTheme="minorEastAsia" w:hAnsiTheme="minorEastAsia" w:cs="宋体"/>
          <w:b/>
          <w:kern w:val="0"/>
          <w:sz w:val="44"/>
          <w:szCs w:val="44"/>
        </w:rPr>
        <w:t>广东省路政人员培训管理规定</w:t>
      </w:r>
    </w:p>
    <w:p w:rsidR="00AD4A64" w:rsidRDefault="00AD4A64" w:rsidP="00AD4A64">
      <w:pPr>
        <w:widowControl/>
        <w:jc w:val="center"/>
        <w:rPr>
          <w:rFonts w:asciiTheme="minorEastAsia" w:hAnsiTheme="minorEastAsia" w:cs="宋体"/>
          <w:kern w:val="0"/>
          <w:sz w:val="44"/>
          <w:szCs w:val="44"/>
        </w:rPr>
      </w:pPr>
    </w:p>
    <w:p w:rsidR="003F0906" w:rsidRPr="004E1AE7" w:rsidRDefault="00450AE3" w:rsidP="005255EA">
      <w:pPr>
        <w:pStyle w:val="HTML"/>
        <w:wordWrap w:val="0"/>
        <w:spacing w:before="150" w:line="360" w:lineRule="atLeast"/>
        <w:ind w:firstLineChars="200" w:firstLine="640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第一条  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为贯彻执行《路政管理规定》（交通部令2003年第2号）、</w:t>
      </w:r>
      <w:r w:rsidR="00A015E2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交通运输部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《关于印发</w:t>
      </w:r>
      <w:r w:rsidR="006C4D52" w:rsidRPr="004E1AE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﹤</w:t>
      </w:r>
      <w:r w:rsidR="00A015E2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路政文明执法管理工作规范</w:t>
      </w:r>
      <w:r w:rsidR="006C4D52" w:rsidRPr="004E1AE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﹥</w:t>
      </w:r>
      <w:r w:rsidR="006C4D52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的通知》（</w:t>
      </w:r>
      <w:proofErr w:type="gramStart"/>
      <w:r w:rsidR="006C4D52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交公路发</w:t>
      </w:r>
      <w:r w:rsidR="006C4D52" w:rsidRPr="004E1AE7">
        <w:rPr>
          <w:rFonts w:ascii="仿宋_GB2312" w:eastAsia="仿宋_GB2312" w:hAnsi="仿宋" w:cs="Arial" w:hint="eastAsia"/>
          <w:kern w:val="0"/>
          <w:sz w:val="32"/>
          <w:szCs w:val="32"/>
        </w:rPr>
        <w:t>〔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2012</w:t>
      </w:r>
      <w:r w:rsidR="006C4D52" w:rsidRPr="004E1AE7">
        <w:rPr>
          <w:rFonts w:ascii="仿宋_GB2312" w:eastAsia="仿宋_GB2312" w:hAnsi="仿宋" w:cs="Arial" w:hint="eastAsia"/>
          <w:kern w:val="0"/>
          <w:sz w:val="32"/>
          <w:szCs w:val="32"/>
        </w:rPr>
        <w:t>〕</w:t>
      </w:r>
      <w:proofErr w:type="gramEnd"/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171号）</w:t>
      </w:r>
      <w:r w:rsidR="00AD423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以及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《</w:t>
      </w:r>
      <w:r w:rsidR="004E1AE7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交通运输部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关于加强公路路政执法规范化建设的若干意见》（</w:t>
      </w:r>
      <w:proofErr w:type="gramStart"/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交公路发</w:t>
      </w:r>
      <w:r w:rsidR="006C4D52" w:rsidRPr="004E1AE7">
        <w:rPr>
          <w:rFonts w:ascii="仿宋_GB2312" w:eastAsia="仿宋_GB2312" w:hAnsi="仿宋" w:cs="Arial" w:hint="eastAsia"/>
          <w:kern w:val="0"/>
          <w:sz w:val="32"/>
          <w:szCs w:val="32"/>
        </w:rPr>
        <w:t>〔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2014</w:t>
      </w:r>
      <w:r w:rsidR="006C4D52" w:rsidRPr="004E1AE7">
        <w:rPr>
          <w:rFonts w:ascii="仿宋_GB2312" w:eastAsia="仿宋_GB2312" w:hAnsi="仿宋" w:cs="Arial" w:hint="eastAsia"/>
          <w:kern w:val="0"/>
          <w:sz w:val="32"/>
          <w:szCs w:val="32"/>
        </w:rPr>
        <w:t>〕</w:t>
      </w:r>
      <w:proofErr w:type="gramEnd"/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106号）的精神，切实加强全省路政队伍建设，提高路政人员执法能力和水平，规范路政人员培训工作，特制定本规定。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全省路政人员</w:t>
      </w:r>
      <w:r w:rsidR="00B103C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培训工作适用本规定。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三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路政人员</w:t>
      </w:r>
      <w:r w:rsidR="00B103C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培训工作应当坚持理论联系实际，学以致用，按需施教，讲求实效的原则。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四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省公路管理局负责</w:t>
      </w:r>
      <w:r w:rsidR="00641FD0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全省路政培训的组织、实施、指导和监督工作。</w:t>
      </w:r>
      <w:r w:rsidR="00AD423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各市、</w:t>
      </w:r>
      <w:r w:rsidR="000E39B6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县公路管理机构</w:t>
      </w:r>
      <w:r w:rsidR="00AD423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0E39B6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各高速公路经营管理单位负责本单位路政人员的</w:t>
      </w:r>
      <w:r w:rsidR="00641FD0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具体</w:t>
      </w:r>
      <w:r w:rsidR="000E39B6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培训工作。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五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路政培训按阶段分为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上岗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培训和在岗培训。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上岗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培训是指按《交通运输行政执法证件管理规定》（交通运输部令2011年第1号）和《广东省</w:t>
      </w:r>
      <w:r w:rsidR="009C2DED" w:rsidRPr="004E1AE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﹤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行政执法证</w:t>
      </w:r>
      <w:r w:rsidR="009C2DED" w:rsidRPr="004E1AE7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﹥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管理办法》（广东省人民政府令2013年第196号）的规定，为申领交通运输行政执法证和广东省人民政府行政执法证而</w:t>
      </w:r>
      <w:r w:rsidR="00EB525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举办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的培训。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</w:t>
      </w:r>
      <w:r w:rsidR="00EB525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在岗培训是指路政人员上岗之后，面临新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政策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、新情况、新问题，为提高适应能力和提高执法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水平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而</w:t>
      </w:r>
      <w:r w:rsidR="00EB525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举办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的培训。在岗培训</w:t>
      </w:r>
      <w:r w:rsidR="00EB525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是</w:t>
      </w:r>
      <w:r w:rsidR="00C251FA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由上级业务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部门、公路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学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会、专业培训机构和所在单位组织的与路政业务有关的培训。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六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路政培训主要内容包括路政管理法律、法规、规章、规范性文件</w:t>
      </w:r>
      <w:r w:rsidR="00AD423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以及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公文写作、体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能训练、职业道德、人文素养、心理学、纠纷调解、舆情处理、突发事件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应对等，特别要注重路政的风险防范能力和实际操作能力的培训。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七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0E39B6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在岗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培训</w:t>
      </w:r>
      <w:r w:rsidR="00767C18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可按管理类和实操类分别</w:t>
      </w:r>
      <w:r w:rsidR="000E39B6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组织培训。管理类培训适用于路政工作分管领导、路政机构负责人等；实操类培训适用于一线路政人员，包括外业工作人员和内业工作人员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八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培训形式上可采用集中授课、业务讨论、参观教学、模拟演练等多种形式。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九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路政人员</w:t>
      </w:r>
      <w:r w:rsidR="008D76FE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参加上岗培训的时间按照交通运输部和省交通运输厅</w:t>
      </w:r>
      <w:r w:rsidR="00C216A7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的规定执行。</w:t>
      </w:r>
      <w:r w:rsidR="008D76FE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路政人员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每年参加在岗培训不得少于7天，国、省道（含高速公路）不得少于10天。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十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239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各市、县公路管理机构，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各高速公路经营管理单位应当建立路政人员培训保障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机制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，将路政人员培训经费纳入年度预算。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十一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各路政部门应当建立培训档案和培训考核制度，将培训与考核结合起来，提高培训实效。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br/>
        <w:t xml:space="preserve">    第十</w:t>
      </w:r>
      <w:r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二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 w:rsidR="00AD4A64" w:rsidRPr="004E1AE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="00AD4A64" w:rsidRPr="004E1AE7">
        <w:rPr>
          <w:rFonts w:ascii="仿宋_GB2312" w:eastAsia="仿宋_GB2312" w:hAnsi="仿宋" w:cs="宋体" w:hint="eastAsia"/>
          <w:kern w:val="0"/>
          <w:sz w:val="32"/>
          <w:szCs w:val="32"/>
        </w:rPr>
        <w:t>本规定自下发之日起执行。</w:t>
      </w:r>
    </w:p>
    <w:sectPr w:rsidR="003F0906" w:rsidRPr="004E1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64"/>
    <w:rsid w:val="000E39B6"/>
    <w:rsid w:val="001A47F5"/>
    <w:rsid w:val="003F0906"/>
    <w:rsid w:val="00450AE3"/>
    <w:rsid w:val="004E1AE7"/>
    <w:rsid w:val="004F79A1"/>
    <w:rsid w:val="005255EA"/>
    <w:rsid w:val="00641FD0"/>
    <w:rsid w:val="006C4D52"/>
    <w:rsid w:val="006E00D9"/>
    <w:rsid w:val="006F4321"/>
    <w:rsid w:val="00767C18"/>
    <w:rsid w:val="00770AB7"/>
    <w:rsid w:val="008D76FE"/>
    <w:rsid w:val="009C2DED"/>
    <w:rsid w:val="00A015E2"/>
    <w:rsid w:val="00AD4239"/>
    <w:rsid w:val="00AD4A64"/>
    <w:rsid w:val="00B103C9"/>
    <w:rsid w:val="00B60E87"/>
    <w:rsid w:val="00C216A7"/>
    <w:rsid w:val="00C251FA"/>
    <w:rsid w:val="00E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6C4D52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6C4D52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6C4D52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6C4D5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徐俊</cp:lastModifiedBy>
  <cp:revision>18</cp:revision>
  <cp:lastPrinted>2015-06-18T07:41:00Z</cp:lastPrinted>
  <dcterms:created xsi:type="dcterms:W3CDTF">2015-06-08T07:34:00Z</dcterms:created>
  <dcterms:modified xsi:type="dcterms:W3CDTF">2015-06-18T07:30:00Z</dcterms:modified>
</cp:coreProperties>
</file>