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p>
    <w:p>
      <w:pPr>
        <w:widowControl/>
        <w:spacing w:line="54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2022年勘察设计质量检查情况表</w:t>
      </w:r>
    </w:p>
    <w:p>
      <w:pPr>
        <w:pStyle w:val="8"/>
        <w:ind w:firstLine="480"/>
      </w:pPr>
    </w:p>
    <w:p>
      <w:pPr>
        <w:pStyle w:val="8"/>
        <w:ind w:firstLine="0" w:firstLineChars="0"/>
        <w:rPr>
          <w:rFonts w:ascii="方正公文小标宋" w:hAnsi="方正公文小标宋" w:eastAsia="方正公文小标宋" w:cs="方正公文小标宋"/>
          <w:sz w:val="15"/>
          <w:szCs w:val="10"/>
        </w:rPr>
      </w:pPr>
      <w:r>
        <w:rPr>
          <w:rFonts w:hint="eastAsia" w:ascii="方正公文小标宋" w:hAnsi="方正公文小标宋" w:eastAsia="方正公文小标宋" w:cs="方正公文小标宋"/>
          <w:kern w:val="0"/>
          <w:sz w:val="22"/>
          <w:szCs w:val="22"/>
        </w:rPr>
        <w:t xml:space="preserve">项目名称：  江卓越维港花园一期 9幢公租房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4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325"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w:char="00FE"/>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现场及试验室工作执行标准情况、工程勘察实施情况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cs="仿宋_GB2312"/>
                <w:sz w:val="21"/>
                <w:szCs w:val="21"/>
              </w:rPr>
              <w:t>取样数量、方法是否满足规范要求。</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原位测试手段选用、设备性能、数量、深度是否满足要求，水文地质试验方法选择是否合理（必要时）等。</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室内试验项目是否满足岩土性质、工程类型、设计、施工需要，</w:t>
            </w:r>
            <w:r>
              <w:rPr>
                <w:rFonts w:hint="eastAsia" w:ascii="仿宋_GB2312" w:hAnsi="仿宋_GB2312" w:cs="仿宋_GB2312"/>
                <w:bCs/>
                <w:sz w:val="21"/>
                <w:szCs w:val="21"/>
              </w:rPr>
              <w:t>主要土层试验数量是否满足规范要求。</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编制技术文件、工程勘察成果情况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岩土层划分依据是否合理、岩土层划分是否正确。</w:t>
            </w:r>
          </w:p>
        </w:tc>
        <w:tc>
          <w:tcPr>
            <w:tcW w:w="6325"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岩土物理力学参数等</w:t>
            </w:r>
            <w:r>
              <w:rPr>
                <w:rFonts w:hint="eastAsia" w:ascii="仿宋_GB2312" w:hAnsi="仿宋_GB2312" w:cs="仿宋_GB2312"/>
                <w:sz w:val="21"/>
                <w:szCs w:val="21"/>
              </w:rPr>
              <w:t>勘察成果是否准确，地层、水文地质参数、岩土参数是否与实际情况相符。</w:t>
            </w:r>
          </w:p>
        </w:tc>
        <w:tc>
          <w:tcPr>
            <w:tcW w:w="6325"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场地与地基的建筑抗震设计基本条件是否准确</w:t>
            </w:r>
            <w:r>
              <w:rPr>
                <w:rFonts w:hint="eastAsia" w:ascii="仿宋_GB2312" w:hAnsi="仿宋_GB2312" w:cs="仿宋_GB2312"/>
                <w:sz w:val="21"/>
                <w:szCs w:val="21"/>
              </w:rPr>
              <w:t>，包括场地类别划分、抗震影响基本参数、地震液化的判别是否准确等。</w:t>
            </w:r>
          </w:p>
        </w:tc>
        <w:tc>
          <w:tcPr>
            <w:tcW w:w="6325"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对地质灾害和特殊性岩土的评价是否正确；水和土对建筑材料腐蚀性影响评价是否正确；</w:t>
            </w:r>
            <w:r>
              <w:rPr>
                <w:rFonts w:hint="eastAsia" w:ascii="仿宋_GB2312" w:hAnsi="仿宋_GB2312" w:cs="仿宋_GB2312"/>
                <w:bCs/>
                <w:sz w:val="21"/>
                <w:szCs w:val="21"/>
              </w:rPr>
              <w:t>工程地质、水文地质条件评价及措施建议是否准确合理。</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场地稳定性、适宜性评价是否准确、全面。</w:t>
            </w:r>
          </w:p>
        </w:tc>
        <w:tc>
          <w:tcPr>
            <w:tcW w:w="6325"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成果是否经过内部审核、是否按照强制审查意见进行修改完善。</w:t>
            </w:r>
          </w:p>
        </w:tc>
        <w:tc>
          <w:tcPr>
            <w:tcW w:w="6325"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工程勘察报告是否有注册土木工程师（岩土）签章，签章是否齐全。</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技术文件内容是否存在重要缺漏。</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1、填土缺来源、堆填方式《岩土工程勘察规范》(GB 50021-2001)（2009 年版）6.5.2</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2、淤泥质粉土缺灵敏度，《岩土工程勘察规范》(GB 50021-2001)（2009 年版）6.3.7</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是否有其他文字、数据、图纸的错误。</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否</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是否违反，影响工程质量程度如何。</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否</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其他工程勘察质量相关内容</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设计依据的规范、标准是否准确；基础资料是否满足要求；设计是否执行立项、规划、人防等主管部门批文。</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设计文件编制深度</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完整性</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325" w:type="dxa"/>
            <w:vAlign w:val="center"/>
          </w:tcPr>
          <w:p>
            <w:pPr>
              <w:pStyle w:val="10"/>
              <w:numPr>
                <w:ilvl w:val="0"/>
                <w:numId w:val="1"/>
              </w:numPr>
              <w:snapToGrid w:val="0"/>
              <w:spacing w:line="240" w:lineRule="auto"/>
              <w:ind w:firstLineChars="0"/>
              <w:jc w:val="left"/>
              <w:rPr>
                <w:rFonts w:ascii="仿宋_GB2312" w:hAnsi="仿宋_GB2312" w:cs="仿宋_GB2312"/>
                <w:sz w:val="21"/>
                <w:szCs w:val="21"/>
              </w:rPr>
            </w:pPr>
            <w:r>
              <w:rPr>
                <w:rFonts w:hint="eastAsia" w:ascii="仿宋_GB2312" w:hAnsi="仿宋_GB2312" w:cs="仿宋_GB2312"/>
                <w:sz w:val="21"/>
                <w:szCs w:val="21"/>
              </w:rPr>
              <w:t>缺结构设计总说明、基础等图纸及各楼层梁板柱截面、荷载、配筋、挠度裂缝简图及柱剪跨比简图；（结构）</w:t>
            </w:r>
          </w:p>
          <w:p>
            <w:pPr>
              <w:pStyle w:val="2"/>
              <w:numPr>
                <w:ilvl w:val="0"/>
                <w:numId w:val="1"/>
              </w:numPr>
              <w:rPr>
                <w:rFonts w:ascii="仿宋_GB2312" w:hAnsi="仿宋_GB2312" w:cs="仿宋_GB2312"/>
                <w:sz w:val="21"/>
                <w:szCs w:val="21"/>
              </w:rPr>
            </w:pPr>
            <w:r>
              <w:rPr>
                <w:rFonts w:hint="eastAsia" w:ascii="仿宋_GB2312" w:hAnsi="仿宋_GB2312" w:cs="仿宋_GB2312"/>
                <w:sz w:val="21"/>
                <w:szCs w:val="21"/>
              </w:rPr>
              <w:t>深度不足，缺二层以上的平面图，缺设计说明。（暖通）</w:t>
            </w:r>
          </w:p>
          <w:p>
            <w:pPr>
              <w:pStyle w:val="2"/>
              <w:numPr>
                <w:ilvl w:val="0"/>
                <w:numId w:val="1"/>
              </w:numPr>
              <w:rPr>
                <w:rFonts w:ascii="仿宋_GB2312" w:hAnsi="仿宋_GB2312" w:cs="仿宋_GB2312"/>
                <w:sz w:val="21"/>
                <w:szCs w:val="21"/>
              </w:rPr>
            </w:pPr>
            <w:r>
              <w:rPr>
                <w:rFonts w:hint="eastAsia" w:ascii="仿宋_GB2312" w:hAnsi="仿宋_GB2312" w:cs="仿宋_GB2312"/>
                <w:sz w:val="21"/>
                <w:szCs w:val="21"/>
              </w:rPr>
              <w:t>图纸缺设计总说明。（建筑</w:t>
            </w:r>
            <w:r>
              <w:rPr>
                <w:rFonts w:ascii="仿宋_GB2312" w:hAnsi="仿宋_GB2312" w:cs="仿宋_GB2312"/>
                <w:sz w:val="21"/>
                <w:szCs w:val="21"/>
              </w:rPr>
              <w:t>）</w:t>
            </w:r>
          </w:p>
        </w:tc>
        <w:tc>
          <w:tcPr>
            <w:tcW w:w="1426" w:type="dxa"/>
            <w:vAlign w:val="center"/>
          </w:tcPr>
          <w:p>
            <w:pPr>
              <w:snapToGrid w:val="0"/>
              <w:spacing w:line="240" w:lineRule="auto"/>
              <w:jc w:val="left"/>
              <w:rPr>
                <w:rFonts w:ascii="仿宋_GB2312" w:hAnsi="仿宋_GB2312" w:cs="仿宋_GB2312"/>
                <w:sz w:val="21"/>
                <w:szCs w:val="21"/>
              </w:rPr>
            </w:pPr>
            <w:r>
              <w:rPr>
                <w:rFonts w:ascii="黑体" w:hAnsi="宋体" w:eastAsia="黑体" w:cs="宋体"/>
                <w:kern w:val="0"/>
                <w:szCs w:val="32"/>
              </w:rPr>
              <w:drawing>
                <wp:anchor distT="0" distB="0" distL="114300" distR="114300" simplePos="0" relativeHeight="251659264" behindDoc="0" locked="0" layoutInCell="1" allowOverlap="1">
                  <wp:simplePos x="0" y="0"/>
                  <wp:positionH relativeFrom="column">
                    <wp:posOffset>6285230</wp:posOffset>
                  </wp:positionH>
                  <wp:positionV relativeFrom="paragraph">
                    <wp:posOffset>6934835</wp:posOffset>
                  </wp:positionV>
                  <wp:extent cx="894715" cy="485140"/>
                  <wp:effectExtent l="0" t="0" r="635" b="0"/>
                  <wp:wrapNone/>
                  <wp:docPr id="5" name="图片 5" descr="李会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李会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894715" cy="48514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1.首层托老所出入口位于阳台上方，没有采取防止物体坠落伤人的安全措施，</w:t>
            </w:r>
            <w:r>
              <w:rPr>
                <w:rFonts w:hint="eastAsia" w:ascii="仿宋_GB2312" w:hAnsi="仿宋_GB2312" w:cs="仿宋_GB2312"/>
                <w:sz w:val="21"/>
                <w:szCs w:val="21"/>
                <w:lang w:val="en-US" w:eastAsia="zh-CN"/>
              </w:rPr>
              <w:t xml:space="preserve"> </w:t>
            </w:r>
            <w:r>
              <w:rPr>
                <w:rFonts w:hint="eastAsia" w:ascii="仿宋_GB2312" w:hAnsi="仿宋_GB2312" w:cs="仿宋_GB2312"/>
                <w:sz w:val="21"/>
                <w:szCs w:val="21"/>
              </w:rPr>
              <w:t>第6.5.2条。</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是否违反，影响工程质量程度如何。</w:t>
            </w:r>
          </w:p>
        </w:tc>
        <w:tc>
          <w:tcPr>
            <w:tcW w:w="6325" w:type="dxa"/>
          </w:tcPr>
          <w:p>
            <w:r>
              <w:rPr>
                <w:rFonts w:hint="eastAsia" w:ascii="仿宋_GB2312" w:hAnsi="仿宋_GB2312" w:cs="仿宋_GB2312"/>
                <w:sz w:val="21"/>
                <w:szCs w:val="21"/>
              </w:rPr>
              <w:t>否</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tcPr>
          <w:p>
            <w:r>
              <w:rPr>
                <w:rFonts w:hint="eastAsia" w:ascii="仿宋_GB2312" w:hAnsi="仿宋_GB2312" w:cs="仿宋_GB2312"/>
                <w:sz w:val="21"/>
                <w:szCs w:val="21"/>
              </w:rPr>
              <w:t>不涉及</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325" w:type="dxa"/>
          </w:tcPr>
          <w:p>
            <w:r>
              <w:rPr>
                <w:rFonts w:hint="eastAsia" w:ascii="仿宋_GB2312" w:hAnsi="仿宋_GB2312" w:cs="仿宋_GB2312"/>
                <w:sz w:val="21"/>
                <w:szCs w:val="21"/>
              </w:rPr>
              <w:t>不涉及</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初步设计审查落实</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施工图设计中是否说明初步设计专家意见（包括其它评审意见）的执行情况。</w:t>
            </w:r>
          </w:p>
        </w:tc>
        <w:tc>
          <w:tcPr>
            <w:tcW w:w="6325" w:type="dxa"/>
          </w:tcPr>
          <w:p>
            <w:r>
              <w:rPr>
                <w:rFonts w:hint="eastAsia" w:ascii="仿宋_GB2312" w:hAnsi="仿宋_GB2312" w:cs="仿宋_GB2312"/>
                <w:sz w:val="21"/>
                <w:szCs w:val="21"/>
              </w:rPr>
              <w:t>不涉及</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设计交底</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是否按照要求执行设计交底制度，是否按照要求执行图纸会审制度。</w:t>
            </w:r>
          </w:p>
        </w:tc>
        <w:tc>
          <w:tcPr>
            <w:tcW w:w="6325" w:type="dxa"/>
          </w:tcPr>
          <w:p>
            <w:r>
              <w:rPr>
                <w:rFonts w:hint="eastAsia" w:ascii="仿宋_GB2312" w:hAnsi="仿宋_GB2312" w:cs="仿宋_GB2312"/>
                <w:sz w:val="21"/>
                <w:szCs w:val="21"/>
              </w:rPr>
              <w:t>不涉及</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pacing w:val="20"/>
                <w:sz w:val="21"/>
                <w:szCs w:val="21"/>
              </w:rPr>
              <w:t>设计文件修改、变更</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设计文件修改、变更是否合理，设计变更是否履行规定的程序。</w:t>
            </w:r>
          </w:p>
        </w:tc>
        <w:tc>
          <w:tcPr>
            <w:tcW w:w="6325" w:type="dxa"/>
          </w:tcPr>
          <w:p>
            <w:r>
              <w:rPr>
                <w:rFonts w:hint="eastAsia" w:ascii="仿宋_GB2312" w:hAnsi="仿宋_GB2312" w:cs="仿宋_GB2312"/>
                <w:sz w:val="21"/>
                <w:szCs w:val="21"/>
              </w:rPr>
              <w:t>不涉及</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建筑</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cs="仿宋_GB2312"/>
                <w:sz w:val="21"/>
                <w:szCs w:val="21"/>
                <w:shd w:val="clear" w:color="auto" w:fill="FFFFFF"/>
              </w:rPr>
              <w:t>。</w:t>
            </w:r>
          </w:p>
        </w:tc>
        <w:tc>
          <w:tcPr>
            <w:tcW w:w="6325" w:type="dxa"/>
          </w:tcPr>
          <w:p>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cs="仿宋_GB2312"/>
                <w:sz w:val="21"/>
                <w:szCs w:val="21"/>
                <w:lang w:val="en-GB"/>
              </w:rPr>
              <w:t>项目的使用功能是否满足相关建筑设计规范要求等。</w:t>
            </w:r>
          </w:p>
        </w:tc>
        <w:tc>
          <w:tcPr>
            <w:tcW w:w="6325" w:type="dxa"/>
          </w:tcPr>
          <w:p>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结构</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结构选型、结构布置是否存在不合理或投资浪费等问题；荷载取值、结构计算、</w:t>
            </w:r>
            <w:r>
              <w:rPr>
                <w:rFonts w:hint="eastAsia" w:ascii="仿宋_GB2312" w:hAnsi="仿宋_GB2312" w:cs="仿宋_GB2312"/>
                <w:sz w:val="21"/>
                <w:szCs w:val="21"/>
                <w:shd w:val="clear" w:color="auto" w:fill="FFFFFF"/>
              </w:rPr>
              <w:t>结构安全等级、结构重要性系数、结构使用年限及耐久性、抗震设防类别和抗震等级、抗震构造措施等是否符合规范。</w:t>
            </w:r>
          </w:p>
        </w:tc>
        <w:tc>
          <w:tcPr>
            <w:tcW w:w="6325" w:type="dxa"/>
          </w:tcPr>
          <w:p>
            <w:r>
              <w:rPr>
                <w:rFonts w:hint="eastAsia" w:ascii="仿宋_GB2312" w:hAnsi="仿宋_GB2312" w:cs="仿宋_GB2312"/>
                <w:sz w:val="21"/>
                <w:szCs w:val="21"/>
              </w:rPr>
              <w:t>是</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地基基础设计质量检查要点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上部结构及地下室结构设计质量要点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1、异形柱结构内力与位移计算时,楼面梁刚度增大系数（1.0）不足，未考虑框架-剪力墙结构中框架部分承担的地震剪力调整；JGJ 149-2017第4．3．6条</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2、三级抗震部分异形柱箍筋加密区的箍筋最大间距(100mm)不满足7d（7x14=98mm）; JGJ 149-2017第6．2．10条</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3、屋面层梁配筋平面图：框架梁代号应按平法要求改为“WKL”（锚固要求不同）；</w:t>
            </w:r>
          </w:p>
          <w:p>
            <w:pPr>
              <w:snapToGrid w:val="0"/>
              <w:spacing w:line="240" w:lineRule="auto"/>
              <w:jc w:val="left"/>
              <w:rPr>
                <w:rFonts w:ascii="仿宋_GB2312" w:hAnsi="仿宋_GB2312" w:cs="仿宋_GB2312"/>
                <w:sz w:val="21"/>
                <w:szCs w:val="21"/>
              </w:rPr>
            </w:pP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给排水</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给排水满足</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１、卫生间设沉箱时应增加二次排水系统，见广东省《建筑防水工程技术规程》DBJ15-19-2020第5.4.3.3条规定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 xml:space="preserve">２、阳台雨水接入小区污水管道时，应设水封井，见GB55015-2019第5.2.24条４款。 </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电气</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color w:val="000000"/>
                <w:sz w:val="24"/>
              </w:rPr>
              <w:t>电气：删除照度计算书中与本栋无关的内容，按JGJ450-2018第7.3.2条规定补充首层各房间、走廊或楼梯间的照度计算。</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4"/>
              </w:rPr>
              <w:t>1、缺少电气设计说明，补充的设计说明需包括电气节能内容及抗震措施；消防专篇电气部分的设计依据GB50352-2005为旧版本。2、首层应急照明平面图，安全出口外应设置消防应急照明灯，见GB51309-2018第3.2.5-4-6条规定。3、首层配电平面图，残卫应设置紧急呼叫装置，见JGJ450-2018第7.4.2-3条规定。</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暖通</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tcPr>
          <w:p>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tcPr>
          <w:p>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消防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tcPr>
          <w:p>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消防设计质量检查要点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color w:val="000000"/>
                <w:sz w:val="24"/>
              </w:rPr>
              <w:t>1、首层平面图描述楼梯间为封闭楼梯有误，实际为敞开楼梯。（暖通）</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人防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不涉及</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s="仿宋_GB2312"/>
                <w:sz w:val="21"/>
                <w:szCs w:val="21"/>
                <w:lang w:val="en-GB"/>
              </w:rPr>
              <w:t>。</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不涉及</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是否执行无障碍环境建设、配套幼儿园建设、配套通信设施、充电场所等标准规定。</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其他工程设计质量相关内容</w:t>
            </w:r>
          </w:p>
        </w:tc>
        <w:tc>
          <w:tcPr>
            <w:tcW w:w="6325" w:type="dxa"/>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１、住宅公共部位宜设置灭火器，见GB50016-2014第8.1.10条；</w:t>
            </w:r>
          </w:p>
        </w:tc>
        <w:tc>
          <w:tcPr>
            <w:tcW w:w="1426" w:type="dxa"/>
            <w:vAlign w:val="center"/>
          </w:tcPr>
          <w:p>
            <w:pPr>
              <w:snapToGrid w:val="0"/>
              <w:spacing w:line="240" w:lineRule="auto"/>
              <w:rPr>
                <w:rFonts w:ascii="仿宋_GB2312" w:hAnsi="仿宋_GB2312" w:cs="仿宋_GB2312"/>
                <w:sz w:val="21"/>
                <w:szCs w:val="21"/>
              </w:rPr>
            </w:pPr>
          </w:p>
        </w:tc>
      </w:tr>
    </w:tbl>
    <w:p/>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r>
      <w:rPr>
        <w:rFonts w:ascii="Times New Roman" w:hAnsi="Times New Roman" w:eastAsia="宋体"/>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12号抽查项目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9B25D6"/>
    <w:multiLevelType w:val="multilevel"/>
    <w:tmpl w:val="7F9B25D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01310F4"/>
    <w:rsid w:val="00322322"/>
    <w:rsid w:val="00386EB2"/>
    <w:rsid w:val="004651A1"/>
    <w:rsid w:val="004859E6"/>
    <w:rsid w:val="004C1FA9"/>
    <w:rsid w:val="00550AAE"/>
    <w:rsid w:val="00551F0E"/>
    <w:rsid w:val="00575766"/>
    <w:rsid w:val="005E47F5"/>
    <w:rsid w:val="00680ECA"/>
    <w:rsid w:val="007358DC"/>
    <w:rsid w:val="007A7A96"/>
    <w:rsid w:val="00861A73"/>
    <w:rsid w:val="00867A91"/>
    <w:rsid w:val="009336D2"/>
    <w:rsid w:val="00962D70"/>
    <w:rsid w:val="009E510B"/>
    <w:rsid w:val="00A77C92"/>
    <w:rsid w:val="00B75BBB"/>
    <w:rsid w:val="00BC3784"/>
    <w:rsid w:val="00BD48BC"/>
    <w:rsid w:val="00DD0798"/>
    <w:rsid w:val="00EC5288"/>
    <w:rsid w:val="00FA70DD"/>
    <w:rsid w:val="0D2857E3"/>
    <w:rsid w:val="160A5B4A"/>
    <w:rsid w:val="27FEE89E"/>
    <w:rsid w:val="35033EA5"/>
    <w:rsid w:val="3AFF7B9D"/>
    <w:rsid w:val="404F3A4A"/>
    <w:rsid w:val="55BFBC0F"/>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rPr>
  </w:style>
  <w:style w:type="paragraph" w:styleId="3">
    <w:name w:val="footer"/>
    <w:basedOn w:val="1"/>
    <w:link w:val="9"/>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8">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character" w:customStyle="1" w:styleId="9">
    <w:name w:val="页脚 字符"/>
    <w:basedOn w:val="7"/>
    <w:link w:val="3"/>
    <w:qFormat/>
    <w:uiPriority w:val="0"/>
    <w:rPr>
      <w:rFonts w:ascii="Calibri" w:hAnsi="Calibri" w:eastAsia="仿宋_GB2312" w:cs="Times New Roman"/>
      <w:kern w:val="2"/>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3993</Words>
  <Characters>4187</Characters>
  <Lines>32</Lines>
  <Paragraphs>9</Paragraphs>
  <TotalTime>28</TotalTime>
  <ScaleCrop>false</ScaleCrop>
  <LinksUpToDate>false</LinksUpToDate>
  <CharactersWithSpaces>4243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2022-12-19T11:22:40Z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1B746B6CBBFF41EE9C7E0AE431CF6A00</vt:lpwstr>
  </property>
</Properties>
</file>