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center"/>
        <w:rPr>
          <w:rFonts w:hint="default" w:ascii="方正小标宋简体" w:hAnsi="宋体" w:eastAsia="方正小标宋简体" w:cs="宋体"/>
          <w:kern w:val="0"/>
          <w:sz w:val="44"/>
          <w:szCs w:val="44"/>
          <w:lang w:val="en-US" w:eastAsia="zh-CN" w:bidi="ar-SA"/>
        </w:rPr>
      </w:pPr>
      <w:bookmarkStart w:id="0" w:name="_GoBack"/>
      <w:bookmarkEnd w:id="0"/>
      <w:r>
        <w:rPr>
          <w:rFonts w:hint="eastAsia" w:ascii="方正小标宋简体" w:hAnsi="宋体" w:eastAsia="方正小标宋简体" w:cs="宋体"/>
          <w:kern w:val="0"/>
          <w:sz w:val="44"/>
          <w:szCs w:val="44"/>
          <w:lang w:val="en-US" w:eastAsia="zh-CN" w:bidi="ar-SA"/>
        </w:rPr>
        <w:t>2022年</w:t>
      </w:r>
      <w:r>
        <w:rPr>
          <w:rFonts w:hint="eastAsia" w:ascii="方正小标宋简体" w:hAnsi="宋体" w:eastAsia="方正小标宋简体" w:cs="宋体"/>
          <w:kern w:val="0"/>
          <w:sz w:val="44"/>
          <w:szCs w:val="44"/>
          <w:lang w:eastAsia="zh-CN" w:bidi="ar-SA"/>
        </w:rPr>
        <w:t>勘察设计质量检查情况表</w:t>
      </w: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方正公文小标宋" w:hAnsi="方正公文小标宋" w:eastAsia="方正公文小标宋" w:cs="方正公文小标宋"/>
          <w:b w:val="0"/>
          <w:bCs w:val="0"/>
          <w:sz w:val="15"/>
          <w:szCs w:val="10"/>
          <w:lang w:val="en-US" w:eastAsia="zh-CN"/>
        </w:rPr>
      </w:pPr>
      <w:r>
        <w:rPr>
          <w:rFonts w:hint="eastAsia" w:ascii="方正公文小标宋" w:hAnsi="方正公文小标宋" w:eastAsia="方正公文小标宋" w:cs="方正公文小标宋"/>
          <w:b w:val="0"/>
          <w:bCs w:val="0"/>
          <w:kern w:val="0"/>
          <w:sz w:val="22"/>
          <w:szCs w:val="22"/>
          <w:lang w:val="en-US" w:eastAsia="zh-CN" w:bidi="ar-SA"/>
        </w:rPr>
        <w:t xml:space="preserve">项目名称： 中海金地都市花园1号楼、2号楼、4号楼（9班幼儿园）、6号楼、7号楼、8号楼、南地块二区地下室                                                                     </w:t>
      </w:r>
    </w:p>
    <w:tbl>
      <w:tblPr>
        <w:tblStyle w:val="5"/>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检查项目</w:t>
            </w:r>
          </w:p>
        </w:tc>
        <w:tc>
          <w:tcPr>
            <w:tcW w:w="5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检查内容</w:t>
            </w:r>
          </w:p>
        </w:tc>
        <w:tc>
          <w:tcPr>
            <w:tcW w:w="632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检查情况</w:t>
            </w:r>
          </w:p>
        </w:tc>
        <w:tc>
          <w:tcPr>
            <w:tcW w:w="142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top"/>
          </w:tcPr>
          <w:p>
            <w:pPr>
              <w:widowControl/>
              <w:spacing w:line="540" w:lineRule="exact"/>
              <w:jc w:val="center"/>
              <w:rPr>
                <w:rFonts w:hint="default" w:ascii="楷体_GB2312" w:hAnsi="楷体_GB2312" w:eastAsia="楷体_GB2312" w:cs="楷体_GB2312"/>
                <w:b/>
                <w:bCs/>
                <w:kern w:val="0"/>
                <w:sz w:val="24"/>
                <w:szCs w:val="24"/>
                <w:vertAlign w:val="baseline"/>
                <w:lang w:val="en-US" w:eastAsia="zh-CN" w:bidi="ar-SA"/>
              </w:rPr>
            </w:pPr>
            <w:r>
              <w:rPr>
                <w:rFonts w:hint="eastAsia" w:ascii="楷体_GB2312" w:hAnsi="楷体_GB2312" w:eastAsia="楷体_GB2312" w:cs="楷体_GB2312"/>
                <w:b/>
                <w:bCs/>
                <w:kern w:val="0"/>
                <w:sz w:val="24"/>
                <w:szCs w:val="24"/>
                <w:vertAlign w:val="baseline"/>
                <w:lang w:eastAsia="zh-CN" w:bidi="ar-SA"/>
              </w:rPr>
              <w:t>勘察（如有）</w:t>
            </w:r>
            <w:r>
              <w:rPr>
                <w:rFonts w:hint="eastAsia" w:ascii="楷体_GB2312" w:hAnsi="楷体_GB2312" w:eastAsia="楷体_GB2312" w:cs="楷体_GB2312"/>
                <w:b/>
                <w:bCs/>
                <w:kern w:val="0"/>
                <w:sz w:val="24"/>
                <w:szCs w:val="24"/>
                <w:vertAlign w:val="baseline"/>
                <w:lang w:eastAsia="zh-CN" w:bidi="ar-SA"/>
              </w:rPr>
              <w:sym w:font="Wingdings 2" w:char="00A3"/>
            </w:r>
            <w:r>
              <w:rPr>
                <w:rFonts w:hint="eastAsia" w:ascii="楷体_GB2312" w:hAnsi="楷体_GB2312" w:eastAsia="楷体_GB2312" w:cs="楷体_GB2312"/>
                <w:b/>
                <w:bCs/>
                <w:kern w:val="0"/>
                <w:sz w:val="24"/>
                <w:szCs w:val="24"/>
                <w:vertAlign w:val="baseline"/>
                <w:lang w:val="en-US" w:eastAsia="zh-CN" w:bidi="ar-SA"/>
              </w:rPr>
              <w:t xml:space="preserve">    7条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现场及试验室工作执行标准情况、工程勘察实施情况</w:t>
            </w: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eastAsia="仿宋_GB2312" w:cs="仿宋_GB2312"/>
                <w:bCs/>
                <w:sz w:val="21"/>
                <w:szCs w:val="21"/>
                <w:lang w:bidi="ar-SA"/>
              </w:rPr>
              <w:t>技术孔、控制性钻孔比例是否满足规范要求；地质异常段是否加密勘探孔，遇断裂、洞穴等不良地质时勘探孔加深是否足够，</w:t>
            </w:r>
            <w:r>
              <w:rPr>
                <w:rFonts w:hint="eastAsia" w:ascii="仿宋_GB2312" w:hAnsi="仿宋_GB2312" w:eastAsia="仿宋_GB2312" w:cs="仿宋_GB2312"/>
                <w:sz w:val="21"/>
                <w:szCs w:val="21"/>
                <w:lang w:bidi="ar-SA"/>
              </w:rPr>
              <w:t>取样数量、方法是否满足规范要求。</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满足规范要求。</w:t>
            </w:r>
          </w:p>
        </w:tc>
        <w:tc>
          <w:tcPr>
            <w:tcW w:w="1426" w:type="dxa"/>
            <w:vAlign w:val="center"/>
          </w:tcPr>
          <w:p>
            <w:pPr>
              <w:snapToGrid w:val="0"/>
              <w:spacing w:line="240" w:lineRule="auto"/>
              <w:jc w:val="left"/>
              <w:rPr>
                <w:rFonts w:hint="eastAsia" w:ascii="仿宋_GB2312" w:hAnsi="仿宋_GB2312" w:eastAsia="仿宋_GB2312" w:cs="仿宋_GB231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原位测试手段选用、设备性能、数量、深度是否满足要求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水文地质试验方法选择是否合理（必要时）等。</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满足规范要求。</w:t>
            </w:r>
          </w:p>
        </w:tc>
        <w:tc>
          <w:tcPr>
            <w:tcW w:w="1426"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室内试验项目是否满足岩土性质、工程类型、设计、施工需要</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bCs/>
                <w:sz w:val="21"/>
                <w:szCs w:val="21"/>
                <w:lang w:bidi="ar-SA"/>
              </w:rPr>
              <w:t>主要土层试验数量是否满足规范要求。</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满足规范要求。</w:t>
            </w:r>
          </w:p>
        </w:tc>
        <w:tc>
          <w:tcPr>
            <w:tcW w:w="1426" w:type="dxa"/>
            <w:vAlign w:val="center"/>
          </w:tcPr>
          <w:p>
            <w:pPr>
              <w:snapToGrid w:val="0"/>
              <w:spacing w:line="240" w:lineRule="auto"/>
              <w:jc w:val="left"/>
              <w:rPr>
                <w:rFonts w:hint="eastAsia" w:ascii="仿宋_GB2312" w:hAnsi="仿宋_GB2312" w:eastAsia="仿宋_GB2312" w:cs="仿宋_GB231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cs="仿宋_GB2312"/>
                <w:sz w:val="21"/>
                <w:szCs w:val="21"/>
                <w:lang w:eastAsia="zh-CN" w:bidi="ar-SA"/>
              </w:rPr>
              <w:t>0</w:t>
            </w:r>
            <w:r>
              <w:rPr>
                <w:rFonts w:hint="eastAsia" w:ascii="仿宋_GB2312" w:hAnsi="仿宋_GB2312" w:eastAsia="仿宋_GB2312" w:cs="仿宋_GB2312"/>
                <w:sz w:val="21"/>
                <w:szCs w:val="21"/>
                <w:lang w:bidi="ar-SA"/>
              </w:rPr>
              <w:t>编制技术文件、工程勘察成果情况</w:t>
            </w: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岩土层划分依据是否合理、岩土层划分是否正确。</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基本合理、基本正确。</w:t>
            </w:r>
          </w:p>
        </w:tc>
        <w:tc>
          <w:tcPr>
            <w:tcW w:w="1426" w:type="dxa"/>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岩土物理力学参数等</w:t>
            </w:r>
            <w:r>
              <w:rPr>
                <w:rFonts w:hint="eastAsia" w:ascii="仿宋_GB2312" w:hAnsi="仿宋_GB2312" w:eastAsia="仿宋_GB2312" w:cs="仿宋_GB2312"/>
                <w:sz w:val="21"/>
                <w:szCs w:val="21"/>
                <w:lang w:bidi="ar-SA"/>
              </w:rPr>
              <w:t>勘察成果是否准确，地层、水文地质参数、岩土参数是否与实际情况相符。</w:t>
            </w:r>
          </w:p>
        </w:tc>
        <w:tc>
          <w:tcPr>
            <w:tcW w:w="6325" w:type="dxa"/>
            <w:vAlign w:val="center"/>
          </w:tcPr>
          <w:p>
            <w:pPr>
              <w:snapToGrid w:val="0"/>
              <w:spacing w:line="240" w:lineRule="auto"/>
              <w:jc w:val="left"/>
              <w:rPr>
                <w:rFonts w:hint="eastAsia" w:ascii="仿宋_GB2312" w:hAnsi="仿宋_GB2312" w:eastAsia="仿宋_GB2312" w:cs="仿宋_GB2312"/>
                <w:sz w:val="21"/>
                <w:szCs w:val="21"/>
                <w:lang w:val="en-US" w:eastAsia="zh-CN" w:bidi="ar-SA"/>
              </w:rPr>
            </w:pPr>
            <w:r>
              <w:rPr>
                <w:rFonts w:hint="eastAsia" w:ascii="仿宋_GB2312" w:hAnsi="仿宋_GB2312" w:eastAsia="仿宋_GB2312" w:cs="仿宋_GB2312"/>
                <w:sz w:val="21"/>
                <w:szCs w:val="21"/>
                <w:lang w:val="en-US" w:eastAsia="zh-CN" w:bidi="ar-SA"/>
              </w:rPr>
              <w:t>各层砂土未给出变形参数建议值，违反</w:t>
            </w:r>
            <w:r>
              <w:rPr>
                <w:rFonts w:hint="eastAsia" w:ascii="仿宋_GB2312" w:hAnsi="仿宋_GB2312" w:eastAsia="仿宋_GB2312" w:cs="仿宋_GB2312"/>
                <w:sz w:val="21"/>
                <w:szCs w:val="21"/>
                <w:lang w:eastAsia="zh-CN" w:bidi="ar-SA"/>
              </w:rPr>
              <w:t>《岩土工程勘察规范》（GB50021-2001）（2009年版）第</w:t>
            </w:r>
            <w:r>
              <w:rPr>
                <w:rFonts w:hint="eastAsia" w:ascii="仿宋_GB2312" w:hAnsi="仿宋_GB2312" w:eastAsia="仿宋_GB2312" w:cs="仿宋_GB2312"/>
                <w:sz w:val="21"/>
                <w:szCs w:val="21"/>
                <w:lang w:val="en-US" w:eastAsia="zh-CN" w:bidi="ar-SA"/>
              </w:rPr>
              <w:t>14.3.3条之5</w:t>
            </w:r>
          </w:p>
        </w:tc>
        <w:tc>
          <w:tcPr>
            <w:tcW w:w="1426" w:type="dxa"/>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场地与地基的建筑抗震设计基本条件是否准确</w:t>
            </w:r>
            <w:r>
              <w:rPr>
                <w:rFonts w:hint="eastAsia" w:ascii="仿宋_GB2312" w:hAnsi="仿宋_GB2312" w:eastAsia="仿宋_GB2312" w:cs="仿宋_GB2312"/>
                <w:sz w:val="21"/>
                <w:szCs w:val="21"/>
                <w:lang w:bidi="ar-SA"/>
              </w:rPr>
              <w:t>，包括场地类别划分、抗震影响基本参数、地震液化的判别是否准确等。</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符合规范要求。</w:t>
            </w:r>
          </w:p>
        </w:tc>
        <w:tc>
          <w:tcPr>
            <w:tcW w:w="1426" w:type="dxa"/>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对地质灾害和特殊性岩土的评价是否正确；水和土对建筑材料腐蚀性影响评价是否正确；</w:t>
            </w:r>
            <w:r>
              <w:rPr>
                <w:rFonts w:hint="eastAsia" w:ascii="仿宋_GB2312" w:hAnsi="仿宋_GB2312" w:eastAsia="仿宋_GB2312" w:cs="仿宋_GB2312"/>
                <w:bCs/>
                <w:sz w:val="21"/>
                <w:szCs w:val="21"/>
                <w:lang w:bidi="ar-SA"/>
              </w:rPr>
              <w:t>工程地质、水文地质条件评价及措施建议是否准确合理。</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地下水对混凝土结构中钢筋的腐蚀性评价为微腐蚀性有误，应考虑干湿交替的情况评价为中腐蚀性（《岩土工程勘察规范》（GB50021-2001）（2009年版）第</w:t>
            </w:r>
            <w:r>
              <w:rPr>
                <w:rFonts w:hint="eastAsia" w:ascii="仿宋_GB2312" w:hAnsi="仿宋_GB2312" w:eastAsia="仿宋_GB2312" w:cs="仿宋_GB2312"/>
                <w:sz w:val="21"/>
                <w:szCs w:val="21"/>
                <w:lang w:val="en-US" w:eastAsia="zh-CN" w:bidi="ar-SA"/>
              </w:rPr>
              <w:t>12.2.4条</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val="en-US" w:eastAsia="zh-CN" w:bidi="ar-SA"/>
              </w:rPr>
              <w:t>.</w:t>
            </w:r>
          </w:p>
        </w:tc>
        <w:tc>
          <w:tcPr>
            <w:tcW w:w="1426" w:type="dxa"/>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场地稳定性、适宜性评价是否准确、全面。</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符合规范要求。</w:t>
            </w:r>
          </w:p>
        </w:tc>
        <w:tc>
          <w:tcPr>
            <w:tcW w:w="1426" w:type="dxa"/>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成果是否经过内部审核、是否按照强制审查意见进行修改完善。</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符合法规要求。</w:t>
            </w:r>
          </w:p>
        </w:tc>
        <w:tc>
          <w:tcPr>
            <w:tcW w:w="1426" w:type="dxa"/>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工程勘察报告是否有注册土木工程师（岩土）签章</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签章是否齐全。</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符合法规要求。</w:t>
            </w:r>
          </w:p>
        </w:tc>
        <w:tc>
          <w:tcPr>
            <w:tcW w:w="1426" w:type="dxa"/>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技术文件内容是否存在重要缺漏。</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勘察依据缺</w:t>
            </w:r>
            <w:r>
              <w:rPr>
                <w:rFonts w:hint="eastAsia" w:ascii="仿宋_GB2312" w:hAnsi="仿宋_GB2312" w:eastAsia="仿宋_GB2312" w:cs="仿宋_GB2312"/>
                <w:sz w:val="21"/>
                <w:szCs w:val="21"/>
                <w:lang w:bidi="ar-SA"/>
              </w:rPr>
              <w:t>《广东省住房和城乡建设厅关于房屋市政工程危险性较大的分部分项工程安全管理的实施细则》（粤建规范〔2019〕2号）</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val="en-US" w:eastAsia="zh-CN" w:bidi="ar-SA"/>
              </w:rPr>
              <w:t>广东省标准</w:t>
            </w:r>
            <w:r>
              <w:rPr>
                <w:rFonts w:hint="eastAsia" w:ascii="仿宋_GB2312" w:hAnsi="仿宋_GB2312" w:eastAsia="仿宋_GB2312" w:cs="仿宋_GB2312"/>
                <w:sz w:val="21"/>
                <w:szCs w:val="21"/>
                <w:lang w:bidi="ar-SA"/>
              </w:rPr>
              <w:t>《建筑基坑工程技术规程》（DBJ/T15-20-2016）</w:t>
            </w:r>
            <w:r>
              <w:rPr>
                <w:rFonts w:hint="eastAsia" w:ascii="仿宋_GB2312" w:hAnsi="仿宋_GB2312" w:eastAsia="仿宋_GB2312" w:cs="仿宋_GB2312"/>
                <w:sz w:val="21"/>
                <w:szCs w:val="21"/>
                <w:lang w:eastAsia="zh-CN" w:bidi="ar-SA"/>
              </w:rPr>
              <w:t>。</w:t>
            </w:r>
          </w:p>
        </w:tc>
        <w:tc>
          <w:tcPr>
            <w:tcW w:w="1426" w:type="dxa"/>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是否有其他文字、数据、图纸的错误。</w:t>
            </w:r>
          </w:p>
        </w:tc>
        <w:tc>
          <w:tcPr>
            <w:tcW w:w="6325"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eastAsia="zh-CN" w:bidi="ar-SA"/>
              </w:rPr>
              <w:t>部分剖面图中相邻的不同地层漏</w:t>
            </w:r>
            <w:r>
              <w:rPr>
                <w:rFonts w:hint="eastAsia" w:ascii="仿宋_GB2312" w:hAnsi="仿宋_GB2312" w:eastAsia="仿宋_GB2312" w:cs="仿宋_GB2312"/>
                <w:sz w:val="21"/>
                <w:szCs w:val="21"/>
                <w:lang w:val="en-US" w:eastAsia="zh-CN" w:bidi="ar-SA"/>
              </w:rPr>
              <w:t>画</w:t>
            </w:r>
            <w:r>
              <w:rPr>
                <w:rFonts w:hint="eastAsia" w:ascii="仿宋_GB2312" w:hAnsi="仿宋_GB2312" w:eastAsia="仿宋_GB2312" w:cs="仿宋_GB2312"/>
                <w:sz w:val="21"/>
                <w:szCs w:val="21"/>
                <w:lang w:eastAsia="zh-CN" w:bidi="ar-SA"/>
              </w:rPr>
              <w:t>地质分界线。</w:t>
            </w:r>
          </w:p>
        </w:tc>
        <w:tc>
          <w:tcPr>
            <w:tcW w:w="1426" w:type="dxa"/>
            <w:vAlign w:val="center"/>
          </w:tcPr>
          <w:p>
            <w:pPr>
              <w:snapToGrid w:val="0"/>
              <w:spacing w:line="240" w:lineRule="auto"/>
              <w:jc w:val="left"/>
              <w:rPr>
                <w:rFonts w:hint="default" w:ascii="仿宋_GB2312" w:hAnsi="仿宋_GB2312" w:eastAsia="仿宋_GB2312" w:cs="仿宋_GB231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强制性标准条文</w:t>
            </w:r>
          </w:p>
        </w:tc>
        <w:tc>
          <w:tcPr>
            <w:tcW w:w="5450"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325"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US" w:eastAsia="zh-CN" w:bidi="ar-SA"/>
              </w:rPr>
              <w:t>违反</w:t>
            </w:r>
            <w:r>
              <w:rPr>
                <w:rFonts w:hint="eastAsia" w:ascii="仿宋_GB2312" w:hAnsi="仿宋_GB2312" w:eastAsia="仿宋_GB2312" w:cs="仿宋_GB2312"/>
                <w:sz w:val="21"/>
                <w:szCs w:val="21"/>
                <w:lang w:bidi="ar-SA"/>
              </w:rPr>
              <w:t>《岩土工程勘察规范》（GB50021-2001）（2009年版）</w:t>
            </w:r>
            <w:r>
              <w:rPr>
                <w:rFonts w:hint="eastAsia" w:ascii="仿宋_GB2312" w:hAnsi="仿宋_GB2312" w:eastAsia="仿宋_GB2312" w:cs="仿宋_GB2312"/>
                <w:sz w:val="21"/>
                <w:szCs w:val="21"/>
                <w:lang w:eastAsia="zh-CN" w:bidi="ar-SA"/>
              </w:rPr>
              <w:t>第</w:t>
            </w:r>
            <w:r>
              <w:rPr>
                <w:rFonts w:hint="eastAsia" w:ascii="仿宋_GB2312" w:hAnsi="仿宋_GB2312" w:eastAsia="仿宋_GB2312" w:cs="仿宋_GB2312"/>
                <w:sz w:val="21"/>
                <w:szCs w:val="21"/>
                <w:lang w:val="en-US" w:eastAsia="zh-CN" w:bidi="ar-SA"/>
              </w:rPr>
              <w:t>14.3.3条之5</w:t>
            </w:r>
          </w:p>
        </w:tc>
        <w:tc>
          <w:tcPr>
            <w:tcW w:w="1426" w:type="dxa"/>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一般标准条文</w:t>
            </w:r>
          </w:p>
        </w:tc>
        <w:tc>
          <w:tcPr>
            <w:tcW w:w="5450"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325"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US" w:eastAsia="zh-CN" w:bidi="ar-SA"/>
              </w:rPr>
              <w:t>违反</w:t>
            </w:r>
            <w:r>
              <w:rPr>
                <w:rFonts w:hint="eastAsia" w:ascii="仿宋_GB2312" w:hAnsi="仿宋_GB2312" w:eastAsia="仿宋_GB2312" w:cs="仿宋_GB2312"/>
                <w:sz w:val="21"/>
                <w:szCs w:val="21"/>
                <w:lang w:bidi="ar-SA"/>
              </w:rPr>
              <w:t>《岩土工程勘察规范》（GB50021-2001）（2009年版）</w:t>
            </w:r>
            <w:r>
              <w:rPr>
                <w:rFonts w:hint="eastAsia" w:ascii="仿宋_GB2312" w:hAnsi="仿宋_GB2312" w:eastAsia="仿宋_GB2312" w:cs="仿宋_GB2312"/>
                <w:sz w:val="21"/>
                <w:szCs w:val="21"/>
                <w:lang w:eastAsia="zh-CN" w:bidi="ar-SA"/>
              </w:rPr>
              <w:t>第</w:t>
            </w:r>
            <w:r>
              <w:rPr>
                <w:rFonts w:hint="eastAsia" w:ascii="仿宋_GB2312" w:hAnsi="仿宋_GB2312" w:eastAsia="仿宋_GB2312" w:cs="仿宋_GB2312"/>
                <w:sz w:val="21"/>
                <w:szCs w:val="21"/>
                <w:lang w:val="en-US" w:eastAsia="zh-CN" w:bidi="ar-SA"/>
              </w:rPr>
              <w:t>12.2.4条，对工程质量影响较大。</w:t>
            </w:r>
          </w:p>
        </w:tc>
        <w:tc>
          <w:tcPr>
            <w:tcW w:w="1426" w:type="dxa"/>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落实工程质量责任制情况</w:t>
            </w:r>
          </w:p>
        </w:tc>
        <w:tc>
          <w:tcPr>
            <w:tcW w:w="5450"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文件包中未见授权书和承诺书。</w:t>
            </w:r>
          </w:p>
        </w:tc>
        <w:tc>
          <w:tcPr>
            <w:tcW w:w="1426" w:type="dxa"/>
            <w:vAlign w:val="center"/>
          </w:tcPr>
          <w:p>
            <w:pPr>
              <w:snapToGrid w:val="0"/>
              <w:spacing w:line="240" w:lineRule="auto"/>
              <w:jc w:val="left"/>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其他工程勘察质量相关内容</w:t>
            </w:r>
          </w:p>
        </w:tc>
        <w:tc>
          <w:tcPr>
            <w:tcW w:w="6325" w:type="dxa"/>
            <w:vAlign w:val="center"/>
          </w:tcPr>
          <w:p>
            <w:pPr>
              <w:snapToGrid w:val="0"/>
              <w:spacing w:line="240" w:lineRule="auto"/>
              <w:jc w:val="left"/>
              <w:rPr>
                <w:rFonts w:hint="default" w:ascii="仿宋_GB2312" w:hAnsi="仿宋_GB2312" w:eastAsia="仿宋_GB2312" w:cs="仿宋_GB2312"/>
                <w:sz w:val="21"/>
                <w:szCs w:val="21"/>
                <w:lang w:val="en-US" w:eastAsia="zh-CN" w:bidi="ar-SA"/>
              </w:rPr>
            </w:pPr>
            <w:r>
              <w:rPr>
                <w:rFonts w:hint="eastAsia" w:ascii="仿宋_GB2312" w:hAnsi="仿宋_GB2312" w:eastAsia="仿宋_GB2312" w:cs="仿宋_GB2312"/>
                <w:sz w:val="21"/>
                <w:szCs w:val="21"/>
                <w:lang w:eastAsia="zh-CN" w:bidi="ar-SA"/>
              </w:rPr>
              <w:t>无</w:t>
            </w:r>
            <w:r>
              <w:rPr>
                <w:rFonts w:hint="eastAsia" w:ascii="仿宋_GB2312" w:hAnsi="仿宋_GB2312" w:eastAsia="仿宋_GB2312" w:cs="仿宋_GB2312"/>
                <w:sz w:val="21"/>
                <w:szCs w:val="21"/>
                <w:lang w:val="en-US" w:eastAsia="zh-CN" w:bidi="ar-SA"/>
              </w:rPr>
              <w:t>其他意见。</w:t>
            </w:r>
          </w:p>
        </w:tc>
        <w:tc>
          <w:tcPr>
            <w:tcW w:w="1426" w:type="dxa"/>
            <w:vAlign w:val="center"/>
          </w:tcPr>
          <w:p>
            <w:pPr>
              <w:snapToGrid w:val="0"/>
              <w:spacing w:line="240" w:lineRule="auto"/>
              <w:jc w:val="left"/>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center"/>
          </w:tcPr>
          <w:p>
            <w:pPr>
              <w:snapToGrid w:val="0"/>
              <w:spacing w:line="240" w:lineRule="auto"/>
              <w:jc w:val="center"/>
              <w:rPr>
                <w:rFonts w:hint="default" w:ascii="仿宋_GB2312" w:hAnsi="仿宋_GB2312" w:eastAsia="仿宋_GB2312" w:cs="仿宋_GB2312"/>
                <w:sz w:val="21"/>
                <w:szCs w:val="21"/>
                <w:lang w:val="en-US" w:eastAsia="zh-CN" w:bidi="ar-SA"/>
              </w:rPr>
            </w:pPr>
            <w:r>
              <w:rPr>
                <w:rFonts w:hint="eastAsia" w:ascii="仿宋_GB2312" w:hAnsi="仿宋_GB2312" w:eastAsia="仿宋_GB2312" w:cs="仿宋_GB2312"/>
                <w:b/>
                <w:bCs/>
                <w:sz w:val="21"/>
                <w:szCs w:val="21"/>
                <w:lang w:eastAsia="zh-CN" w:bidi="ar-SA"/>
              </w:rPr>
              <w:t>设计</w:t>
            </w:r>
            <w:r>
              <w:rPr>
                <w:rFonts w:hint="eastAsia" w:ascii="仿宋_GB2312" w:hAnsi="仿宋_GB2312" w:cs="仿宋_GB2312"/>
                <w:b/>
                <w:bCs/>
                <w:sz w:val="21"/>
                <w:szCs w:val="21"/>
                <w:lang w:val="en-US" w:eastAsia="zh-CN" w:bidi="ar-SA"/>
              </w:rPr>
              <w:t xml:space="preserve">  32条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w:t>
            </w:r>
          </w:p>
        </w:tc>
        <w:tc>
          <w:tcPr>
            <w:tcW w:w="54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设计依据的规范、标准是否准确；基础资料是否满足要求；设计是否执行立项、规划</w:t>
            </w:r>
            <w:r>
              <w:rPr>
                <w:rFonts w:hint="eastAsia" w:ascii="仿宋_GB2312" w:hAnsi="仿宋_GB2312" w:eastAsia="仿宋_GB2312" w:cs="仿宋_GB2312"/>
                <w:sz w:val="21"/>
                <w:szCs w:val="21"/>
                <w:lang w:eastAsia="zh-CN" w:bidi="ar-SA"/>
              </w:rPr>
              <w:t>、人防</w:t>
            </w:r>
            <w:r>
              <w:rPr>
                <w:rFonts w:hint="eastAsia" w:ascii="仿宋_GB2312" w:hAnsi="仿宋_GB2312" w:eastAsia="仿宋_GB2312" w:cs="仿宋_GB2312"/>
                <w:sz w:val="21"/>
                <w:szCs w:val="21"/>
                <w:lang w:bidi="ar-SA"/>
              </w:rPr>
              <w:t>等主管部门批文。</w:t>
            </w:r>
          </w:p>
        </w:tc>
        <w:tc>
          <w:tcPr>
            <w:tcW w:w="6325" w:type="dxa"/>
            <w:vAlign w:val="center"/>
          </w:tcPr>
          <w:p>
            <w:pPr>
              <w:snapToGrid w:val="0"/>
              <w:spacing w:line="240" w:lineRule="auto"/>
              <w:jc w:val="left"/>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1、建筑图纸的</w:t>
            </w:r>
            <w:r>
              <w:rPr>
                <w:rFonts w:hint="eastAsia" w:ascii="仿宋_GB2312" w:hAnsi="仿宋_GB2312" w:eastAsia="仿宋_GB2312" w:cs="仿宋_GB2312"/>
                <w:sz w:val="21"/>
                <w:szCs w:val="21"/>
                <w:lang w:val="en-US" w:eastAsia="zh-CN" w:bidi="ar-SA"/>
              </w:rPr>
              <w:t>设计说明：设计依据，1.7条，《民用建筑工程室内环境污染控制规范》规范版本需要更新为GB50325-2020</w:t>
            </w:r>
            <w:r>
              <w:rPr>
                <w:rFonts w:hint="eastAsia" w:ascii="仿宋_GB2312" w:hAnsi="仿宋_GB2312" w:cs="仿宋_GB2312"/>
                <w:sz w:val="21"/>
                <w:szCs w:val="21"/>
                <w:lang w:val="en-US" w:eastAsia="zh-CN" w:bidi="ar-SA"/>
              </w:rPr>
              <w:t>第</w:t>
            </w:r>
            <w:r>
              <w:rPr>
                <w:rFonts w:hint="eastAsia" w:ascii="仿宋_GB2312" w:hAnsi="仿宋_GB2312" w:eastAsia="仿宋_GB2312" w:cs="仿宋_GB2312"/>
                <w:sz w:val="21"/>
                <w:szCs w:val="21"/>
                <w:lang w:val="en-US" w:eastAsia="zh-CN" w:bidi="ar-SA"/>
              </w:rPr>
              <w:t>6.5.3条，《建筑外门窗气密,水密,抗风压性能分级及检测方法》GB/T7106-2008规范已废止，新版规范为《建筑外门窗气密、水密、抗风压性能检测方法》GB/T7106-2019。铝合金门窗的壁厚应按内、外门窗分别描述。 应补充完整为铝合金外门型材壁厚2.2mm，内门型材壁厚2.0mm；铝合金外窗型材壁厚1.8mm，内窗型材壁厚1.4mm。</w:t>
            </w:r>
          </w:p>
          <w:p>
            <w:pPr>
              <w:snapToGrid w:val="0"/>
              <w:spacing w:line="240" w:lineRule="auto"/>
              <w:jc w:val="left"/>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2、</w:t>
            </w:r>
            <w:r>
              <w:rPr>
                <w:rFonts w:hint="eastAsia" w:ascii="仿宋_GB2312" w:hAnsi="仿宋_GB2312" w:eastAsia="仿宋_GB2312" w:cs="仿宋_GB2312"/>
                <w:sz w:val="21"/>
                <w:szCs w:val="21"/>
                <w:lang w:val="en-US" w:eastAsia="zh-CN" w:bidi="ar-SA"/>
              </w:rPr>
              <w:t>暖通图纸的设计说明中关于《广州市建设工程消防设计、审查难点问题解答》不适用本工程，《托儿所、幼儿园建筑设计规范》 JGJ39-2016应注明2019年版。</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设计文件编制深度</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完整性</w:t>
            </w:r>
          </w:p>
        </w:tc>
        <w:tc>
          <w:tcPr>
            <w:tcW w:w="54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eastAsia="zh-CN" w:bidi="ar-SA"/>
              </w:rPr>
            </w:pPr>
            <w:r>
              <w:rPr>
                <w:rFonts w:hint="eastAsia" w:ascii="仿宋_GB2312" w:hAnsi="仿宋_GB2312" w:eastAsia="仿宋_GB2312" w:cs="仿宋_GB2312"/>
                <w:sz w:val="21"/>
                <w:szCs w:val="21"/>
                <w:lang w:bidi="ar-SA"/>
              </w:rPr>
              <w:t>专业图纸是否齐全</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是否符合现行相关规定要求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单位和个人签章是否完备并符合要求</w:t>
            </w:r>
            <w:r>
              <w:rPr>
                <w:rFonts w:hint="eastAsia" w:ascii="仿宋_GB2312" w:hAnsi="仿宋_GB2312" w:eastAsia="仿宋_GB2312" w:cs="仿宋_GB2312"/>
                <w:sz w:val="21"/>
                <w:szCs w:val="21"/>
                <w:lang w:eastAsia="zh-CN" w:bidi="ar-SA"/>
              </w:rPr>
              <w:t>；涉及危大工程的是否注明危大工程的重点部位和环节，提出保障工程周边环境安全和工程施工安全的意见，必要时进行专项设计。</w:t>
            </w:r>
          </w:p>
        </w:tc>
        <w:tc>
          <w:tcPr>
            <w:tcW w:w="6325"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齐全</w:t>
            </w:r>
            <w:r>
              <w:rPr>
                <w:rFonts w:hint="eastAsia" w:ascii="仿宋_GB2312" w:hAnsi="仿宋_GB2312" w:cs="仿宋_GB2312"/>
                <w:sz w:val="21"/>
                <w:szCs w:val="21"/>
                <w:lang w:eastAsia="zh-CN" w:bidi="ar-SA"/>
              </w:rPr>
              <w:t>。</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强制性标准条文</w:t>
            </w:r>
          </w:p>
        </w:tc>
        <w:tc>
          <w:tcPr>
            <w:tcW w:w="54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325" w:type="dxa"/>
            <w:vAlign w:val="center"/>
          </w:tcPr>
          <w:p>
            <w:pPr>
              <w:snapToGrid w:val="0"/>
              <w:spacing w:line="240" w:lineRule="auto"/>
              <w:jc w:val="left"/>
              <w:rPr>
                <w:rFonts w:hint="eastAsia" w:ascii="仿宋_GB2312" w:hAnsi="仿宋_GB2312" w:eastAsia="仿宋_GB2312" w:cs="仿宋_GB2312"/>
                <w:sz w:val="21"/>
                <w:szCs w:val="21"/>
                <w:lang w:val="en-US" w:eastAsia="zh-CN" w:bidi="ar-SA"/>
              </w:rPr>
            </w:pPr>
            <w:r>
              <w:rPr>
                <w:rFonts w:hint="eastAsia" w:ascii="仿宋_GB2312" w:hAnsi="仿宋_GB2312" w:eastAsia="仿宋_GB2312" w:cs="仿宋_GB2312"/>
                <w:sz w:val="21"/>
                <w:szCs w:val="21"/>
                <w:lang w:val="en-US" w:eastAsia="zh-CN" w:bidi="ar-SA"/>
              </w:rPr>
              <w:t>1、各栋：首层住宅楼梯间出入口与地下室汽车库人员出入口应分开布置。</w:t>
            </w:r>
            <w:r>
              <w:rPr>
                <w:rFonts w:hint="eastAsia" w:ascii="仿宋_GB2312" w:hAnsi="仿宋_GB2312" w:eastAsia="仿宋_GB2312" w:cs="仿宋_GB2312"/>
                <w:b/>
                <w:bCs/>
                <w:sz w:val="21"/>
                <w:szCs w:val="21"/>
                <w:lang w:val="en-US" w:eastAsia="zh-CN" w:bidi="ar-SA"/>
              </w:rPr>
              <w:t>（住宅设计规范GB50096-2011，6.10.4）</w:t>
            </w:r>
          </w:p>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US" w:eastAsia="zh-CN" w:bidi="ar-SA"/>
              </w:rPr>
              <w:t>2、地下室：地下室不属于住宅功能，水井、电井的门不应直接开向合用前室。</w:t>
            </w:r>
            <w:r>
              <w:rPr>
                <w:rFonts w:hint="eastAsia" w:ascii="仿宋_GB2312" w:hAnsi="仿宋_GB2312" w:eastAsia="仿宋_GB2312" w:cs="仿宋_GB2312"/>
                <w:b/>
                <w:bCs/>
                <w:sz w:val="21"/>
                <w:szCs w:val="21"/>
                <w:lang w:val="en-US" w:eastAsia="zh-CN" w:bidi="ar-SA"/>
              </w:rPr>
              <w:t>（建规6.4.3.5）</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一般标准条文</w:t>
            </w:r>
          </w:p>
        </w:tc>
        <w:tc>
          <w:tcPr>
            <w:tcW w:w="54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eastAsia="zh-CN" w:bidi="ar-SA"/>
              </w:rPr>
              <w:t>是</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落实工程质量责任制情况</w:t>
            </w:r>
          </w:p>
        </w:tc>
        <w:tc>
          <w:tcPr>
            <w:tcW w:w="54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eastAsia="zh-CN" w:bidi="ar-SA"/>
              </w:rPr>
              <w:t>没有提供</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w:t>
            </w:r>
          </w:p>
        </w:tc>
        <w:tc>
          <w:tcPr>
            <w:tcW w:w="54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内部审核制度是否完善，校审意见单是否齐全，内部评审、方案会审记录是否齐全，专业间互提资料单是否齐全，内部各级复、审核意见是否落实全面，文件的签署、专业会签是否完整。</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eastAsia="zh-CN" w:bidi="ar-SA"/>
              </w:rPr>
              <w:t>完整</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初步设计审查落实</w:t>
            </w:r>
          </w:p>
        </w:tc>
        <w:tc>
          <w:tcPr>
            <w:tcW w:w="54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施工图设计中是否说明初步设计专家意见（包括其它评审意见）的执行情况。</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eastAsia="zh-CN" w:bidi="ar-SA"/>
              </w:rPr>
              <w:t>没有提供</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设计交底</w:t>
            </w:r>
          </w:p>
        </w:tc>
        <w:tc>
          <w:tcPr>
            <w:tcW w:w="54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是否按照要求执行设计交底制度，是否按照要求执行图纸会审制度。</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US" w:eastAsia="zh-CN" w:bidi="ar-SA"/>
              </w:rPr>
              <w:t>是</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pacing w:val="20"/>
                <w:sz w:val="21"/>
                <w:szCs w:val="21"/>
                <w:lang w:bidi="ar-SA"/>
              </w:rPr>
              <w:t>设计文件修改、变更</w:t>
            </w:r>
          </w:p>
        </w:tc>
        <w:tc>
          <w:tcPr>
            <w:tcW w:w="54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设计文件修改、变更是否合理，设计变更是否履行规定的程序。</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建筑</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总平面设计是否满足规划部门要求，单体建筑功能、主要特征等是否符合立项、规划部门要求，主要技术经济指标表述是否全面，并满足相关主管部门要求，</w:t>
            </w:r>
            <w:r>
              <w:rPr>
                <w:rFonts w:hint="eastAsia" w:ascii="仿宋_GB2312" w:hAnsi="仿宋_GB2312" w:eastAsia="仿宋_GB2312" w:cs="仿宋_GB2312"/>
                <w:sz w:val="21"/>
                <w:szCs w:val="21"/>
                <w:shd w:val="clear" w:color="auto" w:fill="FFFFFF"/>
                <w:lang w:val="en-GB" w:bidi="ar-SA"/>
              </w:rPr>
              <w:t>绿色建筑设计目标是否明确，建筑节能和绿色建筑设计拟采取的相应技术措施是否合理可行并符合规范要求</w:t>
            </w:r>
            <w:r>
              <w:rPr>
                <w:rFonts w:hint="eastAsia" w:ascii="仿宋_GB2312" w:hAnsi="仿宋_GB2312" w:eastAsia="仿宋_GB2312" w:cs="仿宋_GB2312"/>
                <w:sz w:val="21"/>
                <w:szCs w:val="21"/>
                <w:shd w:val="clear" w:color="auto" w:fill="FFFFFF"/>
                <w:lang w:bidi="ar-SA"/>
              </w:rPr>
              <w:t>。</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GB" w:eastAsia="zh-CN" w:bidi="ar-SA"/>
              </w:rPr>
              <w:t>是</w:t>
            </w:r>
          </w:p>
        </w:tc>
        <w:tc>
          <w:tcPr>
            <w:tcW w:w="142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建筑设计质量检查要点</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GB" w:bidi="ar-SA"/>
              </w:rPr>
              <w:t>平面布置中功能分区是否明确，交通组织是否合理，楼层净高尺寸是否满足相关规范要求。消防设计是否满足有关要求，</w:t>
            </w:r>
            <w:r>
              <w:rPr>
                <w:rFonts w:hint="eastAsia" w:ascii="仿宋_GB2312" w:hAnsi="仿宋_GB2312" w:eastAsia="仿宋_GB2312" w:cs="仿宋_GB2312"/>
                <w:sz w:val="21"/>
                <w:szCs w:val="21"/>
                <w:lang w:bidi="ar-SA"/>
              </w:rPr>
              <w:t>消防车道、消防登高救援场地、建筑间距、防火分区、安全疏散、疏散距离、疏散宽度及防火构造措施等是否满足相应的规定。无障碍设计是否满足规范要求。</w:t>
            </w:r>
            <w:r>
              <w:rPr>
                <w:rFonts w:hint="eastAsia" w:ascii="仿宋_GB2312" w:hAnsi="仿宋_GB2312" w:eastAsia="仿宋_GB2312" w:cs="仿宋_GB2312"/>
                <w:sz w:val="21"/>
                <w:szCs w:val="21"/>
                <w:lang w:val="en-GB" w:bidi="ar-SA"/>
              </w:rPr>
              <w:t>项目的使用功能是否满足相关建筑设计规范要求等。</w:t>
            </w:r>
          </w:p>
        </w:tc>
        <w:tc>
          <w:tcPr>
            <w:tcW w:w="6325" w:type="dxa"/>
            <w:vAlign w:val="top"/>
          </w:tcPr>
          <w:p>
            <w:pPr>
              <w:snapToGrid w:val="0"/>
              <w:spacing w:line="240" w:lineRule="auto"/>
              <w:jc w:val="left"/>
              <w:rPr>
                <w:rFonts w:hint="eastAsia" w:ascii="仿宋_GB2312" w:hAnsi="仿宋_GB2312" w:eastAsia="仿宋_GB2312" w:cs="仿宋_GB2312"/>
                <w:sz w:val="21"/>
                <w:szCs w:val="21"/>
                <w:lang w:val="en-GB" w:eastAsia="zh-CN" w:bidi="ar-SA"/>
              </w:rPr>
            </w:pPr>
            <w:r>
              <w:rPr>
                <w:rFonts w:hint="eastAsia" w:ascii="仿宋_GB2312" w:hAnsi="仿宋_GB2312" w:cs="仿宋_GB2312"/>
                <w:sz w:val="21"/>
                <w:szCs w:val="21"/>
                <w:lang w:val="en-US" w:eastAsia="zh-CN" w:bidi="ar-SA"/>
              </w:rPr>
              <w:t>1、</w:t>
            </w:r>
            <w:r>
              <w:rPr>
                <w:rFonts w:hint="eastAsia" w:ascii="仿宋_GB2312" w:hAnsi="仿宋_GB2312" w:eastAsia="仿宋_GB2312" w:cs="仿宋_GB2312"/>
                <w:sz w:val="21"/>
                <w:szCs w:val="21"/>
                <w:lang w:val="en-GB" w:eastAsia="zh-CN" w:bidi="ar-SA"/>
              </w:rPr>
              <w:t>绿建资料：缺自然通风模拟分析报告，缺室外风环境模拟分析</w:t>
            </w:r>
            <w:r>
              <w:rPr>
                <w:rFonts w:hint="eastAsia" w:ascii="仿宋_GB2312" w:hAnsi="仿宋_GB2312" w:eastAsia="仿宋_GB2312" w:cs="仿宋_GB2312"/>
                <w:sz w:val="21"/>
                <w:szCs w:val="21"/>
                <w:lang w:val="en-US" w:eastAsia="zh-CN" w:bidi="ar-SA"/>
              </w:rPr>
              <w:t>报告。</w:t>
            </w:r>
            <w:r>
              <w:rPr>
                <w:rFonts w:hint="eastAsia" w:ascii="仿宋_GB2312" w:hAnsi="仿宋_GB2312" w:eastAsia="仿宋_GB2312" w:cs="仿宋_GB2312"/>
                <w:sz w:val="21"/>
                <w:szCs w:val="21"/>
                <w:lang w:val="en-GB" w:eastAsia="zh-CN" w:bidi="ar-SA"/>
              </w:rPr>
              <w:t>绿建专篇：缺扉页，缺全专业三级校审人员签名、签字。缺注册建筑师、注册结构师盖章。</w:t>
            </w:r>
          </w:p>
          <w:p>
            <w:pPr>
              <w:snapToGrid w:val="0"/>
              <w:spacing w:line="240" w:lineRule="auto"/>
              <w:jc w:val="left"/>
              <w:rPr>
                <w:rFonts w:hint="eastAsia" w:ascii="仿宋_GB2312" w:hAnsi="仿宋_GB2312" w:eastAsia="仿宋_GB2312" w:cs="仿宋_GB2312"/>
                <w:sz w:val="21"/>
                <w:szCs w:val="21"/>
                <w:lang w:val="en-GB" w:eastAsia="zh-CN" w:bidi="ar-SA"/>
              </w:rPr>
            </w:pPr>
            <w:r>
              <w:rPr>
                <w:rFonts w:hint="eastAsia" w:ascii="仿宋_GB2312" w:hAnsi="仿宋_GB2312" w:cs="仿宋_GB2312"/>
                <w:sz w:val="21"/>
                <w:szCs w:val="21"/>
                <w:lang w:val="en-US" w:eastAsia="zh-CN" w:bidi="ar-SA"/>
              </w:rPr>
              <w:t>2、</w:t>
            </w:r>
            <w:r>
              <w:rPr>
                <w:rFonts w:hint="eastAsia" w:ascii="仿宋_GB2312" w:hAnsi="仿宋_GB2312" w:eastAsia="仿宋_GB2312" w:cs="仿宋_GB2312"/>
                <w:sz w:val="21"/>
                <w:szCs w:val="21"/>
                <w:lang w:val="en-US" w:eastAsia="zh-CN" w:bidi="ar-SA"/>
              </w:rPr>
              <w:t xml:space="preserve">无障碍设计专篇：本期无障碍住房的设计情况（设置在哪一栋？多少户？是否满足2%无障碍户型要求）应描述。  </w:t>
            </w:r>
          </w:p>
          <w:p>
            <w:pPr>
              <w:snapToGrid w:val="0"/>
              <w:spacing w:line="240" w:lineRule="auto"/>
              <w:jc w:val="left"/>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3、</w:t>
            </w:r>
            <w:r>
              <w:rPr>
                <w:rFonts w:hint="eastAsia" w:ascii="仿宋_GB2312" w:hAnsi="仿宋_GB2312" w:eastAsia="仿宋_GB2312" w:cs="仿宋_GB2312"/>
                <w:sz w:val="21"/>
                <w:szCs w:val="21"/>
                <w:lang w:val="en-US" w:eastAsia="zh-CN" w:bidi="ar-SA"/>
              </w:rPr>
              <w:t>各栋住宅共同问题：</w:t>
            </w:r>
            <w:r>
              <w:rPr>
                <w:rFonts w:hint="eastAsia" w:ascii="仿宋_GB2312" w:hAnsi="仿宋_GB2312" w:cs="仿宋_GB2312"/>
                <w:sz w:val="21"/>
                <w:szCs w:val="21"/>
                <w:lang w:val="en-US" w:eastAsia="zh-CN" w:bidi="ar-SA"/>
              </w:rPr>
              <w:t>①</w:t>
            </w:r>
            <w:r>
              <w:rPr>
                <w:rFonts w:hint="eastAsia" w:ascii="仿宋_GB2312" w:hAnsi="仿宋_GB2312" w:eastAsia="仿宋_GB2312" w:cs="仿宋_GB2312"/>
                <w:sz w:val="21"/>
                <w:szCs w:val="21"/>
                <w:lang w:val="en-US" w:eastAsia="zh-CN" w:bidi="ar-SA"/>
              </w:rPr>
              <w:t>、首层住宅楼梯间出入口与地下室汽车库人员出入口应分开布置。（住宅设计规范GB50096-2011，6.10.4）</w:t>
            </w:r>
            <w:r>
              <w:rPr>
                <w:rFonts w:hint="eastAsia" w:ascii="仿宋_GB2312" w:hAnsi="仿宋_GB2312" w:cs="仿宋_GB2312"/>
                <w:sz w:val="21"/>
                <w:szCs w:val="21"/>
                <w:lang w:val="en-US" w:eastAsia="zh-CN" w:bidi="ar-SA"/>
              </w:rPr>
              <w:t>；②</w:t>
            </w:r>
            <w:r>
              <w:rPr>
                <w:rFonts w:hint="eastAsia" w:ascii="仿宋_GB2312" w:hAnsi="仿宋_GB2312" w:eastAsia="仿宋_GB2312" w:cs="仿宋_GB2312"/>
                <w:sz w:val="21"/>
                <w:szCs w:val="21"/>
                <w:lang w:val="en-US" w:eastAsia="zh-CN" w:bidi="ar-SA"/>
              </w:rPr>
              <w:t>、二层，主入口处的铝板雨棚应改为防坠落雨棚并提交结构专业。（住宅设计规范GB50096-2011，6.5.2）</w:t>
            </w:r>
            <w:r>
              <w:rPr>
                <w:rFonts w:hint="eastAsia" w:ascii="仿宋_GB2312" w:hAnsi="仿宋_GB2312" w:cs="仿宋_GB2312"/>
                <w:sz w:val="21"/>
                <w:szCs w:val="21"/>
                <w:lang w:val="en-US" w:eastAsia="zh-CN" w:bidi="ar-SA"/>
              </w:rPr>
              <w:t>；③</w:t>
            </w:r>
            <w:r>
              <w:rPr>
                <w:rFonts w:hint="eastAsia" w:ascii="仿宋_GB2312" w:hAnsi="仿宋_GB2312" w:eastAsia="仿宋_GB2312" w:cs="仿宋_GB2312"/>
                <w:sz w:val="21"/>
                <w:szCs w:val="21"/>
                <w:lang w:val="en-US" w:eastAsia="zh-CN" w:bidi="ar-SA"/>
              </w:rPr>
              <w:t xml:space="preserve">、门窗大样、节能专篇：《建筑外门窗气密,水密,抗风压性能分级及检测方法》GB/T7106-2008规范已废止，新版规范为《建筑外门窗气密、水密、抗风压性能检测方法》GB/T7106-2019，请按新规范重新编制设计。 </w:t>
            </w:r>
          </w:p>
          <w:p>
            <w:pPr>
              <w:snapToGrid w:val="0"/>
              <w:spacing w:line="240" w:lineRule="auto"/>
              <w:jc w:val="left"/>
              <w:rPr>
                <w:rFonts w:hint="eastAsia" w:ascii="仿宋_GB2312" w:hAnsi="仿宋_GB2312" w:eastAsia="仿宋_GB2312" w:cs="仿宋_GB2312"/>
                <w:sz w:val="21"/>
                <w:szCs w:val="21"/>
                <w:lang w:val="en-GB" w:bidi="ar-SA"/>
              </w:rPr>
            </w:pPr>
            <w:r>
              <w:rPr>
                <w:rFonts w:hint="eastAsia" w:ascii="仿宋_GB2312" w:hAnsi="仿宋_GB2312" w:eastAsia="仿宋_GB2312" w:cs="仿宋_GB2312"/>
                <w:sz w:val="21"/>
                <w:szCs w:val="21"/>
                <w:lang w:val="en-US" w:eastAsia="zh-CN" w:bidi="ar-SA"/>
              </w:rPr>
              <w:t>4#平面：节能专篇：建筑外门窗气密,水密,抗风压性能分级及检测方法》GB/T7106-2008规范已废止，新版规范为《建筑外门窗气密、水密、抗风压性能检测方法》GB/T7106-2019，请按新规范重新编制设计。7#：16~18层平面缺门窗编号。</w:t>
            </w:r>
          </w:p>
        </w:tc>
        <w:tc>
          <w:tcPr>
            <w:tcW w:w="142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val="en-GB"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结构</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结构选型、结构布置是否存在不合理或投资浪费等问题；荷载取值、结构计算、</w:t>
            </w:r>
            <w:r>
              <w:rPr>
                <w:rFonts w:hint="eastAsia" w:ascii="仿宋_GB2312" w:hAnsi="仿宋_GB2312" w:eastAsia="仿宋_GB2312" w:cs="仿宋_GB2312"/>
                <w:sz w:val="21"/>
                <w:szCs w:val="21"/>
                <w:shd w:val="clear" w:color="auto" w:fill="FFFFFF"/>
                <w:lang w:bidi="ar-SA"/>
              </w:rPr>
              <w:t>结构安全等级、结构重要性系数、结构使用年限及耐久性、抗震设防类别和抗震等级、抗震构造措施等是否符合规范。</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eastAsia="zh-CN" w:bidi="ar-SA"/>
              </w:rPr>
              <w:t>满足规范要求。</w:t>
            </w:r>
          </w:p>
        </w:tc>
        <w:tc>
          <w:tcPr>
            <w:tcW w:w="142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地基基础设计质量检查要点</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基础选型及埋深、天然地基持力层、桩端持力层及进入持力层的深度是否合理，是否满足地基承载力、变形及整体稳定要求。抗浮设防水位是否正确，采取的抗浮措施是否合理、可靠。</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eastAsia="zh-CN" w:bidi="ar-SA"/>
              </w:rPr>
              <w:t>满足规范要求。</w:t>
            </w:r>
          </w:p>
        </w:tc>
        <w:tc>
          <w:tcPr>
            <w:tcW w:w="142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上部结构及地下室结构设计质量要点</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vAlign w:val="center"/>
          </w:tcPr>
          <w:p>
            <w:pPr>
              <w:snapToGrid w:val="0"/>
              <w:spacing w:line="240" w:lineRule="auto"/>
              <w:jc w:val="both"/>
              <w:rPr>
                <w:rFonts w:hint="eastAsia" w:ascii="仿宋_GB2312" w:hAnsi="仿宋_GB2312" w:eastAsia="仿宋_GB2312" w:cs="仿宋_GB2312"/>
                <w:sz w:val="21"/>
                <w:szCs w:val="21"/>
                <w:lang w:val="en-US" w:eastAsia="zh-CN" w:bidi="ar-SA"/>
              </w:rPr>
            </w:pPr>
            <w:r>
              <w:rPr>
                <w:rFonts w:hint="eastAsia" w:ascii="仿宋_GB2312" w:hAnsi="仿宋_GB2312" w:eastAsia="仿宋_GB2312" w:cs="仿宋_GB2312"/>
                <w:sz w:val="21"/>
                <w:szCs w:val="21"/>
                <w:lang w:val="en-US" w:eastAsia="zh-CN" w:bidi="ar-SA"/>
              </w:rPr>
              <w:t>1、根据湛江市住建局发文《关于实施《高层建筑混凝土结构技术规程》DBJ/T15-92-2021有关要求的通知》第三条要求，本工程工规证日期在新规之后，应按新的省高规或国家高规设计；</w:t>
            </w:r>
          </w:p>
          <w:p>
            <w:pPr>
              <w:snapToGrid w:val="0"/>
              <w:spacing w:line="240" w:lineRule="auto"/>
              <w:jc w:val="both"/>
              <w:rPr>
                <w:rFonts w:hint="eastAsia" w:ascii="仿宋_GB2312" w:hAnsi="仿宋_GB2312" w:eastAsia="仿宋_GB2312" w:cs="仿宋_GB2312"/>
                <w:sz w:val="21"/>
                <w:szCs w:val="21"/>
                <w:lang w:val="en-US" w:eastAsia="zh-CN" w:bidi="ar-SA"/>
              </w:rPr>
            </w:pPr>
            <w:r>
              <w:rPr>
                <w:rFonts w:hint="eastAsia" w:ascii="仿宋_GB2312" w:hAnsi="仿宋_GB2312" w:eastAsia="仿宋_GB2312" w:cs="仿宋_GB2312"/>
                <w:sz w:val="21"/>
                <w:szCs w:val="21"/>
                <w:lang w:val="en-US" w:eastAsia="zh-CN" w:bidi="ar-SA"/>
              </w:rPr>
              <w:t>2、</w:t>
            </w:r>
            <w:r>
              <w:rPr>
                <w:rFonts w:hint="eastAsia" w:ascii="仿宋_GB2312" w:hAnsi="仿宋_GB2312" w:eastAsia="仿宋_GB2312" w:cs="仿宋_GB2312"/>
                <w:sz w:val="21"/>
                <w:szCs w:val="21"/>
                <w:lang w:eastAsia="zh-CN" w:bidi="ar-SA"/>
              </w:rPr>
              <w:t>《荷规》表</w:t>
            </w:r>
            <w:r>
              <w:rPr>
                <w:rFonts w:hint="eastAsia" w:ascii="仿宋_GB2312" w:hAnsi="仿宋_GB2312" w:eastAsia="仿宋_GB2312" w:cs="仿宋_GB2312"/>
                <w:sz w:val="21"/>
                <w:szCs w:val="21"/>
                <w:lang w:val="en-US" w:eastAsia="zh-CN" w:bidi="ar-SA"/>
              </w:rPr>
              <w:t>5.1.2仅适用于住宅楼层，地下室部分不应按此折减，计算层属于地下部分的折减系数应调整为1.0；</w:t>
            </w:r>
          </w:p>
          <w:p>
            <w:pPr>
              <w:snapToGrid w:val="0"/>
              <w:spacing w:line="240" w:lineRule="auto"/>
              <w:jc w:val="both"/>
              <w:rPr>
                <w:rFonts w:hint="eastAsia" w:ascii="仿宋_GB2312" w:hAnsi="仿宋_GB2312" w:eastAsia="仿宋_GB2312" w:cs="仿宋_GB2312"/>
                <w:sz w:val="21"/>
                <w:szCs w:val="21"/>
                <w:lang w:val="en-US" w:eastAsia="zh-CN" w:bidi="ar-SA"/>
              </w:rPr>
            </w:pPr>
            <w:r>
              <w:rPr>
                <w:rFonts w:hint="eastAsia" w:ascii="仿宋_GB2312" w:hAnsi="仿宋_GB2312" w:eastAsia="仿宋_GB2312" w:cs="仿宋_GB2312"/>
                <w:sz w:val="21"/>
                <w:szCs w:val="21"/>
                <w:lang w:val="en-US" w:eastAsia="zh-CN" w:bidi="ar-SA"/>
              </w:rPr>
              <w:t>3、电梯机房活荷载组合值系数、频遇值系数、准永久值系数不满足《荷规》表5.1.1条；</w:t>
            </w:r>
          </w:p>
          <w:p>
            <w:pPr>
              <w:snapToGrid w:val="0"/>
              <w:spacing w:line="240" w:lineRule="auto"/>
              <w:jc w:val="both"/>
              <w:rPr>
                <w:rFonts w:hint="eastAsia" w:ascii="仿宋_GB2312" w:hAnsi="仿宋_GB2312" w:eastAsia="仿宋_GB2312" w:cs="仿宋_GB2312"/>
                <w:sz w:val="21"/>
                <w:szCs w:val="21"/>
                <w:lang w:val="en-US" w:eastAsia="zh-CN" w:bidi="ar-SA"/>
              </w:rPr>
            </w:pPr>
            <w:r>
              <w:rPr>
                <w:rFonts w:hint="eastAsia" w:ascii="仿宋_GB2312" w:hAnsi="仿宋_GB2312" w:eastAsia="仿宋_GB2312" w:cs="仿宋_GB2312"/>
                <w:sz w:val="21"/>
                <w:szCs w:val="21"/>
                <w:lang w:val="en-US" w:eastAsia="zh-CN" w:bidi="ar-SA"/>
              </w:rPr>
              <w:t>4、地下室框架柱抗震等级未见注明；</w:t>
            </w:r>
          </w:p>
          <w:p>
            <w:pPr>
              <w:snapToGrid w:val="0"/>
              <w:spacing w:line="240" w:lineRule="auto"/>
              <w:jc w:val="both"/>
              <w:rPr>
                <w:rFonts w:hint="eastAsia" w:ascii="仿宋_GB2312" w:hAnsi="仿宋_GB2312" w:eastAsia="仿宋_GB2312" w:cs="仿宋_GB2312"/>
                <w:sz w:val="21"/>
                <w:szCs w:val="21"/>
                <w:lang w:val="en-US" w:eastAsia="zh-CN" w:bidi="ar-SA"/>
              </w:rPr>
            </w:pPr>
            <w:r>
              <w:rPr>
                <w:rFonts w:hint="eastAsia" w:ascii="仿宋_GB2312" w:hAnsi="仿宋_GB2312" w:eastAsia="仿宋_GB2312" w:cs="仿宋_GB2312"/>
                <w:sz w:val="21"/>
                <w:szCs w:val="21"/>
                <w:lang w:val="en-US" w:eastAsia="zh-CN" w:bidi="ar-SA"/>
              </w:rPr>
              <w:t>5、补充单桩承载力计算、荷载取值计算；</w:t>
            </w:r>
          </w:p>
          <w:p>
            <w:pPr>
              <w:snapToGrid w:val="0"/>
              <w:spacing w:line="240" w:lineRule="auto"/>
              <w:jc w:val="both"/>
              <w:rPr>
                <w:rFonts w:hint="eastAsia" w:ascii="仿宋_GB2312" w:hAnsi="仿宋_GB2312" w:eastAsia="仿宋_GB2312" w:cs="仿宋_GB2312"/>
                <w:sz w:val="21"/>
                <w:szCs w:val="21"/>
                <w:lang w:val="en-US" w:eastAsia="zh-CN" w:bidi="ar-SA"/>
              </w:rPr>
            </w:pPr>
            <w:r>
              <w:rPr>
                <w:rFonts w:hint="eastAsia" w:ascii="仿宋_GB2312" w:hAnsi="仿宋_GB2312" w:eastAsia="仿宋_GB2312" w:cs="仿宋_GB2312"/>
                <w:sz w:val="21"/>
                <w:szCs w:val="21"/>
                <w:lang w:val="en-US" w:eastAsia="zh-CN" w:bidi="ar-SA"/>
              </w:rPr>
              <w:t>6、抗浮设计水位应在图纸上注明；</w:t>
            </w:r>
          </w:p>
          <w:p>
            <w:pPr>
              <w:snapToGrid w:val="0"/>
              <w:spacing w:line="240" w:lineRule="auto"/>
              <w:jc w:val="both"/>
              <w:rPr>
                <w:rFonts w:hint="eastAsia" w:ascii="仿宋_GB2312" w:hAnsi="仿宋_GB2312" w:eastAsia="仿宋_GB2312" w:cs="仿宋_GB2312"/>
                <w:sz w:val="21"/>
                <w:szCs w:val="21"/>
                <w:lang w:val="en-US" w:eastAsia="zh-CN" w:bidi="ar-SA"/>
              </w:rPr>
            </w:pPr>
            <w:r>
              <w:rPr>
                <w:rFonts w:hint="eastAsia" w:ascii="仿宋_GB2312" w:hAnsi="仿宋_GB2312" w:eastAsia="仿宋_GB2312" w:cs="仿宋_GB2312"/>
                <w:sz w:val="21"/>
                <w:szCs w:val="21"/>
                <w:lang w:val="en-US" w:eastAsia="zh-CN" w:bidi="ar-SA"/>
              </w:rPr>
              <w:t>7、1号楼首层1-A轴、1-D轴框架梁未编号未配筋，三层梁仅标注截面，未见配筋；</w:t>
            </w:r>
          </w:p>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US" w:eastAsia="zh-CN" w:bidi="ar-SA"/>
              </w:rPr>
              <w:t>8、4号楼GS-S01第2.2条，安全等级及重要性系数有误。</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给排水</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vAlign w:val="center"/>
          </w:tcPr>
          <w:p>
            <w:pPr>
              <w:snapToGrid w:val="0"/>
              <w:spacing w:line="240" w:lineRule="auto"/>
              <w:jc w:val="both"/>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1、4号楼厨房排水应设除油措施，高区给水应设减压措施，详见GB50015-2019第4.9.1条，GB50555-2010第6.1.12.3条。</w:t>
            </w:r>
          </w:p>
          <w:p>
            <w:pPr>
              <w:snapToGrid w:val="0"/>
              <w:spacing w:line="240" w:lineRule="auto"/>
              <w:jc w:val="both"/>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val="en-US" w:eastAsia="zh-CN" w:bidi="ar-SA"/>
              </w:rPr>
              <w:t>2、4号楼淋浴热水设施应设防烫伤措施，详见GB50015-2019第6.3.9条。</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给排水设计质量检查要点</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vAlign w:val="center"/>
          </w:tcPr>
          <w:p>
            <w:pPr>
              <w:snapToGrid w:val="0"/>
              <w:spacing w:line="240" w:lineRule="auto"/>
              <w:jc w:val="both"/>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三层厨房、阳台单独排水应设通气管，应GB50015-2019第4.7.2条。</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电气</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符合要求。</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电气设计质量检查要点</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vAlign w:val="center"/>
          </w:tcPr>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1、潜污泵电机回路的前端开关4P，切断了PE线，违反GB50054-2011第3.1.4条。</w:t>
            </w:r>
          </w:p>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2、所有电梯控制箱（或配电回路）cosQ不应超过0.6，核查Ijs及断路器、导线规格。</w:t>
            </w:r>
          </w:p>
          <w:p>
            <w:pPr>
              <w:snapToGrid w:val="0"/>
              <w:spacing w:line="240" w:lineRule="auto"/>
              <w:jc w:val="left"/>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3、地下室各区应急照明电箱改由本区就近消防电箱引入电源，取消应急照明专用双切箱及其前级2个总电源箱；塔楼应急照明双切箱宜提前一级设置。</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暖通</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1、</w:t>
            </w:r>
            <w:r>
              <w:rPr>
                <w:rFonts w:hint="eastAsia" w:ascii="仿宋_GB2312" w:hAnsi="仿宋_GB2312" w:eastAsia="仿宋_GB2312" w:cs="仿宋_GB2312"/>
                <w:sz w:val="21"/>
                <w:szCs w:val="21"/>
                <w:lang w:bidi="ar-SA"/>
              </w:rPr>
              <w:t>幼儿园设计说明室内设计参数应符合《托儿所、幼儿园建筑设计规范》（JGJ39-2016）(2019年版)6.2.11条规定。</w:t>
            </w:r>
          </w:p>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2、应明确多联机的IPLV(C)，并复核是否满足《公共建筑节能设计标准》（GB50189-2015）4.2.17条的要求。</w:t>
            </w:r>
          </w:p>
          <w:p>
            <w:pPr>
              <w:snapToGrid w:val="0"/>
              <w:spacing w:line="240" w:lineRule="auto"/>
              <w:jc w:val="both"/>
              <w:rPr>
                <w:rFonts w:hint="eastAsia" w:ascii="仿宋_GB2312" w:hAnsi="仿宋_GB2312" w:eastAsia="仿宋_GB2312" w:cs="仿宋_GB2312"/>
                <w:sz w:val="21"/>
                <w:szCs w:val="21"/>
                <w:lang w:bidi="ar-SA"/>
              </w:rPr>
            </w:pP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325" w:type="dxa"/>
            <w:vAlign w:val="center"/>
          </w:tcPr>
          <w:p>
            <w:pPr>
              <w:snapToGrid w:val="0"/>
              <w:spacing w:line="240" w:lineRule="auto"/>
              <w:jc w:val="both"/>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1、缺空调负荷计算书， 参见《民用建筑供暖通风与空气调节设计规范》（GB50736-2012）7.2.1条的规定。</w:t>
            </w:r>
          </w:p>
          <w:p>
            <w:pPr>
              <w:snapToGrid w:val="0"/>
              <w:spacing w:line="240" w:lineRule="auto"/>
              <w:jc w:val="both"/>
              <w:rPr>
                <w:rFonts w:hint="eastAsia" w:ascii="仿宋_GB2312" w:hAnsi="仿宋_GB2312" w:eastAsia="仿宋_GB2312" w:cs="仿宋_GB2312"/>
                <w:sz w:val="21"/>
                <w:szCs w:val="21"/>
                <w:lang w:bidi="ar-SA"/>
              </w:rPr>
            </w:pPr>
          </w:p>
          <w:p>
            <w:pPr>
              <w:snapToGrid w:val="0"/>
              <w:spacing w:line="240" w:lineRule="auto"/>
              <w:jc w:val="both"/>
              <w:rPr>
                <w:rFonts w:hint="eastAsia" w:ascii="仿宋_GB2312" w:hAnsi="仿宋_GB2312" w:eastAsia="仿宋_GB2312" w:cs="仿宋_GB2312"/>
                <w:sz w:val="21"/>
                <w:szCs w:val="21"/>
                <w:lang w:bidi="ar-SA"/>
              </w:rPr>
            </w:pP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消防</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vAlign w:val="top"/>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1、</w:t>
            </w:r>
            <w:r>
              <w:rPr>
                <w:rFonts w:hint="eastAsia" w:ascii="仿宋_GB2312" w:hAnsi="仿宋_GB2312" w:eastAsia="仿宋_GB2312" w:cs="仿宋_GB2312"/>
                <w:sz w:val="21"/>
                <w:szCs w:val="21"/>
                <w:lang w:bidi="ar-SA"/>
              </w:rPr>
              <w:t>消防水池取水口距消防车道不宜大于2米，详GB50016-2014-2018年版第7.1.7条。</w:t>
            </w:r>
          </w:p>
        </w:tc>
        <w:tc>
          <w:tcPr>
            <w:tcW w:w="142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消防设计质量检查要点</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建筑类别和耐火等级：建筑类别，建筑耐火等级，建筑构件的耐火极限和燃烧性能；总平面</w:t>
            </w:r>
            <w:r>
              <w:rPr>
                <w:rFonts w:hint="eastAsia" w:ascii="仿宋_GB2312" w:hAnsi="仿宋_GB2312" w:cs="仿宋_GB2312"/>
                <w:color w:val="auto"/>
                <w:sz w:val="21"/>
                <w:szCs w:val="21"/>
                <w:lang w:eastAsia="zh-CN" w:bidi="ar-SA"/>
              </w:rPr>
              <w:t>布</w:t>
            </w:r>
            <w:r>
              <w:rPr>
                <w:rFonts w:hint="eastAsia" w:ascii="仿宋_GB2312" w:hAnsi="仿宋_GB2312" w:eastAsia="仿宋_GB2312" w:cs="仿宋_GB2312"/>
                <w:color w:val="auto"/>
                <w:sz w:val="21"/>
                <w:szCs w:val="21"/>
                <w:lang w:bidi="ar-SA"/>
              </w:rPr>
              <w:t>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vAlign w:val="top"/>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1、4号楼喷淋系统水泵接合器与门窗净距不应小于2米，详见GB50974-2014第5.4.8条。</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 xml:space="preserve">2、2#、6#平面：首层楼梯间与地下室楼梯间在外墙上的窗口最近边缘水平距离不应小于1米。（建规6.4.1.1）  </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 xml:space="preserve">3、4#平面：根据消防法第七十三条，幼儿园属于人员密集场所，本项目的楼梯间梯段净宽不应小于1.4米。（民用建筑设计统一标准GB50352-2019，6.8.3） </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4、7#平面：首层文化活动服务中心的二层最远点经楼梯间，楼梯段按水平投影1.5倍计算长度再至首层安全出口不能超过22米，请补充标注疏散距离。（建规5.4.11）LT1应补充标注钢梯的防火措施及耐火极限。</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5、地下室：地下室不属于住宅功能，水井、电井的门不应直接开向合用前室。（建规6.4.3.5）每个防火分隔单元停放总车辆不应超过20辆。（《电动汽车充电基础设施建设技术规程》DBJ/T15-150-2018，4.9.4.1）</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6、请与建筑专业复核幼儿园的走廊是否属于室外空间？如果不是，应进行排烟设计，参见《建筑设计防火规范》(GB50016-2014)（2018年版）8.5.3.5条的要求。</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人防</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vAlign w:val="top"/>
          </w:tcPr>
          <w:p>
            <w:pPr>
              <w:snapToGrid w:val="0"/>
              <w:spacing w:line="240" w:lineRule="auto"/>
              <w:jc w:val="left"/>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kern w:val="2"/>
                <w:sz w:val="21"/>
                <w:szCs w:val="21"/>
                <w:lang w:val="en-US" w:eastAsia="zh-CN" w:bidi="ar-SA"/>
              </w:rPr>
              <w:t>1、</w:t>
            </w:r>
            <w:r>
              <w:rPr>
                <w:rFonts w:hint="eastAsia" w:ascii="仿宋_GB2312" w:hAnsi="仿宋_GB2312" w:eastAsia="仿宋_GB2312" w:cs="仿宋_GB2312"/>
                <w:kern w:val="2"/>
                <w:sz w:val="21"/>
                <w:szCs w:val="21"/>
                <w:lang w:val="en-US" w:eastAsia="zh-CN" w:bidi="ar-SA"/>
              </w:rPr>
              <w:t>口部洗消龙头应设真空破坏器，详见应GB50015-2019第3.3.10.4条。</w:t>
            </w:r>
          </w:p>
          <w:p>
            <w:pPr>
              <w:snapToGrid w:val="0"/>
              <w:spacing w:line="240" w:lineRule="auto"/>
              <w:jc w:val="left"/>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kern w:val="2"/>
                <w:sz w:val="21"/>
                <w:szCs w:val="21"/>
                <w:lang w:val="en-US" w:eastAsia="zh-CN" w:bidi="ar-SA"/>
              </w:rPr>
              <w:t>2、</w:t>
            </w:r>
            <w:r>
              <w:rPr>
                <w:rFonts w:hint="eastAsia" w:ascii="仿宋_GB2312" w:hAnsi="仿宋_GB2312" w:eastAsia="仿宋_GB2312" w:cs="仿宋_GB2312"/>
                <w:kern w:val="2"/>
                <w:sz w:val="21"/>
                <w:szCs w:val="21"/>
                <w:lang w:val="en-US" w:eastAsia="zh-CN" w:bidi="ar-SA"/>
              </w:rPr>
              <w:t>没有提供人防要点、人防初步设计的批复文件。</w:t>
            </w:r>
          </w:p>
        </w:tc>
        <w:tc>
          <w:tcPr>
            <w:tcW w:w="142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人防地下室设计质量检查要点</w:t>
            </w:r>
          </w:p>
        </w:tc>
        <w:tc>
          <w:tcPr>
            <w:tcW w:w="545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eastAsia="仿宋_GB2312" w:cs="仿宋_GB2312"/>
                <w:color w:val="auto"/>
                <w:sz w:val="21"/>
                <w:szCs w:val="21"/>
                <w:lang w:val="en-GB" w:bidi="ar-SA"/>
              </w:rPr>
              <w:t>。</w:t>
            </w:r>
          </w:p>
        </w:tc>
        <w:tc>
          <w:tcPr>
            <w:tcW w:w="6325" w:type="dxa"/>
            <w:vAlign w:val="center"/>
          </w:tcPr>
          <w:p>
            <w:pPr>
              <w:snapToGrid w:val="0"/>
              <w:spacing w:line="240" w:lineRule="auto"/>
              <w:jc w:val="both"/>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auto"/>
                <w:sz w:val="21"/>
                <w:szCs w:val="21"/>
                <w:lang w:bidi="ar-SA"/>
              </w:rPr>
              <w:t>满足规范要求</w:t>
            </w:r>
            <w:r>
              <w:rPr>
                <w:rFonts w:hint="eastAsia" w:ascii="仿宋_GB2312" w:hAnsi="仿宋_GB2312" w:cs="仿宋_GB2312"/>
                <w:color w:val="auto"/>
                <w:sz w:val="21"/>
                <w:szCs w:val="21"/>
                <w:lang w:eastAsia="zh-CN" w:bidi="ar-SA"/>
              </w:rPr>
              <w:t>。</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eastAsia="zh-CN" w:bidi="ar-SA"/>
              </w:rPr>
              <w:t>是否执行</w:t>
            </w:r>
            <w:r>
              <w:rPr>
                <w:rFonts w:hint="eastAsia" w:ascii="仿宋_GB2312" w:hAnsi="仿宋_GB2312" w:eastAsia="仿宋_GB2312" w:cs="仿宋_GB2312"/>
                <w:color w:val="auto"/>
                <w:sz w:val="21"/>
                <w:szCs w:val="21"/>
                <w:lang w:bidi="ar-SA"/>
              </w:rPr>
              <w:t>无障碍环境建设、配套幼儿园建设、配套通信设施、充电场所等标准规定。</w:t>
            </w:r>
          </w:p>
        </w:tc>
        <w:tc>
          <w:tcPr>
            <w:tcW w:w="6325" w:type="dxa"/>
            <w:vAlign w:val="center"/>
          </w:tcPr>
          <w:p>
            <w:pPr>
              <w:snapToGrid w:val="0"/>
              <w:spacing w:line="240" w:lineRule="auto"/>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缺无障碍户型设计。</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其他</w:t>
            </w:r>
            <w:r>
              <w:rPr>
                <w:rFonts w:hint="eastAsia" w:ascii="仿宋_GB2312" w:hAnsi="仿宋_GB2312" w:eastAsia="仿宋_GB2312" w:cs="仿宋_GB2312"/>
                <w:sz w:val="21"/>
                <w:szCs w:val="21"/>
                <w:lang w:eastAsia="zh-CN" w:bidi="ar-SA"/>
              </w:rPr>
              <w:t>工程设计</w:t>
            </w:r>
            <w:r>
              <w:rPr>
                <w:rFonts w:hint="eastAsia" w:ascii="仿宋_GB2312" w:hAnsi="仿宋_GB2312" w:eastAsia="仿宋_GB2312" w:cs="仿宋_GB2312"/>
                <w:sz w:val="21"/>
                <w:szCs w:val="21"/>
                <w:lang w:bidi="ar-SA"/>
              </w:rPr>
              <w:t>质量相关内容</w:t>
            </w:r>
          </w:p>
        </w:tc>
        <w:tc>
          <w:tcPr>
            <w:tcW w:w="6325" w:type="dxa"/>
            <w:vAlign w:val="center"/>
          </w:tcPr>
          <w:p>
            <w:pPr>
              <w:snapToGrid w:val="0"/>
              <w:spacing w:line="240" w:lineRule="auto"/>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eastAsia="zh-CN" w:bidi="ar-SA"/>
              </w:rPr>
              <w:t>无</w:t>
            </w:r>
            <w:r>
              <w:rPr>
                <w:rFonts w:hint="eastAsia" w:ascii="仿宋_GB2312" w:hAnsi="仿宋_GB2312" w:eastAsia="仿宋_GB2312" w:cs="仿宋_GB2312"/>
                <w:sz w:val="21"/>
                <w:szCs w:val="21"/>
                <w:lang w:val="en-US" w:eastAsia="zh-CN" w:bidi="ar-SA"/>
              </w:rPr>
              <w:t>其他意见。</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p>
        </w:tc>
      </w:tr>
    </w:tbl>
    <w:p>
      <w:pPr>
        <w:rPr>
          <w:rFonts w:hint="default"/>
          <w:lang w:val="en-US" w:eastAsia="zh-CN"/>
        </w:rPr>
      </w:pPr>
    </w:p>
    <w:p/>
    <w:sectPr>
      <w:headerReference r:id="rId5" w:type="default"/>
      <w:footerReference r:id="rId6" w:type="default"/>
      <w:pgSz w:w="16838" w:h="11906" w:orient="landscape"/>
      <w:pgMar w:top="1587" w:right="1644" w:bottom="1474" w:left="1417" w:header="851" w:footer="992" w:gutter="0"/>
      <w:pgNumType w:fmt="numberInDash" w:start="7"/>
      <w:cols w:space="0" w:num="1"/>
      <w:rtlGutter w:val="0"/>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lang w:val="en-US" w:eastAsia="zh-CN"/>
      </w:rPr>
    </w:pPr>
    <w:r>
      <w:rPr>
        <w:rFonts w:ascii="Times New Roman" w:hAnsi="Times New Roman" w:eastAsia="宋体" w:cs="Times New Roman"/>
        <w:kern w:val="2"/>
        <w:sz w:val="18"/>
        <w:lang w:val="en-US" w:eastAsia="zh-CN"/>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eastAsia="仿宋_GB2312"/>
        <w:lang w:val="en-US" w:eastAsia="zh-CN"/>
      </w:rPr>
    </w:pPr>
    <w:r>
      <w:rPr>
        <w:rFonts w:hint="eastAsia"/>
        <w:lang w:val="en-US" w:eastAsia="zh-CN"/>
      </w:rPr>
      <w:t>04号抽查项目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zBkNGQzYjA2ZWY4MTU1YmNjMzRlYjgyM2M1MmEifQ=="/>
  </w:docVars>
  <w:rsids>
    <w:rsidRoot w:val="27FEE89E"/>
    <w:rsid w:val="06BF28EB"/>
    <w:rsid w:val="0D2857E3"/>
    <w:rsid w:val="1F5A44EE"/>
    <w:rsid w:val="27FEE89E"/>
    <w:rsid w:val="3F7E5EEC"/>
    <w:rsid w:val="4069511F"/>
    <w:rsid w:val="4FE74643"/>
    <w:rsid w:val="55BFBC0F"/>
    <w:rsid w:val="5A4A03DD"/>
    <w:rsid w:val="5C842A14"/>
    <w:rsid w:val="603A66B5"/>
    <w:rsid w:val="698F3980"/>
    <w:rsid w:val="7B9C1E81"/>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5675</Words>
  <Characters>6267</Characters>
  <Lines>0</Lines>
  <Paragraphs>0</Paragraphs>
  <TotalTime>10</TotalTime>
  <ScaleCrop>false</ScaleCrop>
  <LinksUpToDate>false</LinksUpToDate>
  <CharactersWithSpaces>6353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2022-12-19T11:14:41Z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4950291546C4489EBE46334B30718181</vt:lpwstr>
  </property>
</Properties>
</file>