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0"/>
          <w:szCs w:val="40"/>
        </w:rPr>
      </w:pPr>
      <w:bookmarkStart w:id="0" w:name="_GoBack"/>
      <w:bookmarkEnd w:id="0"/>
      <w:r>
        <w:rPr>
          <w:rFonts w:hint="eastAsia" w:ascii="方正小标宋简体" w:hAnsi="方正小标宋简体" w:eastAsia="方正小标宋简体" w:cs="方正小标宋简体"/>
          <w:sz w:val="40"/>
          <w:szCs w:val="40"/>
        </w:rPr>
        <w:t>国务院办公厅关于印发加强信用信息共享应用</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促进中小微企业融资实施方案的通知</w:t>
      </w:r>
    </w:p>
    <w:p>
      <w:pPr>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国办发〔2021〕52号</w:t>
      </w: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《加强信用信息共享应用促进中小微企业融资实施方案》已经国务院同意，现印发给你们，请认真组织实施。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各地区、各部门要认真贯彻落实党中央、国务院关于加强社会信用体系建设、促进中小微企业融资的决策部署，围绕保市场主体、应对新的经济下行压力，加快信用信息共享步伐，深化数据开发利用，创新优化融资模式，加强信息安全和市场主体权益保护，助力银行等金融机构提升服务中小微企业能力，不断提高中小微企业贷款可得性，有效降低融资成本，切实防范化解风险，支持中小微企业纾困发展，保持经济平稳运行，为构建新发展格局、推动高质量发展提供有力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国务院办公厅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2021年12月22日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（此件公开发布）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加强信用信息共享应用</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促进中小微企业融资实施方案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（一）指导思</w:t>
      </w:r>
      <w:r>
        <w:rPr>
          <w:rFonts w:hint="eastAsia" w:ascii="方正仿宋简体" w:hAnsi="方正仿宋简体" w:eastAsia="方正仿宋简体" w:cs="方正仿宋简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（二）基本原则。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需求导向，充分共享。以支持银行等金融机构提升服务中小微企业能力为出发点，充分发挥各类信用信息平台作用，多种方式归集共享各类涉企信用信息，破解银企信息不对称难题。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创新应用，防控风险。充分运用大数据等技术，完善信用评价体系，创新金融产品和服务，加大信贷资源向中小微企业倾斜力度。建立健全风险识别、监测、分担、处置等机制，提升风险防范能力。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多方参与，协同联动。健全信用信息共享协调机制，发挥政府在组织协调、信息整合等方面的作用，加快构建政府与银行、保险、担保、信用服务等机构协同联动的工作格局，形成工作合力。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依法依规，保护权益。强化信息分级分类管理，规范信息使用权限和程序，加强信息安全保护，防止信息泄露和非法使用。依法查处侵权行为，保护商业秘密和个人隐私，维护市场主体合法权益。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二、加强信用信息共享整合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健全信息共享网络。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国家发展改革委、人民银行、银保监会牵头，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扩大信息共享范围。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信用承诺”等方式补充完善自身信息，畅通信息共享渠道。（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优化信息共享方式。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优化信用信息服务。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国家发展改革委、工业和信息化部、人民银行、银保监会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三、深化信用信息开发利用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完善信用评价体系。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国家发展改革委、工业和信息化部、人民银行、银保监会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强化风险监测处置。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国家发展改革委、最高人民法院、司法部、人民银行、银保监会等有关部门和单位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黑体简体" w:hAnsi="方正黑体简体" w:eastAsia="方正黑体简体" w:cs="方正黑体简体"/>
          <w:sz w:val="32"/>
          <w:szCs w:val="32"/>
        </w:rPr>
        <w:t>四、保障信息主体合法权益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规范信息管理使用。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加强信息安全保障。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五、保障措施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加强组织协调。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强化政策支持。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财政部、银保监会及各地区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做好宣传引导。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国家发展改革委、工业和信息化部、人民银行、银保监会牵头，各地区各有关部门和单位按职责分工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附件：信用信息共享清单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739775</wp:posOffset>
            </wp:positionH>
            <wp:positionV relativeFrom="paragraph">
              <wp:posOffset>103505</wp:posOffset>
            </wp:positionV>
            <wp:extent cx="4606290" cy="8241665"/>
            <wp:effectExtent l="0" t="0" r="3810" b="6985"/>
            <wp:wrapNone/>
            <wp:docPr id="1" name="图片 1" descr="12附件：信用信息共享清单"/>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2附件：信用信息共享清单"/>
                    <pic:cNvPicPr>
                      <a:picLocks noChangeAspect="true"/>
                    </pic:cNvPicPr>
                  </pic:nvPicPr>
                  <pic:blipFill>
                    <a:blip r:embed="rId5"/>
                    <a:stretch>
                      <a:fillRect/>
                    </a:stretch>
                  </pic:blipFill>
                  <pic:spPr>
                    <a:xfrm>
                      <a:off x="0" y="0"/>
                      <a:ext cx="4606290" cy="82416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注：1.“中小微企业”是指按照工业和信息化部等有关部门制定的中小企业划型标准确定的中型、小型、微型企业。个体工商户、农民专业合作社、农村集体经济组织的相关信用信息共享工作参照本实施方案执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　2.“物理归集”共享方式是指数据提供单位将相关信息传输至平台，由平台进行存储；“接口调用”共享方式是指数据提供单位向平台开放数据接口，由平台根据企业授权调用信息；“数据核验”共享方式是指平台向数据提供单位发送需要核验的信息，由数据提供单位反馈核验结果。</w:t>
      </w: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3.“经企业授权”是指在充分告知企业相关风险的前提下，通过企业书面授权或企业实名注册后线上授权等方式进行授权。</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MmFkZDA2NDVhNmZiZWI4MjQyOWRlOWE1YjdmZWUifQ=="/>
  </w:docVars>
  <w:rsids>
    <w:rsidRoot w:val="6DA60451"/>
    <w:rsid w:val="564C4428"/>
    <w:rsid w:val="6DA60451"/>
    <w:rsid w:val="7E5FC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2022-07-01T15:31:00Z</dcterms:created>
  <dc:creator>贺彬来了</dc:creator>
  <cp:lastModifiedBy>kylin</cp:lastModifiedBy>
  <dcterms:modified xsi:type="dcterms:W3CDTF">2022-12-12T16:34:07Z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60BD8802BB0440FFAB2CC8BBF0FFC79F</vt:lpwstr>
  </property>
</Properties>
</file>