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bookmarkStart w:id="0" w:name="_GoBack"/>
      <w:bookmarkEnd w:id="0"/>
      <w:r>
        <w:rPr>
          <w:rFonts w:hint="eastAsia" w:ascii="方正小标宋简体" w:hAnsi="方正小标宋简体" w:eastAsia="方正小标宋简体" w:cs="方正小标宋简体"/>
          <w:sz w:val="40"/>
          <w:szCs w:val="40"/>
        </w:rPr>
        <w:t>国务院办公厅关于进一步完善失信约束制度</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构建诚信建设长效机制的指导意见</w:t>
      </w:r>
    </w:p>
    <w:p>
      <w:pPr>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国办发〔2020〕49号</w:t>
      </w:r>
    </w:p>
    <w:p>
      <w:pPr>
        <w:rPr>
          <w:rFonts w:hint="eastAsia"/>
        </w:rPr>
      </w:pPr>
    </w:p>
    <w:p>
      <w:pPr>
        <w:rPr>
          <w:rFonts w:hint="eastAsia"/>
        </w:rPr>
      </w:pPr>
    </w:p>
    <w:p>
      <w:pPr>
        <w:rPr>
          <w:rFonts w:hint="eastAsia"/>
        </w:rPr>
      </w:pP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各省、自治区、直辖市人民政府，国务院各部委、各直属机构：</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为深入贯彻落实党中央、国务院关于推进诚信建设的要求，认真落实《优化营商环境条例》等相关规定，进一步明确信用信息范围，依法依规实施失信惩戒，完善失信主体信用修复机制，提高社会信用体系建设法治化、规范化水平，经国务院同意，现提出如下意见。</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黑体简体" w:hAnsi="方正黑体简体" w:eastAsia="方正黑体简体" w:cs="方正黑体简体"/>
          <w:sz w:val="32"/>
          <w:szCs w:val="32"/>
        </w:rPr>
        <w:t xml:space="preserve">   一、总体要求</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以习近平新时代中国特色社会主义思想为指导，全面贯彻落实党的十九大和十九届二中、三中、四中、五中全会精神，坚持稳中求进工作总基调，坚持遵循法治轨道，着力构建诚信建设长效机制，按照依法依规、保护权益、审慎适度、清单管理的总体思路，进一步规范和健全失信行为认定、记录、归集、共享、公开、惩戒和信用修复等机制，推动社会信用体系迈入高质量发展的新阶段，更好发挥社会信用体系在支撑“放管服”改革和政府职能转变、营造公平诚信的市场环境和社会环境等方面的积极作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在社会信用体系建设工作推进和实践探索中，要把握好以下重要原则：一是严格依法依规，失信行为记录、严重失信主体名单认定和失信惩戒等事关个人、企业等各类主体切身利益，必须严格在法治轨道内运行。二是准确界定范围，准确界定信用信息和严重失信主体名单认定范围，合理把握失信惩戒措施，坚决防止不当使用甚至滥用。三是确保过惩相当，按照失信行为发生的领域、情节轻重、影响程度等，严格依法分别实施不同类型、不同力度的惩戒措施，切实保护信用主体合法权益。四是借鉴国际经验，既立足我国国情，又充分参考国际惯例，在社会关注度高、认识尚不统一的领域慎重推进信用体系建设，推动相关措施与国际接轨。</w:t>
      </w:r>
    </w:p>
    <w:p>
      <w:pP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xml:space="preserve">    二、科学界定公共信用信息纳入范围和程序</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一）明确界定公共信用信息范围。将行政机关及法律、法规授权的具有管理公共事务职能的组织等（以下统称行政机关）掌握的特定行为信息纳入公共信用信息，必须严格以法律、法规或者党中央、国务院政策文件为依据，并实行目录制管理。社会信用体系建设部际联席会议（以下简称部际联席会议）牵头单位会同有关部门依法依规编制并定期更新全国公共信用信息基础目录，部际联席会议成员单位和其他有关部门可依法依规提出拟纳入目录信息的建议，部际联席会议牵头单位梳理汇总目录，征求各地区、各有关部门和相关市场主体、行业协会商会、法律服务机构、专家学者和社会公众意见，提请部际联席会议审定后向社会公布并组织实施。各地可依据地方性法规，参照全国公共信用信息基础目录的制定程序，制定适用于本地的公共信用信息补充目录。</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二）严格规范失信行为认定依据。行政机关认定失信行为必须以具有法律效力的文书为依据。可认定失信行为的依据包括：生效的司法裁判文书和仲裁文书、行政处罚和行政裁决等行政行为决定文书，以及法律、法规或者党中央、国务院政策文件规定可作为失信行为认定依据的其他文书。行政机关认定失信行为后应当如实记录失信信息。</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黑体简体" w:hAnsi="方正黑体简体" w:eastAsia="方正黑体简体" w:cs="方正黑体简体"/>
          <w:sz w:val="32"/>
          <w:szCs w:val="32"/>
        </w:rPr>
        <w:t xml:space="preserve">  三、规范公共信用信息共享公开范围和程序</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三）规范公共信用信息共享范围和程序。公共信用信息是否可共享及在何种范围内共享，应当根据合法、必要原则确定，并在编制公共信用信息目录时一并明确。完善信息共享机制，推动全国信用信息共享平台与国家企业信用信息公示系统以及相关部门信用信息系统实现互联互通、数据共享，对于可共享数据要明确采集部门，做到“一口采集、充分共享”。</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四）依法依规确定公共信用信息公开范围。公共信用信息是否可公开应当根据合法、必要原则确定，并在编制公共信用信息目录时一并明确。公共信用信息公开不得侵犯商业秘密和个人隐私，法律、法规另有规定的从其规定。公开个人相关信息的，必须有明确的法律、法规或者国务院决定、命令作为依据或经本人同意，并进行必要脱敏处理。</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五）加强对公共信用信息公开渠道的统筹管理。公共信用信息的认定部门应当按照政府信息公开或其他有关规定，在本部门门户网站、本级政府门户网站或其他指定的网站公开相关信息。“信用中国”网站、国家企业信用信息公示系统要按照有关规定，将所归集的应当公开的公共信用信息进行统一公开，并与公共信用信息认定部门公开的内容、期限保持一致。</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黑体简体" w:hAnsi="方正黑体简体" w:eastAsia="方正黑体简体" w:cs="方正黑体简体"/>
          <w:sz w:val="32"/>
          <w:szCs w:val="32"/>
        </w:rPr>
        <w:t xml:space="preserve">  四、规范严重失信主体名单认定标准和程序</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六）严格限定严重失信主体名单设列领域范围。设列严重失信主体名单的领域，必须以法律、法规或者党中央、国务院政策文件为依据，任何部门（单位）不得擅自增加或扩展。设列严重失信主体名单的范围，严格按照《国务院关于建立完善守信联合激励和失信联合惩戒制度加快推进社会诚信建设的指导意见》（国发〔2016〕33号）规定，限制为严重危害人民群众身体健康和生命安全、严重破坏市场公平竞争秩序和社会正常秩序、拒不履行法定义务严重影响司法机关和行政机关公信力、拒不履行国防义务等严重违法失信行为的责任主体。</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七）严格规范严重失信主体名单认定标准。在全国范围内实施的严重失信主体名单制度，其名单认定标准应当以法律、行政法规或者党中央、国务院政策文件形式确定，暂不具备条件的可由该领域主管（监管）部门以部门规章形式确定，认定标准应当充分征求部际联席会议牵头单位及其他有关部门、相关市场主体、行业协会商会、法律服务机构、专家学者和社会公众意见，公开征求意见期限不少于30日。认定标准应当通过“信用中国”网站及该领域主管（监管）部门指定的网站公开。认定标准应当一并明确名单移出条件、程序以及救济措施。认定标准制定部门应当定期组织对标准执行效果进行第三方评估并及时修订。仅在地方范围内实施的严重失信主体名单制度，其名单认定标准应当由地方性法规规定。</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八）严格履行严重失信主体名单认定程序。行政机关在作出认定严重失信主体名单决定前，应当告知当事人作出决定的事由、依据和当事人依法享有的权利；当事人提出异议的，应当予以核实并在规定时限内反馈结果。将市场主体列入严重失信主体名单，应当由认定部门依托相应的行政决定文书，载明事由、依据、失信惩戒措施提示、移出条件和程序以及救济措施等，必要时也可由认定部门单独制作认定严重失信主体名单的决定文书。严重失信主体名单原则上应当由县级以上（含县级）人民政府有关部门按照相关标准认定，法律、法规和部门规章另有规定的从其规定。</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黑体简体" w:hAnsi="方正黑体简体" w:eastAsia="方正黑体简体" w:cs="方正黑体简体"/>
          <w:sz w:val="32"/>
          <w:szCs w:val="32"/>
        </w:rPr>
        <w:t xml:space="preserve">   五、依法依规开展失信惩戒</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九）依法依规确定失信惩戒措施。对失信主体采取减损权益或增加义务的惩戒措施，必须基于具体的失信行为事实，直接援引法律、法规或者党中央、国务院政策文件为依据，并实行清单制管理。部际联席会议牵头单位会同有关部门依法依规编制并定期更新全国失信惩戒措施基础清单，部际联席会议成员单位和其他有关部门可依法依规提出拟纳入清单失信惩戒措施的建议，部际联席会议牵头单位梳理汇总清单，征求各地区、各有关部门和相关市场主体、行业协会商会、法律服务机构、专家学者和社会公众意见，提请部际联席会议审定后向社会公布并组织实施。各地可依据地方性法规，参照全国失信惩戒措施基础清单的制定程序，制定适用于本地的失信惩戒措施补充清单。任何部门（单位）不得强制要求金融机构、信用服务机构、行业协会商会、新闻媒体等惩戒失信主体。</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十）确保过惩相当。按照合法、关联、比例原则，依照失信惩戒措施清单，根据失信行为的性质和严重程度，采取轻重适度的惩戒措施，防止小过重惩。任何部门（单位）不得以现行规定对失信行为惩戒力度不足为由，在法律、法规或者党中央、国务院政策文件规定外增设惩戒措施或在法定惩戒标准上加重惩戒。</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黑体简体" w:hAnsi="方正黑体简体" w:eastAsia="方正黑体简体" w:cs="方正黑体简体"/>
          <w:sz w:val="32"/>
          <w:szCs w:val="32"/>
        </w:rPr>
        <w:t xml:space="preserve"> 六、健全和完善信用修复机制</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十一）建立健全信用修复配套机制。相关行业主管（监管）部门应当建立有利于自我纠错、主动自新的信用修复机制。除法律、法规和党中央、国务院政策文件明确规定不可修复的失信信息外，失信主体按要求纠正失信行为、消除不良影响的，均可申请信用修复。相关部门（单位）应当制定信用修复的具体规定，明确修复方式和程序。符合修复条件的，要按照有关规定及时将其移出严重失信主体名单，终止共享公开相关失信信息，或者对相关失信信息进行标注、屏蔽或删除。</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十二）提高信用修复效率。加强信用修复信息共享，加快建立完善协同联动、“一网通办”机制，切实解决“信用修复难”问题。相关行业主管（监管）部门以及全国信用信息共享平台、“信用中国”网站应当明确专门人员负责信用修复工作，在规定时限内办结符合条件的信用修复申请，不得以任何形式向申请信用修复的主体收取费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黑体简体" w:hAnsi="方正黑体简体" w:eastAsia="方正黑体简体" w:cs="方正黑体简体"/>
          <w:sz w:val="32"/>
          <w:szCs w:val="32"/>
        </w:rPr>
        <w:t>七、加强信息安全和隐私保护</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十三）加强信用信息安全管理。各级公共信用信息系统要按照保护市场主体权益的要求，明确信息查询使用权限和程序，建立完善信息查询使用登记和审查制度，防止信息泄露，对故意或因工作失误泄露信息的，要依法依规严格追究相关单位和人员责任。严肃查处泄露、篡改、毁损、窃取信用信息或利用信用信息谋私等行为，严厉打击借社会信用体系建设名义非法收集、买卖信用信息的违法行为。</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十四）加大个人隐私保护力度。各地区、各有关部门应当遵循合法、正当、必要、最小化原则，严格按照公共信用信息目录收集使用个人信用信息，明示收集使用信息的目的、方式和范围并经本人同意，法律、法规另有规定的从其规定。禁止任何单位和个人未经授权、强制授权或一次授权终身收集使用个人信用信息。加大对非法获取、传播、利用以及泄露、篡改、毁损、窃取、出售个人信息等行为的查处力度。相关部门要对金融机构、征信机构、互联网企业、大数据企业、移动应用程序运营企业实施重点监管，严格规范其收集、存储、使用、加工、传输、提供和公开个人信息等行为。</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黑体简体" w:hAnsi="方正黑体简体" w:eastAsia="方正黑体简体" w:cs="方正黑体简体"/>
          <w:sz w:val="32"/>
          <w:szCs w:val="32"/>
        </w:rPr>
        <w:t xml:space="preserve">    八、着力加强信用法治建设</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十五）加快推动信用法律法规建设。坚持遵循法治轨道，加快研究推进社会信用方面法律法规的立法进程，理顺失信惩戒与行政管理措施的关系，夯实法治基础。现行法律、法规对失信行为惩戒力度不足、确有必要加大惩戒力度的，各地区、各有关部门应当及时提出修法建议，确保失信惩戒严格依法依规开展。</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十六）严格依法依规推动社会信用体系建设。依法依规严格规范信用信息采集、共享、公开范围，严格规范严重失信主体名单认定、失信惩戒和信用修复工作，确保社会信用体系建设各项工作在法治轨道运行。对未成年人失信行为、受自然灾害或疫情等不可抗力影响导致的失信行为以及非主观故意、轻微失信行为，应宽容审慎进行认定、记录和惩戒。坚决查处和打击各类侵权行为，依法依规保护信用信息安全、商业秘密和个人隐私，依法依规保护各类信用主体合法权益。</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黑体简体" w:hAnsi="方正黑体简体" w:eastAsia="方正黑体简体" w:cs="方正黑体简体"/>
          <w:sz w:val="32"/>
          <w:szCs w:val="32"/>
        </w:rPr>
        <w:t xml:space="preserve">  九、加强组织实施保障</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落实主体责任。各行业主管（监管）部门要切实履行本行业信用监管主体责任，依法依规做好失信行为认定、记录、归集、共享、公开、惩戒和信用修复等工作，部际联席会议牵头单位要协调司法机关以及其他已获明确授权的责任单位做好相关工作。地方各级社会信用体系建设牵头单位要切实履行统筹协调职责，对本区域内社会信用体系建设工作加强规范指导。</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强化追责问责。对在公共信用信息目录外违法违规记录、共享、公开信用信息，在失信惩戒措施清单外违法违规实施惩戒措施，以及不按标准和程序擅自认定严重失信主体名单、不按规定及时办理信用修复等行为，要依法依规追究相关单位和人员责任。</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加强宣传解读。鼓励各类媒体积极开展诚信宣传教育，深入报道诚实守信的先进典型，对失信行为和事件开展建设性舆论监督，倡导诚实守信。充分发挥有关部门、行业协会商会、专家学者、新闻媒体等作用，及时阐释和解读信用政策，积极回应各界关切，强化正面引导，营造良好舆论环境。</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把握时间节点。各地区、各有关部门要按照本意见要求，对已经出台的失信行为认定、记录、归集、共享、公开、惩戒和信用修复等措施进行梳理评估，对不符合本意见要求的要及时规范。对有明确依据可继续保留的严重失信主体名单制度设置过渡期，在2021年底前按本意见要求对需要调整的名单认定标准和程序进行更新，过渡期后与本意见要求不符的一律废止。</w:t>
      </w:r>
    </w:p>
    <w:p>
      <w:pPr>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国务院办公厅</w:t>
      </w:r>
    </w:p>
    <w:p>
      <w:pPr>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2020年12月7日</w:t>
      </w: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（此件公开发布）</w:t>
      </w:r>
    </w:p>
    <w:p>
      <w:pPr>
        <w:rPr>
          <w:rFonts w:hint="eastAsia"/>
        </w:rPr>
      </w:pPr>
    </w:p>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楷体简体">
    <w:altName w:val="方正楷体_GBK"/>
    <w:panose1 w:val="02010601030101010101"/>
    <w:charset w:val="86"/>
    <w:family w:val="auto"/>
    <w:pitch w:val="default"/>
    <w:sig w:usb0="00000000" w:usb1="00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MmFkZDA2NDVhNmZiZWI4MjQyOWRlOWE1YjdmZWUifQ=="/>
  </w:docVars>
  <w:rsids>
    <w:rsidRoot w:val="595031D8"/>
    <w:rsid w:val="128E498E"/>
    <w:rsid w:val="595031D8"/>
    <w:rsid w:val="EBAEB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2022-07-01T15:07:00Z</dcterms:created>
  <dc:creator>贺彬来了</dc:creator>
  <cp:lastModifiedBy>kylin</cp:lastModifiedBy>
  <dcterms:modified xsi:type="dcterms:W3CDTF">2022-12-12T16:33:41Z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2000A7B85D024F8492521A6895189EF0</vt:lpwstr>
  </property>
</Properties>
</file>