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hint="eastAsia" w:asciiTheme="majorEastAsia" w:hAnsiTheme="majorEastAsia" w:eastAsiaTheme="majorEastAsia" w:cstheme="majorEastAsia"/>
          <w:b/>
          <w:bCs/>
          <w:color w:val="333333"/>
          <w:sz w:val="44"/>
          <w:szCs w:val="44"/>
        </w:rPr>
      </w:pPr>
      <w:r>
        <w:rPr>
          <w:rFonts w:hint="eastAsia" w:asciiTheme="majorEastAsia" w:hAnsiTheme="majorEastAsia" w:eastAsiaTheme="majorEastAsia" w:cstheme="majorEastAsia"/>
          <w:b/>
          <w:bCs/>
          <w:color w:val="333333"/>
          <w:sz w:val="44"/>
          <w:szCs w:val="44"/>
        </w:rPr>
        <w:t>《国务院关于加强政务诚信建设的</w:t>
      </w:r>
    </w:p>
    <w:p>
      <w:pPr>
        <w:pStyle w:val="4"/>
        <w:shd w:val="clear" w:color="auto" w:fill="FFFFFF"/>
        <w:spacing w:before="0" w:beforeAutospacing="0" w:after="0" w:afterAutospacing="0" w:line="560" w:lineRule="exact"/>
        <w:jc w:val="center"/>
        <w:rPr>
          <w:rFonts w:hint="eastAsia" w:asciiTheme="majorEastAsia" w:hAnsiTheme="majorEastAsia" w:eastAsiaTheme="majorEastAsia" w:cstheme="majorEastAsia"/>
          <w:b/>
          <w:bCs/>
          <w:color w:val="333333"/>
          <w:sz w:val="44"/>
          <w:szCs w:val="44"/>
        </w:rPr>
      </w:pPr>
      <w:r>
        <w:rPr>
          <w:rFonts w:hint="eastAsia" w:asciiTheme="majorEastAsia" w:hAnsiTheme="majorEastAsia" w:eastAsiaTheme="majorEastAsia" w:cstheme="majorEastAsia"/>
          <w:b/>
          <w:bCs/>
          <w:color w:val="333333"/>
          <w:sz w:val="44"/>
          <w:szCs w:val="44"/>
        </w:rPr>
        <w:t>指导意见》</w:t>
      </w:r>
    </w:p>
    <w:p>
      <w:pPr>
        <w:pStyle w:val="4"/>
        <w:shd w:val="clear" w:color="auto" w:fill="FFFFFF"/>
        <w:spacing w:before="0" w:beforeAutospacing="0" w:after="0" w:afterAutospacing="0" w:line="560" w:lineRule="exact"/>
        <w:jc w:val="center"/>
        <w:rPr>
          <w:rFonts w:hint="eastAsia" w:asciiTheme="majorEastAsia" w:hAnsiTheme="majorEastAsia" w:eastAsiaTheme="majorEastAsia" w:cstheme="majorEastAsia"/>
          <w:b/>
          <w:color w:val="333333"/>
          <w:sz w:val="32"/>
          <w:szCs w:val="32"/>
        </w:rPr>
      </w:pPr>
      <w:bookmarkStart w:id="0" w:name="_GoBack"/>
      <w:r>
        <w:rPr>
          <w:rFonts w:hint="eastAsia" w:asciiTheme="majorEastAsia" w:hAnsiTheme="majorEastAsia" w:eastAsiaTheme="majorEastAsia" w:cstheme="majorEastAsia"/>
          <w:b/>
          <w:bCs/>
          <w:color w:val="333333"/>
          <w:sz w:val="32"/>
          <w:szCs w:val="32"/>
        </w:rPr>
        <w:t>（</w:t>
      </w:r>
      <w:r>
        <w:rPr>
          <w:rFonts w:hint="eastAsia" w:asciiTheme="majorEastAsia" w:hAnsiTheme="majorEastAsia" w:eastAsiaTheme="majorEastAsia" w:cstheme="majorEastAsia"/>
          <w:b/>
          <w:color w:val="333333"/>
          <w:sz w:val="32"/>
          <w:szCs w:val="32"/>
        </w:rPr>
        <w:t>国发〔2016〕76号</w:t>
      </w:r>
      <w:r>
        <w:rPr>
          <w:rFonts w:hint="eastAsia" w:asciiTheme="majorEastAsia" w:hAnsiTheme="majorEastAsia" w:eastAsiaTheme="majorEastAsia" w:cstheme="majorEastAsia"/>
          <w:b/>
          <w:bCs/>
          <w:color w:val="333333"/>
          <w:sz w:val="32"/>
          <w:szCs w:val="32"/>
        </w:rPr>
        <w:t>）</w:t>
      </w:r>
    </w:p>
    <w:bookmarkEnd w:id="0"/>
    <w:p>
      <w:pPr>
        <w:pStyle w:val="4"/>
        <w:shd w:val="clear" w:color="auto" w:fill="FFFFFF"/>
        <w:spacing w:before="0" w:beforeAutospacing="0" w:after="0" w:afterAutospacing="0" w:line="560" w:lineRule="exact"/>
        <w:jc w:val="both"/>
        <w:rPr>
          <w:rFonts w:hint="eastAsia" w:asciiTheme="majorEastAsia" w:hAnsiTheme="majorEastAsia" w:eastAsiaTheme="majorEastAsia" w:cstheme="majorEastAsia"/>
          <w:color w:val="333333"/>
          <w:sz w:val="44"/>
          <w:szCs w:val="44"/>
        </w:rPr>
      </w:pPr>
    </w:p>
    <w:p>
      <w:pPr>
        <w:pStyle w:val="4"/>
        <w:shd w:val="clear" w:color="auto" w:fill="FFFFFF"/>
        <w:spacing w:before="0" w:beforeAutospacing="0" w:after="0" w:afterAutospacing="0" w:line="560" w:lineRule="exact"/>
        <w:jc w:val="both"/>
        <w:rPr>
          <w:rFonts w:ascii="方正仿宋简体" w:eastAsia="方正仿宋简体"/>
          <w:color w:val="333333"/>
          <w:sz w:val="32"/>
          <w:szCs w:val="32"/>
        </w:rPr>
      </w:pPr>
      <w:r>
        <w:rPr>
          <w:rFonts w:hint="eastAsia" w:ascii="方正仿宋简体" w:eastAsia="方正仿宋简体"/>
          <w:color w:val="333333"/>
          <w:sz w:val="32"/>
          <w:szCs w:val="32"/>
        </w:rPr>
        <w:t>各省、自治区、直辖市人民政府，国务院各部委、各直属机构：</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eastAsia="方正仿宋简体"/>
          <w:color w:val="333333"/>
          <w:sz w:val="32"/>
          <w:szCs w:val="32"/>
        </w:rPr>
        <w:t>为加强政务诚信建设，充分发挥政府在社会信用体系建设中的表率作用，进一步提升政府公信力，推进国家治理体系和治理能力现代化，现提出以下意见。</w:t>
      </w:r>
    </w:p>
    <w:p>
      <w:pPr>
        <w:pStyle w:val="4"/>
        <w:shd w:val="clear" w:color="auto" w:fill="FFFFFF"/>
        <w:spacing w:before="0" w:beforeAutospacing="0" w:after="0" w:afterAutospacing="0" w:line="560" w:lineRule="exact"/>
        <w:ind w:firstLine="480"/>
        <w:jc w:val="both"/>
        <w:rPr>
          <w:rFonts w:ascii="方正黑体简体" w:eastAsia="方正黑体简体"/>
          <w:color w:val="333333"/>
          <w:sz w:val="32"/>
          <w:szCs w:val="32"/>
        </w:rPr>
      </w:pPr>
      <w:r>
        <w:rPr>
          <w:rFonts w:hint="eastAsia" w:ascii="方正黑体简体" w:eastAsia="方正黑体简体"/>
          <w:bCs/>
          <w:color w:val="333333"/>
          <w:sz w:val="32"/>
          <w:szCs w:val="32"/>
        </w:rPr>
        <w:t>一、重要意义</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eastAsia="方正仿宋简体"/>
          <w:color w:val="333333"/>
          <w:sz w:val="32"/>
          <w:szCs w:val="32"/>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pPr>
        <w:pStyle w:val="4"/>
        <w:shd w:val="clear" w:color="auto" w:fill="FFFFFF"/>
        <w:spacing w:before="0" w:beforeAutospacing="0" w:after="0" w:afterAutospacing="0" w:line="560" w:lineRule="exact"/>
        <w:ind w:firstLine="480"/>
        <w:jc w:val="both"/>
        <w:rPr>
          <w:rFonts w:ascii="方正黑体简体" w:eastAsia="方正黑体简体"/>
          <w:bCs/>
          <w:color w:val="333333"/>
          <w:sz w:val="32"/>
          <w:szCs w:val="32"/>
        </w:rPr>
      </w:pPr>
      <w:r>
        <w:rPr>
          <w:rFonts w:hint="eastAsia" w:ascii="方正黑体简体" w:eastAsia="方正黑体简体"/>
          <w:bCs/>
          <w:color w:val="333333"/>
          <w:sz w:val="32"/>
          <w:szCs w:val="32"/>
        </w:rPr>
        <w:t>二、总体要求</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（一）指导思想。</w:t>
      </w:r>
      <w:r>
        <w:rPr>
          <w:rFonts w:hint="eastAsia" w:ascii="方正仿宋简体" w:eastAsia="方正仿宋简体"/>
          <w:color w:val="333333"/>
          <w:sz w:val="32"/>
          <w:szCs w:val="32"/>
        </w:rPr>
        <w:t>全面贯彻落实党的十八大和十八届三中、四中、五中、六中全会精神，深入贯彻习近平总书记系列重要讲话精神，按照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pPr>
        <w:pStyle w:val="4"/>
        <w:shd w:val="clear" w:color="auto" w:fill="FFFFFF"/>
        <w:spacing w:before="0" w:beforeAutospacing="0" w:after="0" w:afterAutospacing="0" w:line="560" w:lineRule="exact"/>
        <w:ind w:firstLine="480"/>
        <w:jc w:val="both"/>
        <w:rPr>
          <w:rFonts w:ascii="方正楷体简体" w:hAnsi="楷体" w:eastAsia="方正楷体简体"/>
          <w:color w:val="333333"/>
          <w:sz w:val="32"/>
          <w:szCs w:val="32"/>
        </w:rPr>
      </w:pPr>
      <w:r>
        <w:rPr>
          <w:rFonts w:hint="eastAsia" w:ascii="方正楷体简体" w:hAnsi="楷体" w:eastAsia="方正楷体简体"/>
          <w:color w:val="333333"/>
          <w:sz w:val="32"/>
          <w:szCs w:val="32"/>
        </w:rPr>
        <w:t>（二）基本原则。</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hAnsi="楷体" w:eastAsia="方正仿宋简体"/>
          <w:color w:val="333333"/>
          <w:sz w:val="32"/>
          <w:szCs w:val="32"/>
        </w:rPr>
        <w:t>一是坚持依法行政。</w:t>
      </w:r>
      <w:r>
        <w:rPr>
          <w:rFonts w:hint="eastAsia" w:ascii="方正仿宋简体" w:eastAsia="方正仿宋简体"/>
          <w:color w:val="333333"/>
          <w:sz w:val="32"/>
          <w:szCs w:val="32"/>
        </w:rPr>
        <w:t>各级人民政府和公务员要始终坚持依法治国、依法行政，切实履行法定职责必须为、法无授权不可为的要求。健全依法决策机制，将公众参与、专家论证、风险评估、合法性审查、合规性审核、集体讨论决定等作为重大决策的必经程序。要按照权力和责任清单制度要求，切实做到依法决策、依法执行和依法监督。</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hAnsi="楷体" w:eastAsia="方正仿宋简体"/>
          <w:color w:val="333333"/>
          <w:sz w:val="32"/>
          <w:szCs w:val="32"/>
        </w:rPr>
        <w:t>二是坚持政务公开。</w:t>
      </w:r>
      <w:r>
        <w:rPr>
          <w:rFonts w:hint="eastAsia" w:ascii="方正仿宋简体" w:eastAsia="方正仿宋简体"/>
          <w:color w:val="333333"/>
          <w:sz w:val="32"/>
          <w:szCs w:val="32"/>
        </w:rPr>
        <w:t>推进阳光行政，坚持“以公开为常态，不公开为例外”原则，在保护国家信息安全、国家秘密、商业秘密和个人隐私的前提下，通过各地区各部门政府网站、政务微博微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hAnsi="楷体" w:eastAsia="方正仿宋简体"/>
          <w:color w:val="333333"/>
          <w:sz w:val="32"/>
          <w:szCs w:val="32"/>
        </w:rPr>
        <w:t>三是坚持勤政高效。</w:t>
      </w:r>
      <w:r>
        <w:rPr>
          <w:rFonts w:hint="eastAsia" w:ascii="方正仿宋简体" w:eastAsia="方正仿宋简体"/>
          <w:color w:val="333333"/>
          <w:sz w:val="32"/>
          <w:szCs w:val="32"/>
        </w:rPr>
        <w:t>进一步优化行政流程，继续清理、削减和调整行政审批事项，推行网上服务、并联服务和服务质量公开承诺等措施，不断提高行政效率和水平。</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hAnsi="楷体" w:eastAsia="方正仿宋简体"/>
          <w:color w:val="333333"/>
          <w:sz w:val="32"/>
          <w:szCs w:val="32"/>
        </w:rPr>
        <w:t>四是坚持守信践诺。</w:t>
      </w:r>
      <w:r>
        <w:rPr>
          <w:rFonts w:hint="eastAsia" w:ascii="方正仿宋简体" w:eastAsia="方正仿宋简体"/>
          <w:color w:val="333333"/>
          <w:sz w:val="32"/>
          <w:szCs w:val="32"/>
        </w:rPr>
        <w:t>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作出表率。</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hAnsi="楷体" w:eastAsia="方正仿宋简体"/>
          <w:color w:val="333333"/>
          <w:sz w:val="32"/>
          <w:szCs w:val="32"/>
        </w:rPr>
        <w:t>五是坚持失信惩戒。</w:t>
      </w:r>
      <w:r>
        <w:rPr>
          <w:rFonts w:hint="eastAsia" w:ascii="方正仿宋简体" w:eastAsia="方正仿宋简体"/>
          <w:color w:val="333333"/>
          <w:sz w:val="32"/>
          <w:szCs w:val="32"/>
        </w:rPr>
        <w:t>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中懒政怠政，不遵守法律法规和相关制度，以权谋私、失职渎职等行为，特别是严重危害群众利益、有失公平公正、交易违约等行为，要加大查处力度，营造既“亲”又“清”的新型政商关系。</w:t>
      </w:r>
    </w:p>
    <w:p>
      <w:pPr>
        <w:pStyle w:val="4"/>
        <w:shd w:val="clear" w:color="auto" w:fill="FFFFFF"/>
        <w:spacing w:before="0" w:beforeAutospacing="0" w:after="0" w:afterAutospacing="0" w:line="560" w:lineRule="exact"/>
        <w:ind w:firstLine="480"/>
        <w:jc w:val="both"/>
        <w:rPr>
          <w:rFonts w:ascii="方正黑体简体" w:eastAsia="方正黑体简体"/>
          <w:bCs/>
          <w:color w:val="333333"/>
          <w:sz w:val="32"/>
          <w:szCs w:val="32"/>
        </w:rPr>
      </w:pPr>
      <w:r>
        <w:rPr>
          <w:rFonts w:hint="eastAsia" w:ascii="方正黑体简体" w:eastAsia="方正黑体简体"/>
          <w:bCs/>
          <w:color w:val="333333"/>
          <w:sz w:val="32"/>
          <w:szCs w:val="32"/>
        </w:rPr>
        <w:t>三、探索构建广泛有效的政务诚信监督体系</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（一）建立政务诚信专项督导机制。</w:t>
      </w:r>
      <w:r>
        <w:rPr>
          <w:rFonts w:hint="eastAsia" w:ascii="方正仿宋简体" w:eastAsia="方正仿宋简体"/>
          <w:color w:val="333333"/>
          <w:sz w:val="32"/>
          <w:szCs w:val="32"/>
        </w:rPr>
        <w:t>上级人民政府要定期对下级人民政府进行政务诚信监督检查，实施政务诚信考核评价，考评结果作为对下级人民政府绩效考核的重要参考。</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（二）建立横向政务诚信监督机制。</w:t>
      </w:r>
      <w:r>
        <w:rPr>
          <w:rFonts w:hint="eastAsia" w:ascii="方正仿宋简体" w:eastAsia="方正仿宋简体"/>
          <w:color w:val="333333"/>
          <w:sz w:val="32"/>
          <w:szCs w:val="32"/>
        </w:rPr>
        <w:t>各级人民政府要依法接受同级人大及其常委会的监督，接受人民政协的民主监督，将办理和落实人大代表建议、政协委员提案的情况作为政务诚信建设的重要考量因素。</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（三）建立社会监督和第三方机构评估机制。</w:t>
      </w:r>
      <w:r>
        <w:rPr>
          <w:rFonts w:hint="eastAsia" w:ascii="方正仿宋简体" w:eastAsia="方正仿宋简体"/>
          <w:color w:val="333333"/>
          <w:sz w:val="32"/>
          <w:szCs w:val="32"/>
        </w:rPr>
        <w:t>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pPr>
        <w:pStyle w:val="4"/>
        <w:shd w:val="clear" w:color="auto" w:fill="FFFFFF"/>
        <w:spacing w:before="0" w:beforeAutospacing="0" w:after="0" w:afterAutospacing="0" w:line="560" w:lineRule="exact"/>
        <w:ind w:firstLine="480"/>
        <w:jc w:val="both"/>
        <w:rPr>
          <w:rFonts w:ascii="方正黑体简体" w:eastAsia="方正黑体简体"/>
          <w:bCs/>
          <w:color w:val="333333"/>
          <w:sz w:val="32"/>
          <w:szCs w:val="32"/>
        </w:rPr>
      </w:pPr>
      <w:r>
        <w:rPr>
          <w:rFonts w:hint="eastAsia" w:ascii="方正黑体简体" w:eastAsia="方正黑体简体"/>
          <w:bCs/>
          <w:color w:val="333333"/>
          <w:sz w:val="32"/>
          <w:szCs w:val="32"/>
        </w:rPr>
        <w:t>四、建立健全政务信用管理体系</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（一）加强公务员诚信教育。</w:t>
      </w:r>
      <w:r>
        <w:rPr>
          <w:rFonts w:hint="eastAsia" w:ascii="方正仿宋简体" w:eastAsia="方正仿宋简体"/>
          <w:color w:val="333333"/>
          <w:sz w:val="32"/>
          <w:szCs w:val="32"/>
        </w:rPr>
        <w:t>以社会主义核心价值观为引领，深入开展公务员诚信、守法和道德教育，编制公务员诚信手册，将信用建设纳入公务员培训和领导干部进修课程，加强公务员信用知识学习，提升公务员信用意识。</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（二）建立健全政务失信记录。</w:t>
      </w:r>
      <w:r>
        <w:rPr>
          <w:rFonts w:hint="eastAsia" w:ascii="方正仿宋简体" w:eastAsia="方正仿宋简体"/>
          <w:color w:val="333333"/>
          <w:sz w:val="32"/>
          <w:szCs w:val="32"/>
        </w:rPr>
        <w:t>将各级人民政府和公务员在履职过程中，因违法违规、失信违约被司法判决、行政处罚、纪律处分、问责处理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（三）健全守信激励与失信惩戒机制。</w:t>
      </w:r>
      <w:r>
        <w:rPr>
          <w:rFonts w:hint="eastAsia" w:ascii="方正仿宋简体" w:eastAsia="方正仿宋简体"/>
          <w:color w:val="333333"/>
          <w:sz w:val="32"/>
          <w:szCs w:val="32"/>
        </w:rPr>
        <w:t>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（四）健全信用权益保护和信用修复机制。</w:t>
      </w:r>
      <w:r>
        <w:rPr>
          <w:rFonts w:hint="eastAsia" w:ascii="方正仿宋简体" w:eastAsia="方正仿宋简体"/>
          <w:color w:val="333333"/>
          <w:sz w:val="32"/>
          <w:szCs w:val="32"/>
        </w:rPr>
        <w:t>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pPr>
        <w:pStyle w:val="4"/>
        <w:shd w:val="clear" w:color="auto" w:fill="FFFFFF"/>
        <w:spacing w:before="0" w:beforeAutospacing="0" w:after="0" w:afterAutospacing="0" w:line="560" w:lineRule="exact"/>
        <w:ind w:firstLine="480"/>
        <w:jc w:val="both"/>
        <w:rPr>
          <w:rFonts w:ascii="方正黑体简体" w:eastAsia="方正黑体简体"/>
          <w:bCs/>
          <w:color w:val="333333"/>
          <w:sz w:val="32"/>
          <w:szCs w:val="32"/>
        </w:rPr>
      </w:pPr>
      <w:r>
        <w:rPr>
          <w:rFonts w:hint="eastAsia" w:ascii="方正黑体简体" w:eastAsia="方正黑体简体"/>
          <w:bCs/>
          <w:color w:val="333333"/>
          <w:sz w:val="32"/>
          <w:szCs w:val="32"/>
        </w:rPr>
        <w:t>五、加强重点领域政务诚信建设</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（一）加强政府采购领域政务诚信建设。</w:t>
      </w:r>
      <w:r>
        <w:rPr>
          <w:rFonts w:hint="eastAsia" w:ascii="方正仿宋简体" w:eastAsia="方正仿宋简体"/>
          <w:color w:val="333333"/>
          <w:sz w:val="32"/>
          <w:szCs w:val="32"/>
        </w:rPr>
        <w:t>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（二）加强政府和社会资本合作领域政务诚信建设。</w:t>
      </w:r>
      <w:r>
        <w:rPr>
          <w:rFonts w:hint="eastAsia" w:ascii="方正仿宋简体" w:eastAsia="方正仿宋简体"/>
          <w:color w:val="333333"/>
          <w:sz w:val="32"/>
          <w:szCs w:val="32"/>
        </w:rPr>
        <w:t>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（三）加强招标投标领域政务诚信建设。</w:t>
      </w:r>
      <w:r>
        <w:rPr>
          <w:rFonts w:hint="eastAsia" w:ascii="方正仿宋简体" w:eastAsia="方正仿宋简体"/>
          <w:color w:val="333333"/>
          <w:sz w:val="32"/>
          <w:szCs w:val="32"/>
        </w:rPr>
        <w:t>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（四）加强招商引资领域政务诚信建设。</w:t>
      </w:r>
      <w:r>
        <w:rPr>
          <w:rFonts w:hint="eastAsia" w:ascii="方正仿宋简体" w:eastAsia="方正仿宋简体"/>
          <w:color w:val="333333"/>
          <w:sz w:val="32"/>
          <w:szCs w:val="32"/>
        </w:rPr>
        <w:t>完善招商引资地方性法规规章等，严格依法依规出台优惠政策，避免恶性竞争。规范地方人民政府招商引资行为，认真履行依法作出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（五）加强地方政府债务领域政务诚信建设。</w:t>
      </w:r>
      <w:r>
        <w:rPr>
          <w:rFonts w:hint="eastAsia" w:ascii="方正仿宋简体" w:eastAsia="方正仿宋简体"/>
          <w:color w:val="333333"/>
          <w:sz w:val="32"/>
          <w:szCs w:val="32"/>
        </w:rPr>
        <w:t>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（六）加强街道和乡镇政务诚信建设。</w:t>
      </w:r>
      <w:r>
        <w:rPr>
          <w:rFonts w:hint="eastAsia" w:ascii="方正仿宋简体" w:eastAsia="方正仿宋简体"/>
          <w:color w:val="333333"/>
          <w:sz w:val="32"/>
          <w:szCs w:val="32"/>
        </w:rPr>
        <w:t>建立街道和乡镇公开承诺制度，加大街道和乡镇政务、财务等公开力度，确保就业、物业、就学、计生、养老、助残、扶贫、医保、住房、出行、停车、防火防盗、拥军优属、便民服务等公共服务和优惠政策有效落实到社会公众，并将各项工作守信践诺情况纳入街道和乡镇绩效考核体系。鼓励有条件的地区开展诚信街道和诚信乡镇创建活动。</w:t>
      </w:r>
    </w:p>
    <w:p>
      <w:pPr>
        <w:pStyle w:val="4"/>
        <w:shd w:val="clear" w:color="auto" w:fill="FFFFFF"/>
        <w:spacing w:before="0" w:beforeAutospacing="0" w:after="0" w:afterAutospacing="0" w:line="560" w:lineRule="exact"/>
        <w:ind w:firstLine="480"/>
        <w:jc w:val="both"/>
        <w:rPr>
          <w:rFonts w:ascii="方正黑体简体" w:eastAsia="方正黑体简体"/>
          <w:bCs/>
          <w:color w:val="333333"/>
          <w:sz w:val="32"/>
          <w:szCs w:val="32"/>
        </w:rPr>
      </w:pPr>
      <w:r>
        <w:rPr>
          <w:rFonts w:hint="eastAsia" w:ascii="方正黑体简体" w:eastAsia="方正黑体简体"/>
          <w:bCs/>
          <w:color w:val="333333"/>
          <w:sz w:val="32"/>
          <w:szCs w:val="32"/>
        </w:rPr>
        <w:t>六、健全保障措施</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（一）加强组织领导和工作协调。各</w:t>
      </w:r>
      <w:r>
        <w:rPr>
          <w:rFonts w:hint="eastAsia" w:ascii="方正仿宋简体" w:eastAsia="方正仿宋简体"/>
          <w:color w:val="333333"/>
          <w:sz w:val="32"/>
          <w:szCs w:val="32"/>
        </w:rPr>
        <w:t>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楷体简体" w:hAnsi="楷体" w:eastAsia="方正楷体简体"/>
          <w:color w:val="333333"/>
          <w:sz w:val="32"/>
          <w:szCs w:val="32"/>
        </w:rPr>
        <w:t>（二）加快法规制度建设。</w:t>
      </w:r>
      <w:r>
        <w:rPr>
          <w:rFonts w:hint="eastAsia" w:ascii="方正仿宋简体" w:eastAsia="方正仿宋简体"/>
          <w:color w:val="333333"/>
          <w:sz w:val="32"/>
          <w:szCs w:val="32"/>
        </w:rPr>
        <w:t>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pPr>
        <w:pStyle w:val="4"/>
        <w:shd w:val="clear" w:color="auto" w:fill="FFFFFF"/>
        <w:spacing w:before="0" w:beforeAutospacing="0" w:after="0" w:afterAutospacing="0" w:line="560" w:lineRule="exact"/>
        <w:ind w:firstLine="480"/>
        <w:jc w:val="both"/>
        <w:rPr>
          <w:rFonts w:ascii="方正仿宋简体" w:eastAsia="方正仿宋简体"/>
          <w:color w:val="333333"/>
          <w:sz w:val="32"/>
          <w:szCs w:val="32"/>
        </w:rPr>
      </w:pPr>
      <w:r>
        <w:rPr>
          <w:rFonts w:hint="eastAsia" w:ascii="方正仿宋简体" w:eastAsia="方正仿宋简体"/>
          <w:color w:val="333333"/>
          <w:sz w:val="32"/>
          <w:szCs w:val="32"/>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pPr>
        <w:pStyle w:val="4"/>
        <w:shd w:val="clear" w:color="auto" w:fill="FFFFFF"/>
        <w:spacing w:before="0" w:beforeAutospacing="0" w:after="0" w:afterAutospacing="0" w:line="560" w:lineRule="exact"/>
        <w:ind w:left="7305" w:leftChars="50" w:hanging="7200" w:hangingChars="2250"/>
        <w:rPr>
          <w:rFonts w:ascii="方正仿宋简体" w:eastAsia="方正仿宋简体"/>
          <w:color w:val="333333"/>
          <w:sz w:val="32"/>
          <w:szCs w:val="32"/>
        </w:rPr>
      </w:pPr>
      <w:r>
        <w:rPr>
          <w:rFonts w:hint="eastAsia" w:ascii="方正仿宋简体" w:eastAsia="方正仿宋简体"/>
          <w:color w:val="333333"/>
          <w:sz w:val="32"/>
          <w:szCs w:val="32"/>
        </w:rPr>
        <w:t>　　　　　　　　　　　　　　　　　　　　　　　　　　　 国务院</w:t>
      </w:r>
    </w:p>
    <w:p>
      <w:pPr>
        <w:pStyle w:val="4"/>
        <w:shd w:val="clear" w:color="auto" w:fill="FFFFFF"/>
        <w:spacing w:before="0" w:beforeAutospacing="0" w:after="0" w:afterAutospacing="0" w:line="560" w:lineRule="exact"/>
        <w:ind w:firstLine="5600" w:firstLineChars="1750"/>
        <w:rPr>
          <w:rFonts w:ascii="方正仿宋简体" w:eastAsia="方正仿宋简体"/>
          <w:color w:val="333333"/>
          <w:sz w:val="32"/>
          <w:szCs w:val="32"/>
        </w:rPr>
      </w:pPr>
      <w:r>
        <w:rPr>
          <w:rFonts w:hint="eastAsia" w:ascii="方正仿宋简体" w:eastAsia="方正仿宋简体"/>
          <w:color w:val="333333"/>
          <w:sz w:val="32"/>
          <w:szCs w:val="32"/>
        </w:rPr>
        <w:t>2016年12月22日</w:t>
      </w:r>
    </w:p>
    <w:p>
      <w:pPr>
        <w:pStyle w:val="4"/>
        <w:shd w:val="clear" w:color="auto" w:fill="FFFFFF"/>
        <w:spacing w:before="0" w:beforeAutospacing="0" w:after="0" w:afterAutospacing="0" w:line="560" w:lineRule="exact"/>
        <w:ind w:firstLine="5760" w:firstLineChars="1800"/>
        <w:jc w:val="both"/>
        <w:rPr>
          <w:rFonts w:ascii="方正仿宋简体" w:eastAsia="方正仿宋简体"/>
          <w:color w:val="333333"/>
          <w:sz w:val="32"/>
          <w:szCs w:val="32"/>
        </w:rPr>
      </w:pPr>
      <w:r>
        <w:rPr>
          <w:rFonts w:hint="eastAsia" w:ascii="方正仿宋简体" w:eastAsia="方正仿宋简体"/>
          <w:color w:val="333333"/>
          <w:sz w:val="32"/>
          <w:szCs w:val="32"/>
        </w:rPr>
        <w:t>（此件公开发布）</w:t>
      </w:r>
    </w:p>
    <w:p>
      <w:pPr>
        <w:spacing w:line="560" w:lineRule="exact"/>
        <w:rPr>
          <w:rFonts w:ascii="方正仿宋简体" w:eastAsia="方正仿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方正仿宋_GBK"/>
    <w:panose1 w:val="02010601030101010101"/>
    <w:charset w:val="86"/>
    <w:family w:val="auto"/>
    <w:pitch w:val="default"/>
    <w:sig w:usb0="00000000" w:usb1="00000000" w:usb2="00000010" w:usb3="00000000" w:csb0="00040000" w:csb1="00000000"/>
  </w:font>
  <w:font w:name="方正黑体简体">
    <w:altName w:val="方正黑体_GBK"/>
    <w:panose1 w:val="02010601030101010101"/>
    <w:charset w:val="86"/>
    <w:family w:val="auto"/>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B4558"/>
    <w:rsid w:val="00037469"/>
    <w:rsid w:val="001D3B54"/>
    <w:rsid w:val="00617A51"/>
    <w:rsid w:val="006B43A3"/>
    <w:rsid w:val="006F0C27"/>
    <w:rsid w:val="00717F99"/>
    <w:rsid w:val="007F149A"/>
    <w:rsid w:val="009B4558"/>
    <w:rsid w:val="00B21226"/>
    <w:rsid w:val="00DC1945"/>
    <w:rsid w:val="00E763EF"/>
    <w:rsid w:val="7AFF8A6E"/>
    <w:rsid w:val="7F7F3F51"/>
    <w:rsid w:val="FBFBE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566</Words>
  <Characters>3227</Characters>
  <Lines>26</Lines>
  <Paragraphs>7</Paragraphs>
  <TotalTime>9</TotalTime>
  <ScaleCrop>false</ScaleCrop>
  <LinksUpToDate>false</LinksUpToDate>
  <CharactersWithSpaces>3786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2020-08-12T16:21:00Z</dcterms:created>
  <dc:creator>Administrator</dc:creator>
  <cp:lastModifiedBy>kylin</cp:lastModifiedBy>
  <dcterms:modified xsi:type="dcterms:W3CDTF">2022-12-12T16:30:36Z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