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val="0"/>
          <w:bCs/>
          <w:sz w:val="44"/>
          <w:szCs w:val="44"/>
          <w:lang w:val="en-US" w:eastAsia="zh-CN"/>
        </w:rPr>
      </w:pPr>
      <w:r>
        <w:rPr>
          <w:rFonts w:hint="eastAsia" w:asciiTheme="majorEastAsia" w:hAnsiTheme="majorEastAsia" w:eastAsiaTheme="majorEastAsia" w:cstheme="majorEastAsia"/>
          <w:b w:val="0"/>
          <w:bCs/>
          <w:sz w:val="44"/>
          <w:szCs w:val="44"/>
        </w:rPr>
        <w:t>中共中央办公厅  国务院办公厅印发《关于加快推进失信被执行人信用监督、警示和惩戒机制建设的意见》的通知</w:t>
      </w:r>
      <w:r>
        <w:rPr>
          <w:rFonts w:hint="eastAsia" w:asciiTheme="majorEastAsia" w:hAnsiTheme="majorEastAsia" w:eastAsiaTheme="majorEastAsia" w:cstheme="majorEastAsia"/>
          <w:b w:val="0"/>
          <w:bCs/>
          <w:sz w:val="44"/>
          <w:szCs w:val="44"/>
          <w:lang w:val="en-US" w:eastAsia="zh-CN"/>
        </w:rPr>
        <w:t>(</w:t>
      </w:r>
      <w:r>
        <w:rPr>
          <w:rFonts w:hint="eastAsia" w:asciiTheme="majorEastAsia" w:hAnsiTheme="majorEastAsia" w:eastAsiaTheme="majorEastAsia" w:cstheme="majorEastAsia"/>
          <w:b w:val="0"/>
          <w:bCs/>
          <w:sz w:val="44"/>
          <w:szCs w:val="44"/>
        </w:rPr>
        <w:t>中办发〔2016〕64号</w:t>
      </w:r>
      <w:r>
        <w:rPr>
          <w:rFonts w:hint="eastAsia" w:asciiTheme="majorEastAsia" w:hAnsiTheme="majorEastAsia" w:eastAsiaTheme="majorEastAsia" w:cstheme="majorEastAsia"/>
          <w:b w:val="0"/>
          <w:bCs/>
          <w:sz w:val="44"/>
          <w:szCs w:val="44"/>
          <w:lang w:val="en-US" w:eastAsia="zh-CN"/>
        </w:rPr>
        <w:t>)</w:t>
      </w:r>
    </w:p>
    <w:p>
      <w:pPr>
        <w:spacing w:line="560" w:lineRule="exact"/>
        <w:rPr>
          <w:rFonts w:hint="eastAsia" w:ascii="仿宋" w:hAnsi="仿宋" w:eastAsia="仿宋" w:cs="仿宋"/>
          <w:b w:val="0"/>
          <w:bCs/>
          <w:sz w:val="32"/>
          <w:szCs w:val="32"/>
        </w:rPr>
      </w:pPr>
    </w:p>
    <w:p>
      <w:pPr>
        <w:spacing w:line="560" w:lineRule="exact"/>
        <w:rPr>
          <w:rFonts w:hint="eastAsia" w:ascii="仿宋" w:hAnsi="仿宋" w:eastAsia="仿宋" w:cs="仿宋"/>
          <w:b w:val="0"/>
          <w:bCs/>
          <w:sz w:val="32"/>
          <w:szCs w:val="32"/>
        </w:rPr>
      </w:pPr>
      <w:r>
        <w:rPr>
          <w:rFonts w:hint="eastAsia" w:ascii="仿宋" w:hAnsi="仿宋" w:eastAsia="仿宋" w:cs="仿宋"/>
          <w:b w:val="0"/>
          <w:bCs/>
          <w:sz w:val="32"/>
          <w:szCs w:val="32"/>
        </w:rPr>
        <w:t>各省、自治区、直辖市党委和人民政府，中央和国家机关各部位，解放军各大单位、中央军委机关各部门，各人民团体：</w:t>
      </w:r>
    </w:p>
    <w:p>
      <w:pPr>
        <w:spacing w:line="560" w:lineRule="exact"/>
        <w:rPr>
          <w:rFonts w:hint="eastAsia" w:ascii="仿宋" w:hAnsi="仿宋" w:eastAsia="仿宋" w:cs="仿宋"/>
          <w:b w:val="0"/>
          <w:bCs/>
          <w:sz w:val="32"/>
          <w:szCs w:val="32"/>
        </w:rPr>
      </w:pPr>
      <w:r>
        <w:rPr>
          <w:rFonts w:hint="eastAsia" w:ascii="仿宋" w:hAnsi="仿宋" w:eastAsia="仿宋" w:cs="仿宋"/>
          <w:b w:val="0"/>
          <w:bCs/>
          <w:sz w:val="32"/>
          <w:szCs w:val="32"/>
        </w:rPr>
        <w:t>　　《关于加快推进失信被执行人信用监督、警示和惩戒机制建设的意见》已经中央领导同志同意，现印发给你们，请结合实际认真贯彻落实。</w:t>
      </w:r>
    </w:p>
    <w:p>
      <w:pPr>
        <w:spacing w:line="560" w:lineRule="exact"/>
        <w:jc w:val="right"/>
        <w:rPr>
          <w:rFonts w:hint="eastAsia" w:ascii="仿宋" w:hAnsi="仿宋" w:eastAsia="仿宋" w:cs="仿宋"/>
          <w:b w:val="0"/>
          <w:bCs/>
          <w:sz w:val="32"/>
          <w:szCs w:val="32"/>
        </w:rPr>
      </w:pPr>
      <w:r>
        <w:rPr>
          <w:rFonts w:hint="eastAsia" w:ascii="仿宋" w:hAnsi="仿宋" w:eastAsia="仿宋" w:cs="仿宋"/>
          <w:b w:val="0"/>
          <w:bCs/>
          <w:sz w:val="32"/>
          <w:szCs w:val="32"/>
        </w:rPr>
        <w:t>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中共中央办公厅</w:t>
      </w:r>
    </w:p>
    <w:p>
      <w:pPr>
        <w:spacing w:line="560" w:lineRule="exact"/>
        <w:jc w:val="right"/>
        <w:rPr>
          <w:rFonts w:hint="eastAsia" w:ascii="仿宋" w:hAnsi="仿宋" w:eastAsia="仿宋" w:cs="仿宋"/>
          <w:b w:val="0"/>
          <w:bCs/>
          <w:sz w:val="32"/>
          <w:szCs w:val="32"/>
        </w:rPr>
      </w:pPr>
      <w:r>
        <w:rPr>
          <w:rFonts w:hint="eastAsia" w:ascii="仿宋" w:hAnsi="仿宋" w:eastAsia="仿宋" w:cs="仿宋"/>
          <w:b w:val="0"/>
          <w:bCs/>
          <w:sz w:val="32"/>
          <w:szCs w:val="32"/>
        </w:rPr>
        <w:t>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国务院办公厅</w:t>
      </w:r>
    </w:p>
    <w:p>
      <w:pPr>
        <w:spacing w:line="560" w:lineRule="exact"/>
        <w:jc w:val="right"/>
        <w:rPr>
          <w:rFonts w:hint="eastAsia" w:ascii="仿宋" w:hAnsi="仿宋" w:eastAsia="仿宋" w:cs="仿宋"/>
          <w:b w:val="0"/>
          <w:bCs/>
          <w:sz w:val="32"/>
          <w:szCs w:val="32"/>
        </w:rPr>
      </w:pPr>
      <w:r>
        <w:rPr>
          <w:rFonts w:hint="eastAsia" w:ascii="仿宋" w:hAnsi="仿宋" w:eastAsia="仿宋" w:cs="仿宋"/>
          <w:b w:val="0"/>
          <w:bCs/>
          <w:sz w:val="32"/>
          <w:szCs w:val="32"/>
        </w:rPr>
        <w:t>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2016年9月14日　　</w:t>
      </w:r>
    </w:p>
    <w:p>
      <w:pPr>
        <w:spacing w:line="560" w:lineRule="exact"/>
        <w:jc w:val="right"/>
        <w:rPr>
          <w:rFonts w:hint="eastAsia" w:ascii="方正仿宋简体" w:eastAsia="方正仿宋简体"/>
          <w:sz w:val="32"/>
          <w:szCs w:val="32"/>
        </w:rPr>
      </w:pPr>
    </w:p>
    <w:p>
      <w:pPr>
        <w:spacing w:line="560" w:lineRule="exact"/>
        <w:jc w:val="right"/>
        <w:rPr>
          <w:rFonts w:hint="eastAsia" w:ascii="方正仿宋简体" w:eastAsia="方正仿宋简体"/>
          <w:sz w:val="32"/>
          <w:szCs w:val="32"/>
        </w:rPr>
      </w:pPr>
    </w:p>
    <w:p>
      <w:pPr>
        <w:spacing w:line="560" w:lineRule="exact"/>
        <w:jc w:val="right"/>
        <w:rPr>
          <w:rFonts w:hint="eastAsia" w:ascii="方正仿宋简体" w:eastAsia="方正仿宋简体"/>
          <w:sz w:val="32"/>
          <w:szCs w:val="32"/>
        </w:rPr>
      </w:pPr>
    </w:p>
    <w:p>
      <w:pPr>
        <w:spacing w:line="560" w:lineRule="exact"/>
        <w:jc w:val="right"/>
        <w:rPr>
          <w:rFonts w:hint="eastAsia" w:ascii="方正仿宋简体" w:eastAsia="方正仿宋简体"/>
          <w:sz w:val="32"/>
          <w:szCs w:val="32"/>
        </w:rPr>
      </w:pPr>
    </w:p>
    <w:p>
      <w:pPr>
        <w:spacing w:line="560" w:lineRule="exact"/>
        <w:jc w:val="right"/>
        <w:rPr>
          <w:rFonts w:hint="eastAsia" w:ascii="方正仿宋简体" w:eastAsia="方正仿宋简体"/>
          <w:sz w:val="32"/>
          <w:szCs w:val="32"/>
        </w:rPr>
      </w:pPr>
    </w:p>
    <w:p>
      <w:pPr>
        <w:spacing w:line="560" w:lineRule="exact"/>
        <w:jc w:val="right"/>
        <w:rPr>
          <w:rFonts w:hint="eastAsia" w:ascii="方正仿宋简体" w:eastAsia="方正仿宋简体"/>
          <w:sz w:val="32"/>
          <w:szCs w:val="32"/>
        </w:rPr>
      </w:pPr>
    </w:p>
    <w:p>
      <w:pPr>
        <w:spacing w:line="560" w:lineRule="exact"/>
        <w:jc w:val="center"/>
        <w:rPr>
          <w:rFonts w:hint="eastAsia" w:ascii="方正仿宋简体" w:eastAsia="方正仿宋简体"/>
          <w:sz w:val="32"/>
          <w:szCs w:val="32"/>
        </w:rPr>
      </w:pPr>
      <w:r>
        <w:rPr>
          <w:rFonts w:hint="eastAsia" w:asciiTheme="majorEastAsia" w:hAnsiTheme="majorEastAsia" w:eastAsiaTheme="majorEastAsia" w:cstheme="majorEastAsia"/>
          <w:b w:val="0"/>
          <w:bCs/>
          <w:sz w:val="44"/>
          <w:szCs w:val="44"/>
        </w:rPr>
        <w:t>关于加快推进失信被执行人信用监督、警示和惩戒机制建设的意见</w:t>
      </w:r>
    </w:p>
    <w:p>
      <w:pPr>
        <w:spacing w:line="560" w:lineRule="exact"/>
        <w:jc w:val="right"/>
        <w:rPr>
          <w:rFonts w:hint="eastAsia" w:ascii="方正仿宋简体" w:eastAsia="方正仿宋简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方正仿宋简体" w:eastAsia="方正仿宋简体"/>
          <w:sz w:val="32"/>
          <w:szCs w:val="32"/>
        </w:rPr>
      </w:pPr>
      <w:bookmarkStart w:id="0" w:name="_GoBack"/>
      <w:r>
        <w:rPr>
          <w:rFonts w:hint="eastAsia" w:ascii="方正仿宋简体" w:eastAsia="方正仿宋简体"/>
          <w:sz w:val="32"/>
          <w:szCs w:val="32"/>
        </w:rPr>
        <w:t>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pPr>
        <w:keepNext w:val="0"/>
        <w:keepLines w:val="0"/>
        <w:pageBreakBefore w:val="0"/>
        <w:widowControl/>
        <w:kinsoku/>
        <w:wordWrap/>
        <w:overflowPunct/>
        <w:topLinePunct w:val="0"/>
        <w:autoSpaceDE/>
        <w:autoSpaceDN/>
        <w:bidi w:val="0"/>
        <w:adjustRightInd w:val="0"/>
        <w:snapToGrid w:val="0"/>
        <w:spacing w:after="0" w:line="560" w:lineRule="exact"/>
        <w:ind w:firstLine="800" w:firstLineChars="250"/>
        <w:textAlignment w:val="auto"/>
        <w:rPr>
          <w:rFonts w:hint="eastAsia" w:ascii="方正黑体简体" w:eastAsia="方正黑体简体"/>
          <w:sz w:val="32"/>
          <w:szCs w:val="32"/>
        </w:rPr>
      </w:pPr>
      <w:r>
        <w:rPr>
          <w:rFonts w:hint="eastAsia" w:ascii="方正黑体简体" w:eastAsia="方正黑体简体"/>
          <w:sz w:val="32"/>
          <w:szCs w:val="32"/>
        </w:rPr>
        <w:t>一、总体要求</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（一）指导思想。</w:t>
      </w:r>
      <w:r>
        <w:rPr>
          <w:rFonts w:hint="eastAsia" w:ascii="方正仿宋简体" w:eastAsia="方正仿宋简体"/>
          <w:sz w:val="32"/>
          <w:szCs w:val="32"/>
        </w:rPr>
        <w:t>全面贯彻落实党的十八大和十八届三中、四中、五中全会精神，深入学习贯彻习近平总书记系列重要讲话精神，紧紧围绕统筹推进“五位一体”总体布局和协调推进“四个全面”战略布局，牢固树立新发展理念，按照培育和践行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楷体简体" w:eastAsia="方正楷体简体"/>
          <w:sz w:val="32"/>
          <w:szCs w:val="32"/>
        </w:rPr>
      </w:pPr>
      <w:r>
        <w:rPr>
          <w:rFonts w:hint="eastAsia" w:ascii="方正楷体简体" w:eastAsia="方正楷体简体"/>
          <w:sz w:val="32"/>
          <w:szCs w:val="32"/>
        </w:rPr>
        <w:t>（二）基本原则</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仿宋简体" w:eastAsia="方正仿宋简体"/>
          <w:sz w:val="32"/>
          <w:szCs w:val="32"/>
        </w:rPr>
      </w:pPr>
      <w:r>
        <w:rPr>
          <w:rFonts w:hint="eastAsia" w:ascii="方正仿宋简体" w:eastAsia="方正仿宋简体"/>
          <w:sz w:val="32"/>
          <w:szCs w:val="32"/>
        </w:rPr>
        <w:t>——坚持合法性。对失信被执行人信用监督、警示和惩戒要严格遵照法律法规实施。</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——坚持信息共享。破除各地区各部门之间以及国家机关与人民团体、社会组织、企事业单位之间的信用信息壁垒，依法推进信用信息互联互通和交换共享。</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——坚持联合惩戒。各地区各部门要各司其职，相互配合，形成合力，构建一处失信、处处受限的信用监督、警示和惩戒体系。</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——坚持政府主导和社会联动。各级政府要发挥主导作用，同时发挥各方面力量，促进全社会共同参与、共同治理，实现政府主导与社会联动的有效融合。</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三）建设目标。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二、加强联合惩戒</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楷体简体" w:eastAsia="方正楷体简体"/>
          <w:sz w:val="32"/>
          <w:szCs w:val="32"/>
        </w:rPr>
      </w:pPr>
      <w:r>
        <w:rPr>
          <w:rFonts w:hint="eastAsia" w:ascii="方正楷体简体" w:eastAsia="方正楷体简体"/>
          <w:sz w:val="32"/>
          <w:szCs w:val="32"/>
        </w:rPr>
        <w:t>（一）从事特定行业或项目限制</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仿宋简体" w:eastAsia="方正仿宋简体"/>
          <w:sz w:val="32"/>
          <w:szCs w:val="32"/>
        </w:rPr>
      </w:pPr>
      <w:r>
        <w:rPr>
          <w:rFonts w:hint="eastAsia" w:ascii="方正仿宋简体" w:eastAsia="方正仿宋简体"/>
          <w:sz w:val="32"/>
          <w:szCs w:val="32"/>
        </w:rPr>
        <w:t>1．设立金融类公司限制。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2．发行债券限制。对失信被执行人在银行间市场发行债券从严审核，限制失信被执行人公开发行公司债券。</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3．合格投资者额度限制。在合格境外机构投资者、合格境内机构投资者额度审批和管理中，将失信状况作为审慎性参考依据。</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4．股权激励限制。失信被执行人为境内国有控股上市公司的，协助中止其股权激励计划；对失信被执行人为境内国有控股上市公司股权激励对象的，协助终止其行权资格。</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5．股票发行或挂牌转让限制。将失信被执行人信息作为股票发行和在全国中小企业股份转让系统挂牌公开转让股票审核的参考。</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仿宋简体" w:eastAsia="方正仿宋简体"/>
          <w:sz w:val="32"/>
          <w:szCs w:val="32"/>
        </w:rPr>
      </w:pPr>
      <w:r>
        <w:rPr>
          <w:rFonts w:hint="eastAsia" w:ascii="方正仿宋简体" w:eastAsia="方正仿宋简体"/>
          <w:sz w:val="32"/>
          <w:szCs w:val="32"/>
        </w:rPr>
        <w:t>6．设立社会组织限制。将失信被执行人信息作为发起设立社会组织审批登记的参考，限制失信被执行人发起设立社会组织。</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仿宋简体" w:eastAsia="方正仿宋简体"/>
          <w:sz w:val="32"/>
          <w:szCs w:val="32"/>
        </w:rPr>
      </w:pPr>
      <w:r>
        <w:rPr>
          <w:rFonts w:hint="eastAsia" w:ascii="方正仿宋简体" w:eastAsia="方正仿宋简体"/>
          <w:sz w:val="32"/>
          <w:szCs w:val="32"/>
        </w:rPr>
        <w:t>7．参与政府投资项目或主要使用财政性资金项目限制。协助人民法院查询政府采购项目信息；依法限制失信被执行人作为供应商参加政府采购活动；依法限制失信被执行人参与政府投资项目或主要使用财政性资金项目。</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（二）政府支持或补贴限制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1．获取政府补贴限制。限制失信被执行人申请政府补贴资金和社会保障资金支持。</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2．获得政策支持限制。在审批投资、进出口、科技等政策支持的申请时，查询相关机构及其法定代表人、实际控制人、董事、监事、高级管理人员是否为失信被执行人，作为其享受该政策的审慎性参考。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（三）任职资格限制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担任国企高管限制。失信被执行人为个人的，限制其担任国有独资公司、国有资本控股公司董事、监事、高级管理人员，以及国有资本参股公司国有股权方派出或推荐的董事、监事、高级管理人员；已担任相关职务的，按照有关程序依法免去其职务。</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2．担任事业单位法定代表人限制。失信被执行人为个人的，限制其登记为事业单位法定代表人。</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3．担任金融机构高管限制。限制失信被执行人担任银行业金融机构、证券公司、基金管理公司、期货公司、保险公司、融资性担保公司的董事、监事、高级管理人员。</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4．担任社会组织负责人限制。失信被执行人为个人的，限制其登记或备案为社会组织负责人。</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5．招录（聘）为公务人员限制。限制招录（聘）失信被执行人为公务员或事业单位工作人员，在职公务员或事业单位工作人员被确定为失信被执行人的，失信情况应作为其评先、评优、晋职晋级的参考。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6．入党或党员的特别限制。将严格遵守法律、履行生效法律文书确定的义务情况，作为申请加入中国共产党、预备党员转为正式党员以及党员评先、评优、晋职晋级的重要参考。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7．担任党代表、人大代表和政协委员限制。失信被执行人为个人的，不作为组织推荐的各级党代会代表、各级人大代表和政协委员候选人。</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8．入伍服役限制。失信被执行人为个人的，将其失信情况作为入伍服役和现役、预备役军官评先、评优、晋职晋级的重要参考。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（四）准入资格限制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1．海关认证限制。限制失信被执行人成为海关认证企业；在失信被执行人办理通关业务时，实施严密监管，加强单证审核或布控查验。</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3．房地产、建筑企业资质限制。将房地产、建筑企业不依法履行生效法律文书确定的义务情况，记入房地产和建筑市场信用档案，向社会披露有关信息，对其企业资质作出限制。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　（五）荣誉和授信限制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授予文明城市、文明村镇、文明单位、文明家庭、道德模范、慈善类奖项限制。将履行人民法院生效裁判情况作为评选文明村镇、文明单位、文明家庭的前置条件，作为文明城市测评的指标内容。有关机构及其法定代表人、实际控制人、董事、监事、高级管理人员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2．律师和律师事务所荣誉限制。协助人民法院查询失信被执行人的律师身份信息、律师事务所登记信息；失信被执行人为律师、律师事务所的，在一定期限内限制其参与评先、评优。</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3．授信限制。银行业金融机构在融资授信时要查询拟授信对象及其法定代表人、主要负责人、实际控制人、董事、监事、高级管理人员是否为失信被执行人，对拟授信对象为失信被执行人的，要从严审核。</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（六）特殊市场交易限制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从事不动产交易、国有资产交易限制。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2．使用国有林地限制。限制失信被执行人申报使用国有林地项目；限制其申报重点林业建设项目。</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3．使用草原限制。限制失信被执行人申报草原征占用项目；限制其申报承担国家草原保护建设项目。</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4．其他国有自然资源利用限制。限制失信被执行人申报水流、海域、无居民海岛、山岭、荒地、滩涂等国有自然资源利用项目以及重点自然资源保护建设项目。</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　（七）限制高消费及有关消费</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4．子女就读高收费学校限制。限制失信被执行人及失信被执行人的法定代表人、主要负责人、实际控制人、影响债务履行的直接责任人员以其财产支付子女入学就读高收费私立学校。</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5．购买具有现金价值保险限制。限制失信被执行人及失信被执行人的法定代表人、主要负责人、实际控制人、影响债务履行的直接责任人员支付高额保费购买具有现金价值的保险产品。</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6．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（八）协助查询、控制及出境限制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协助人民法院依法查询失信被执行人身份、出入境证件信息及车辆信息，协助查封、扣押失信被执行人名下的车辆，协助查找、控制下落不明的失信被执行人，限制失信被执行人出境。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（九）加强日常监管检查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将失信被执行人和以失信被执行人为法定代表人、主要负责人、实际控制人、董事、监事、高级管理人员的单位，作为重点监管对象，加大日常监管力度，提高随机抽查的比例和频次，并可依据相关法律法规对其采取行政监管措施。</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（十）加大刑事惩戒力度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公安、检察机关和人民法院对拒不执行生效判决、裁定以及其他妨碍执行构成犯罪的行为，要及时依法侦查、提起公诉和审判。</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（十一）鼓励其他方面限制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鼓励各级党政机关、人民团体、社会组织、企事业单位使用失信被执行人名单信息，结合各自主管领域、业务范围、经营活动，实施对失信被执行人的信用监督、警示和惩戒。</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黑体简体" w:eastAsia="方正黑体简体"/>
          <w:sz w:val="32"/>
          <w:szCs w:val="32"/>
        </w:rPr>
      </w:pPr>
      <w:r>
        <w:rPr>
          <w:rFonts w:hint="eastAsia" w:ascii="方正黑体简体" w:eastAsia="方正黑体简体"/>
          <w:sz w:val="32"/>
          <w:szCs w:val="32"/>
        </w:rPr>
        <w:t>　　三、加强信息公开与共享</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（一）失信信息公开</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（二）纳入政府政务公开</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（三）信用信息共享</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（四）共享体制机制建设</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黑体简体" w:eastAsia="方正黑体简体"/>
          <w:sz w:val="32"/>
          <w:szCs w:val="32"/>
        </w:rPr>
      </w:pPr>
      <w:r>
        <w:rPr>
          <w:rFonts w:hint="eastAsia" w:ascii="方正黑体简体" w:eastAsia="方正黑体简体"/>
          <w:sz w:val="32"/>
          <w:szCs w:val="32"/>
        </w:rPr>
        <w:t>　　四、完善相关制度机制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（一）进一步提高执行查控工作能力</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加快推进网络执行查控系统建设。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2．拓展执行查控措施。人民法院要进一步拓展对被告和被执行人财产的查控手段和措施。研究制定被执行人财产报告制度、律师调查被执行人财产制度、公告悬赏制度、审计调查制度等财产查控制度。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完善远程执行指挥系统。最高人民法院和各高级、中级人民法院以及有条件的基层人民法院要建立执行指挥中心和远程指挥系统，实现四级法院执行指挥系统联网运行。建立上下一体、内外联动、规范高效、反应快捷的执行指挥工作体制机制。建立四级法院统一的网络化执行办案平台、公开平台和案件流程节点管理平台。</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（二）进一步完善失信被执行人名单制度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1．完善名单纳入制度。各级人民法院要根据执行案件的办理权限，严格按照法定条件和程序决定是否将被执行人纳入失信名单。</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2．确保名单信息准确规范。人民法院要建立严格的操作规程和审核纠错机制，确保失信被执行人名单信息准确规范。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风险提示与救济。在将被执行人纳入失信名单前，人民法院应当向被执行人发出风险提示通知。被执行人认为将其纳入失信名单错误的，可以自收到决定之日起10日内向作出决定的人民法院申请纠正，人民法院应当自收到申请之日起3日内审查，理由成立的，予以撤销；理由不成立的，予以驳回。被执行人对驳回不服的，可以向上一级人民法院申请复议。</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4．失信名单退出。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5．惩戒措施解除。失信名单被依法屏蔽、撤销的，各信用监督、警示和惩戒单位要及时解除对被执行人的惩戒措施。确需继续保留对被执行人信用监督、警示和惩戒的，必须严格按照法律法规的有关规定实施，并明确继续保留的期限。</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6．责任追究。进一步完善责任追究制度，对应当纳入而不纳入、违法纳入以及不按规定屏蔽、撤销失信名单等行为，要按照有关规定追究责任。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楷体简体" w:eastAsia="方正楷体简体"/>
          <w:sz w:val="32"/>
          <w:szCs w:val="32"/>
        </w:rPr>
      </w:pPr>
      <w:r>
        <w:rPr>
          <w:rFonts w:hint="eastAsia" w:ascii="方正楷体简体" w:eastAsia="方正楷体简体"/>
          <w:sz w:val="32"/>
          <w:szCs w:val="32"/>
        </w:rPr>
        <w:t>（三）进一步完善党政机关支持人民法院执行工作制度</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hint="eastAsia" w:ascii="方正仿宋简体" w:eastAsia="方正仿宋简体"/>
          <w:sz w:val="32"/>
          <w:szCs w:val="32"/>
        </w:rPr>
      </w:pPr>
      <w:r>
        <w:rPr>
          <w:rFonts w:hint="eastAsia" w:ascii="方正仿宋简体" w:eastAsia="方正仿宋简体"/>
          <w:sz w:val="32"/>
          <w:szCs w:val="32"/>
        </w:rPr>
        <w:t>1．进一步加强协助执行工作。各地区各部门要按照建立和完善执行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2．严格落实执行工作综治考核责任。将失信被执行人联合惩戒情况作为社会治安综合治理目标责任考核的重要内容。严格落实人民法院执行工作在社会治安综合治理目标责任考核中的有关要求。</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3．强化对党政机关干扰执行的责任追究。党政机关要自觉履行人民法院生效裁判，并将落实情况纳入党风廉政建设主体责任和监督责任范围。坚决落实中共中央办公厅、国务院办公厅印发的《领导干部干预司法活动、插手具体案件处理的记录、通报和责任追究规定》，以及《司法机关内部人员过问案件的记录和责任追究规定》，对有关部门及领导干部干预执行、阻扰执行、不配合执行工作的行为，依纪依法严肃处理。</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黑体简体" w:eastAsia="方正黑体简体"/>
          <w:sz w:val="32"/>
          <w:szCs w:val="32"/>
        </w:rPr>
      </w:pPr>
      <w:r>
        <w:rPr>
          <w:rFonts w:hint="eastAsia" w:ascii="方正黑体简体" w:eastAsia="方正黑体简体"/>
          <w:sz w:val="32"/>
          <w:szCs w:val="32"/>
        </w:rPr>
        <w:t>　　五、加强组织领导</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（一）加强组织实施</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各地区各部门要高度重视对失信被执行人信用监督、警示和惩戒工作，将其作为推进全面依法治国、推进社会信用体系建设、培育和践行社会主义核心价值观的重要内容，切实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单信息嵌入单位管理、审批、工作系统中，实现对失信被执行人名单信息的自动比对、自动拦截、自动监督、自动惩戒。</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楷体简体" w:eastAsia="方正楷体简体"/>
          <w:sz w:val="32"/>
          <w:szCs w:val="32"/>
        </w:rPr>
        <w:t>　　（二）强化工作保障</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各地区各部门要认真落实中央关于解决人民法院执行难问题的要求，强化执行机构的职能作用，配齐配强执行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（三）完善相关法律规定</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加快推进强制执行法等相关法律法规、司法解释及其他规范性文件的立改废释工作，及时将加强执行工作、推进执行联动、信用信息公开和共享、完善失信被执行人名单制度、加强联合惩戒等工作法律化、制度化，确保法律规范的科学性、针对性、实用性。</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（四）加大宣传力度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简体" w:eastAsia="方正仿宋简体"/>
          <w:sz w:val="32"/>
          <w:szCs w:val="32"/>
        </w:rPr>
      </w:pPr>
      <w:r>
        <w:rPr>
          <w:rFonts w:hint="eastAsia" w:ascii="方正仿宋简体" w:eastAsia="方正仿宋简体"/>
          <w:sz w:val="32"/>
          <w:szCs w:val="32"/>
        </w:rPr>
        <w:t>　　加大对失信被执行人名单和信用惩戒的宣传力度，充分发挥新闻媒体的宣传、监督和舆论引导作用。利用报纸、广播、电视、网络等媒体，依法将失信被执行人信息、受惩戒情况等公之于众，形成舆论压力，扩大失信被执行人名单制度的影响力和警示力。</w:t>
      </w:r>
    </w:p>
    <w:bookmarkEnd w:id="0"/>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1B79F7"/>
    <w:rsid w:val="00323B43"/>
    <w:rsid w:val="003316AA"/>
    <w:rsid w:val="003D37D8"/>
    <w:rsid w:val="00426133"/>
    <w:rsid w:val="004358AB"/>
    <w:rsid w:val="006D23C5"/>
    <w:rsid w:val="008B7726"/>
    <w:rsid w:val="00D31D50"/>
    <w:rsid w:val="00FF0149"/>
    <w:rsid w:val="1EE75C7B"/>
    <w:rsid w:val="223A1B30"/>
    <w:rsid w:val="FFB5E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1104</Words>
  <Characters>6296</Characters>
  <Lines>52</Lines>
  <Paragraphs>14</Paragraphs>
  <TotalTime>2</TotalTime>
  <ScaleCrop>false</ScaleCrop>
  <LinksUpToDate>false</LinksUpToDate>
  <CharactersWithSpaces>7386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pc-01</dc:creator>
  <cp:lastModifiedBy>kylin</cp:lastModifiedBy>
  <dcterms:modified xsi:type="dcterms:W3CDTF">2022-12-12T16:14:40Z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