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heme="majorEastAsia" w:hAnsiTheme="majorEastAsia" w:eastAsiaTheme="majorEastAsia" w:cstheme="majorEastAsia"/>
          <w:b/>
          <w:bCs/>
          <w:color w:val="333333"/>
          <w:kern w:val="0"/>
          <w:sz w:val="44"/>
          <w:szCs w:val="44"/>
        </w:rPr>
      </w:pPr>
      <w:bookmarkStart w:id="0" w:name="_GoBack"/>
      <w:bookmarkEnd w:id="0"/>
      <w:r>
        <w:rPr>
          <w:rFonts w:hint="eastAsia" w:asciiTheme="majorEastAsia" w:hAnsiTheme="majorEastAsia" w:eastAsiaTheme="majorEastAsia" w:cstheme="majorEastAsia"/>
          <w:b/>
          <w:bCs/>
          <w:color w:val="333333"/>
          <w:kern w:val="0"/>
          <w:sz w:val="44"/>
          <w:szCs w:val="44"/>
        </w:rPr>
        <w:t>《国务院关于批转发展改革委等部门法人和其他组织统一社会信用代码制度建设</w:t>
      </w:r>
    </w:p>
    <w:p>
      <w:pPr>
        <w:widowControl/>
        <w:spacing w:line="560" w:lineRule="exact"/>
        <w:jc w:val="center"/>
        <w:rPr>
          <w:rFonts w:hint="eastAsia" w:asciiTheme="majorEastAsia" w:hAnsiTheme="majorEastAsia" w:eastAsiaTheme="majorEastAsia" w:cstheme="majorEastAsia"/>
          <w:b/>
          <w:bCs/>
          <w:color w:val="333333"/>
          <w:kern w:val="0"/>
          <w:sz w:val="44"/>
          <w:szCs w:val="44"/>
        </w:rPr>
      </w:pPr>
      <w:r>
        <w:rPr>
          <w:rFonts w:hint="eastAsia" w:asciiTheme="majorEastAsia" w:hAnsiTheme="majorEastAsia" w:eastAsiaTheme="majorEastAsia" w:cstheme="majorEastAsia"/>
          <w:b/>
          <w:bCs/>
          <w:color w:val="333333"/>
          <w:kern w:val="0"/>
          <w:sz w:val="44"/>
          <w:szCs w:val="44"/>
        </w:rPr>
        <w:t>总体方案的通知国发》</w:t>
      </w:r>
    </w:p>
    <w:p>
      <w:pPr>
        <w:widowControl/>
        <w:spacing w:line="560" w:lineRule="exact"/>
        <w:jc w:val="center"/>
        <w:rPr>
          <w:rFonts w:hint="eastAsia" w:asciiTheme="majorEastAsia" w:hAnsiTheme="majorEastAsia" w:eastAsiaTheme="majorEastAsia" w:cstheme="majorEastAsia"/>
          <w:color w:val="333333"/>
          <w:kern w:val="0"/>
          <w:sz w:val="30"/>
          <w:szCs w:val="30"/>
        </w:rPr>
      </w:pPr>
      <w:r>
        <w:rPr>
          <w:rFonts w:hint="eastAsia" w:asciiTheme="majorEastAsia" w:hAnsiTheme="majorEastAsia" w:eastAsiaTheme="majorEastAsia" w:cstheme="majorEastAsia"/>
          <w:b/>
          <w:bCs/>
          <w:color w:val="333333"/>
          <w:kern w:val="0"/>
          <w:sz w:val="30"/>
          <w:szCs w:val="30"/>
        </w:rPr>
        <w:t>（</w:t>
      </w:r>
      <w:r>
        <w:rPr>
          <w:rFonts w:hint="eastAsia" w:asciiTheme="majorEastAsia" w:hAnsiTheme="majorEastAsia" w:eastAsiaTheme="majorEastAsia" w:cstheme="majorEastAsia"/>
          <w:b/>
          <w:bCs/>
          <w:color w:val="333333"/>
          <w:kern w:val="0"/>
          <w:sz w:val="30"/>
          <w:szCs w:val="30"/>
          <w:lang w:eastAsia="zh-CN"/>
        </w:rPr>
        <w:t>国发</w:t>
      </w:r>
      <w:r>
        <w:rPr>
          <w:rFonts w:hint="eastAsia" w:asciiTheme="majorEastAsia" w:hAnsiTheme="majorEastAsia" w:eastAsiaTheme="majorEastAsia" w:cstheme="majorEastAsia"/>
          <w:b/>
          <w:bCs/>
          <w:color w:val="333333"/>
          <w:kern w:val="0"/>
          <w:sz w:val="30"/>
          <w:szCs w:val="30"/>
        </w:rPr>
        <w:t>〔2015〕33号）</w:t>
      </w:r>
    </w:p>
    <w:p>
      <w:pPr>
        <w:widowControl/>
        <w:spacing w:line="560" w:lineRule="exact"/>
        <w:jc w:val="center"/>
        <w:rPr>
          <w:rFonts w:hint="eastAsia" w:ascii="方正仿宋简体" w:hAnsi="宋体" w:eastAsia="方正仿宋简体" w:cs="宋体"/>
          <w:color w:val="333333"/>
          <w:kern w:val="0"/>
          <w:sz w:val="32"/>
          <w:szCs w:val="32"/>
        </w:rPr>
      </w:pPr>
    </w:p>
    <w:p>
      <w:pPr>
        <w:widowControl/>
        <w:spacing w:line="560" w:lineRule="exact"/>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各省、自治区、直辖市人民政府，国务院各部委、各直属机构：</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国务院同意发展改革委、中央编办、民政部、财政部、人民银行、税务总局、工商总局、质检总局制定的《法人和其他组织统一社会信用代码制度建设总体方案》，现转发给你们，请认真贯彻执行。</w:t>
      </w:r>
    </w:p>
    <w:p>
      <w:pPr>
        <w:widowControl/>
        <w:spacing w:line="560" w:lineRule="exact"/>
        <w:ind w:left="7200" w:hanging="7200" w:hangingChars="2250"/>
        <w:jc w:val="center"/>
        <w:rPr>
          <w:rFonts w:hint="eastAsia" w:ascii="方正仿宋简体" w:hAnsi="宋体" w:eastAsia="方正仿宋简体" w:cs="宋体"/>
          <w:color w:val="333333"/>
          <w:kern w:val="0"/>
          <w:sz w:val="32"/>
          <w:szCs w:val="32"/>
          <w:lang w:val="en-US" w:eastAsia="zh-CN"/>
        </w:rPr>
      </w:pPr>
      <w:r>
        <w:rPr>
          <w:rFonts w:hint="eastAsia" w:ascii="方正仿宋简体" w:hAnsi="宋体" w:eastAsia="方正仿宋简体" w:cs="宋体"/>
          <w:color w:val="333333"/>
          <w:kern w:val="0"/>
          <w:sz w:val="32"/>
          <w:szCs w:val="32"/>
          <w:lang w:val="en-US" w:eastAsia="zh-CN"/>
        </w:rPr>
        <w:t xml:space="preserve">                                  </w:t>
      </w:r>
    </w:p>
    <w:p>
      <w:pPr>
        <w:widowControl/>
        <w:spacing w:line="560" w:lineRule="exact"/>
        <w:ind w:left="7200" w:hanging="7200" w:hangingChars="2250"/>
        <w:jc w:val="center"/>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lang w:val="en-US" w:eastAsia="zh-CN"/>
        </w:rPr>
        <w:t xml:space="preserve">                                 </w:t>
      </w:r>
      <w:r>
        <w:rPr>
          <w:rFonts w:hint="eastAsia" w:ascii="方正仿宋简体" w:hAnsi="宋体" w:eastAsia="方正仿宋简体" w:cs="宋体"/>
          <w:color w:val="333333"/>
          <w:kern w:val="0"/>
          <w:sz w:val="32"/>
          <w:szCs w:val="32"/>
        </w:rPr>
        <w:t>国务院</w:t>
      </w:r>
    </w:p>
    <w:p>
      <w:pPr>
        <w:widowControl/>
        <w:spacing w:line="560" w:lineRule="exact"/>
        <w:ind w:left="105" w:leftChars="50" w:firstLine="5440" w:firstLineChars="1700"/>
        <w:jc w:val="center"/>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2015年6月11日</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（此件公开发布）</w:t>
      </w:r>
    </w:p>
    <w:p>
      <w:pPr>
        <w:widowControl/>
        <w:spacing w:after="150" w:line="560" w:lineRule="exact"/>
        <w:jc w:val="righ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ascii="宋体" w:hAnsi="宋体" w:eastAsia="宋体" w:cs="宋体"/>
          <w:b/>
          <w:bCs/>
          <w:color w:val="333333"/>
          <w:kern w:val="0"/>
          <w:sz w:val="36"/>
        </w:rPr>
      </w:pPr>
    </w:p>
    <w:p>
      <w:pPr>
        <w:widowControl/>
        <w:spacing w:line="560" w:lineRule="exact"/>
        <w:jc w:val="center"/>
        <w:rPr>
          <w:rFonts w:hint="eastAsia" w:asciiTheme="majorEastAsia" w:hAnsiTheme="majorEastAsia" w:eastAsiaTheme="majorEastAsia" w:cstheme="majorEastAsia"/>
          <w:b w:val="0"/>
          <w:bCs w:val="0"/>
          <w:color w:val="333333"/>
          <w:kern w:val="0"/>
          <w:sz w:val="44"/>
          <w:szCs w:val="44"/>
        </w:rPr>
      </w:pPr>
      <w:r>
        <w:rPr>
          <w:rFonts w:hint="eastAsia" w:asciiTheme="majorEastAsia" w:hAnsiTheme="majorEastAsia" w:eastAsiaTheme="majorEastAsia" w:cstheme="majorEastAsia"/>
          <w:b w:val="0"/>
          <w:bCs w:val="0"/>
          <w:color w:val="333333"/>
          <w:kern w:val="0"/>
          <w:sz w:val="44"/>
          <w:szCs w:val="44"/>
        </w:rPr>
        <w:t>法人和其他组织统一社会信用代码</w:t>
      </w:r>
    </w:p>
    <w:p>
      <w:pPr>
        <w:widowControl/>
        <w:spacing w:line="560" w:lineRule="exact"/>
        <w:jc w:val="center"/>
        <w:rPr>
          <w:rFonts w:ascii="方正仿宋简体" w:hAnsi="宋体" w:eastAsia="方正仿宋简体" w:cs="宋体"/>
          <w:color w:val="333333"/>
          <w:kern w:val="0"/>
          <w:sz w:val="32"/>
          <w:szCs w:val="32"/>
        </w:rPr>
      </w:pPr>
      <w:r>
        <w:rPr>
          <w:rFonts w:hint="eastAsia" w:asciiTheme="majorEastAsia" w:hAnsiTheme="majorEastAsia" w:eastAsiaTheme="majorEastAsia" w:cstheme="majorEastAsia"/>
          <w:b w:val="0"/>
          <w:bCs w:val="0"/>
          <w:color w:val="333333"/>
          <w:kern w:val="0"/>
          <w:sz w:val="44"/>
          <w:szCs w:val="44"/>
        </w:rPr>
        <w:t>制度建设总体方案</w:t>
      </w:r>
      <w:r>
        <w:rPr>
          <w:rFonts w:hint="eastAsia" w:asciiTheme="majorEastAsia" w:hAnsiTheme="majorEastAsia" w:eastAsiaTheme="majorEastAsia" w:cstheme="majorEastAsia"/>
          <w:b w:val="0"/>
          <w:bCs w:val="0"/>
          <w:color w:val="333333"/>
          <w:kern w:val="0"/>
          <w:sz w:val="44"/>
          <w:szCs w:val="44"/>
        </w:rPr>
        <w:br w:type="textWrapping"/>
      </w:r>
      <w:r>
        <w:rPr>
          <w:rFonts w:hint="eastAsia" w:ascii="方正仿宋简体" w:hAnsi="宋体" w:eastAsia="方正仿宋简体" w:cs="宋体"/>
          <w:color w:val="333333"/>
          <w:kern w:val="0"/>
          <w:sz w:val="32"/>
          <w:szCs w:val="32"/>
        </w:rPr>
        <w:t>发展改革委　中央编办　民政部　财政部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人民银行　税务总局　工商总局　质检总局</w:t>
      </w:r>
    </w:p>
    <w:p>
      <w:pPr>
        <w:widowControl/>
        <w:spacing w:line="560" w:lineRule="exact"/>
        <w:jc w:val="left"/>
        <w:rPr>
          <w:rFonts w:hint="eastAsia"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　　</w:t>
      </w:r>
    </w:p>
    <w:p>
      <w:pPr>
        <w:widowControl/>
        <w:spacing w:line="560" w:lineRule="exact"/>
        <w:ind w:firstLine="320" w:firstLineChars="100"/>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color w:val="333333"/>
          <w:kern w:val="0"/>
          <w:sz w:val="32"/>
          <w:szCs w:val="32"/>
        </w:rPr>
        <w:t>　</w:t>
      </w:r>
      <w:r>
        <w:rPr>
          <w:rFonts w:hint="eastAsia" w:ascii="方正黑体简体" w:hAnsi="宋体" w:eastAsia="方正黑体简体" w:cs="宋体"/>
          <w:b/>
          <w:bCs/>
          <w:color w:val="333333"/>
          <w:kern w:val="0"/>
          <w:sz w:val="32"/>
          <w:szCs w:val="32"/>
        </w:rPr>
        <w:t>一、基本情况</w:t>
      </w:r>
      <w:r>
        <w:rPr>
          <w:rFonts w:hint="eastAsia" w:ascii="方正黑体简体" w:hAnsi="宋体" w:eastAsia="方正黑体简体" w:cs="宋体"/>
          <w:b/>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（一）现有主要机构代码构成。</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1.组织机构代码。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组织机构代码管理部门编制的组织机构代码共9位，包含本体代码（8位）和校验码（1位）两个部分。</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2.工商注册号。</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工商部门编制的工商注册号共15位，包含首次登记管理机关代码（6位）、顺序码（8位）和校验码（1位）三个部分。</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3.事业单位证书号。</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机构编制部门编制的事业单位证书号共12位，包含举办单位类别（1位）、核准登记的机关（6位）、同一机关辖内不同事业单位（5位）三个部分。</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4.社会组织登记证号。</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民政部门编制的社会组织登记证号是汉字和阿拉伯数字的组合。</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5.机构信用代码。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人民银行编制的机构信用代码共18位，包含准入登记管理机构类别（1位）、机构类别（2位）、行政区划（6位）、结算账户开户许可证核准号标识位（8位）、校验码（1位）五个部分。</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6.纳税人识别号。</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税务部门对已申领组织机构代码的纳税人编制的纳税人识别号共15位，包含行政区划码（6位）和组织机构代码（9位）两个部分。</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（二）现有机构代码存在的主要问题。</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
          <w:bCs/>
          <w:color w:val="333333"/>
          <w:kern w:val="0"/>
          <w:sz w:val="32"/>
          <w:szCs w:val="32"/>
        </w:rPr>
        <w:t>二、统一代码设计方案</w:t>
      </w:r>
      <w:r>
        <w:rPr>
          <w:rFonts w:hint="eastAsia" w:ascii="方正黑体简体" w:hAnsi="宋体" w:eastAsia="方正黑体简体" w:cs="宋体"/>
          <w:b/>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（一）基本原则。</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1.兼容并蓄，降低成本。以当前基础较好、应用广泛的组织机构代码为基础，最大限度满足各部门管理需求，降低另建及改造成本，减轻社会负担。</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2.统一标准，分步实施。制定统一代码制度建设相关标准，确定代码位数和构成。设立过渡期，实现现有各类机构代码逐步向统一代码过渡。</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3.立足当前，着眼长远。以满足需求、便利管理为导向，制定适合当前各部门兼容使用的编码规则，为将来各部门之间信息共享和业务协同打好基础。</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（二）统一代码构成。</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第一部分（第1位）：登记管理部门代码，使用阿拉伯数字或英文字母表示。例如，机构编制、民政、工商三个登记管理部门分别使用1、2、3表示，其他登记管理部门可使用相应阿拉伯数字或英文字母表示。</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第二部分（第2位）：机构类别代码，使用阿拉伯数字或英文字母表示。登记管理部门根据管理职能，确定在本部门登记的机构类别编码。例如，机构编制部门可用1表示机关单位，2表示事业单位，3表示由中央编办直接管理机构编制的群众团体；民政部门可用1表示社会团体，2表示民办非企业单位，3表示基金会；工商部门可用1表示企业，2表示个体工商户，3表示农民专业合作社。</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第四部分（第9—17位）：主体标识码（组织机构代码），使用阿拉伯数字或英文字母表示。（参照《全国组织机构代码编制规则》〔GB 11714—1997〕）</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第五部分（第18位）：校验码，使用阿拉伯数字或英文字母表示。</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（三）统一代码的主要特性。</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1.唯一性。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2.兼容性。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3.稳定性。统一代码一经赋予，在其主体存续期间，主体信息即使发生任何变化，统一代码均保持不变。例如，法人和其他组织迁徙或变更法定代表人、经营范围等，均不改变其统一代码。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4.全覆盖。统一代码制度实施后，对新设立的法人和其他组织，在注册登记时发放统一代码；对已设立的法人和其他组织，通过适当方式换发统一代码，实现对法人和其他组织全覆盖。</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
          <w:bCs/>
          <w:color w:val="333333"/>
          <w:kern w:val="0"/>
          <w:sz w:val="32"/>
          <w:szCs w:val="32"/>
        </w:rPr>
        <w:t>三、统一代码制度改革方案</w:t>
      </w:r>
      <w:r>
        <w:rPr>
          <w:rFonts w:hint="eastAsia" w:ascii="方正黑体简体" w:hAnsi="宋体" w:eastAsia="方正黑体简体" w:cs="宋体"/>
          <w:b/>
          <w:bCs/>
          <w:color w:val="333333"/>
          <w:kern w:val="0"/>
          <w:sz w:val="32"/>
          <w:szCs w:val="32"/>
        </w:rPr>
        <w:br w:type="textWrapping"/>
      </w:r>
      <w:r>
        <w:rPr>
          <w:rFonts w:hint="eastAsia" w:ascii="方正仿宋简体" w:hAnsi="宋体" w:eastAsia="方正仿宋简体" w:cs="宋体"/>
          <w:color w:val="333333"/>
          <w:kern w:val="0"/>
          <w:sz w:val="32"/>
          <w:szCs w:val="32"/>
        </w:rPr>
        <w:t>　　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（一）明晰权责，加强协同。</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（二）源头赋码，全面覆盖。</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（三）预赋码段，回传信息。</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统一代码中的9位主体标识码由组织机构代码管理部门先按5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（四）平稳过渡，有序推进。</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
          <w:bCs/>
          <w:color w:val="333333"/>
          <w:kern w:val="0"/>
          <w:sz w:val="32"/>
          <w:szCs w:val="32"/>
        </w:rPr>
        <w:t>四、组织实施</w:t>
      </w:r>
      <w:r>
        <w:rPr>
          <w:rFonts w:hint="eastAsia" w:ascii="方正黑体简体" w:hAnsi="宋体" w:eastAsia="方正黑体简体" w:cs="宋体"/>
          <w:b/>
          <w:bCs/>
          <w:color w:val="333333"/>
          <w:kern w:val="0"/>
          <w:sz w:val="32"/>
          <w:szCs w:val="32"/>
        </w:rPr>
        <w:br w:type="textWrapping"/>
      </w:r>
      <w:r>
        <w:rPr>
          <w:rFonts w:hint="eastAsia" w:ascii="方正仿宋简体" w:hAnsi="宋体" w:eastAsia="方正仿宋简体" w:cs="宋体"/>
          <w:color w:val="333333"/>
          <w:kern w:val="0"/>
          <w:sz w:val="32"/>
          <w:szCs w:val="32"/>
        </w:rPr>
        <w:t>　　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widowControl/>
        <w:spacing w:after="150" w:line="560" w:lineRule="exact"/>
        <w:ind w:firstLine="630"/>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附件：法人和其他组织统一社会信用代码构成</w:t>
      </w: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ind w:firstLine="630"/>
        <w:jc w:val="left"/>
        <w:rPr>
          <w:rFonts w:ascii="方正仿宋简体" w:hAnsi="宋体" w:eastAsia="方正仿宋简体" w:cs="宋体"/>
          <w:color w:val="333333"/>
          <w:kern w:val="0"/>
          <w:sz w:val="32"/>
          <w:szCs w:val="32"/>
        </w:rPr>
      </w:pPr>
    </w:p>
    <w:p>
      <w:pPr>
        <w:widowControl/>
        <w:spacing w:after="150" w:line="560" w:lineRule="exact"/>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p>
      <w:pPr>
        <w:widowControl/>
        <w:spacing w:line="560" w:lineRule="exact"/>
        <w:jc w:val="left"/>
        <w:rPr>
          <w:rFonts w:ascii="方正黑体简体" w:hAnsi="宋体" w:eastAsia="方正黑体简体" w:cs="宋体"/>
          <w:b/>
          <w:bCs/>
          <w:color w:val="333333"/>
          <w:kern w:val="0"/>
          <w:sz w:val="32"/>
          <w:szCs w:val="32"/>
        </w:rPr>
      </w:pPr>
      <w:r>
        <w:rPr>
          <w:rFonts w:hint="eastAsia" w:ascii="方正黑体简体" w:hAnsi="宋体" w:eastAsia="方正黑体简体" w:cs="宋体"/>
          <w:b/>
          <w:bCs/>
          <w:color w:val="333333"/>
          <w:kern w:val="0"/>
          <w:sz w:val="32"/>
          <w:szCs w:val="32"/>
        </w:rPr>
        <w:t>附件</w:t>
      </w:r>
    </w:p>
    <w:p>
      <w:pPr>
        <w:widowControl/>
        <w:spacing w:line="560" w:lineRule="exact"/>
        <w:jc w:val="left"/>
        <w:rPr>
          <w:rFonts w:ascii="方正黑体简体" w:hAnsi="宋体" w:eastAsia="方正黑体简体" w:cs="宋体"/>
          <w:color w:val="333333"/>
          <w:kern w:val="0"/>
          <w:sz w:val="32"/>
          <w:szCs w:val="32"/>
        </w:rPr>
      </w:pPr>
    </w:p>
    <w:p>
      <w:pPr>
        <w:widowControl/>
        <w:spacing w:line="5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b/>
          <w:bCs/>
          <w:color w:val="333333"/>
          <w:kern w:val="0"/>
          <w:sz w:val="44"/>
          <w:szCs w:val="44"/>
        </w:rPr>
        <w:t>法人和其他组织统一社会信用代码构成</w:t>
      </w:r>
    </w:p>
    <w:tbl>
      <w:tblPr>
        <w:tblStyle w:val="5"/>
        <w:tblW w:w="9450" w:type="dxa"/>
        <w:jc w:val="center"/>
        <w:tblBorders>
          <w:top w:val="single" w:color="0A0A0A" w:sz="4" w:space="0"/>
          <w:left w:val="single" w:color="0A0A0A" w:sz="4" w:space="0"/>
          <w:bottom w:val="single" w:color="0A0A0A" w:sz="4" w:space="0"/>
          <w:right w:val="single" w:color="0A0A0A"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93"/>
        <w:gridCol w:w="290"/>
        <w:gridCol w:w="290"/>
        <w:gridCol w:w="585"/>
        <w:gridCol w:w="585"/>
        <w:gridCol w:w="585"/>
        <w:gridCol w:w="585"/>
        <w:gridCol w:w="585"/>
        <w:gridCol w:w="585"/>
        <w:gridCol w:w="315"/>
        <w:gridCol w:w="459"/>
        <w:gridCol w:w="457"/>
        <w:gridCol w:w="457"/>
        <w:gridCol w:w="459"/>
        <w:gridCol w:w="457"/>
        <w:gridCol w:w="457"/>
        <w:gridCol w:w="459"/>
        <w:gridCol w:w="457"/>
        <w:gridCol w:w="290"/>
      </w:tblGrid>
      <w:tr>
        <w:tblPrEx>
          <w:tblBorders>
            <w:top w:val="single" w:color="0A0A0A" w:sz="4" w:space="0"/>
            <w:left w:val="single" w:color="0A0A0A" w:sz="4" w:space="0"/>
            <w:bottom w:val="single" w:color="0A0A0A" w:sz="4" w:space="0"/>
            <w:right w:val="single" w:color="0A0A0A"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代码序号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2</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3</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4</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5</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6</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7</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8</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9</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11</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12</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13</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14</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15</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16</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17</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18</w:t>
            </w:r>
          </w:p>
        </w:tc>
      </w:tr>
      <w:tr>
        <w:tblPrEx>
          <w:tblBorders>
            <w:top w:val="single" w:color="0A0A0A" w:sz="4" w:space="0"/>
            <w:left w:val="single" w:color="0A0A0A" w:sz="4" w:space="0"/>
            <w:bottom w:val="single" w:color="0A0A0A" w:sz="4" w:space="0"/>
            <w:right w:val="single" w:color="0A0A0A"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代码</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X</w:t>
            </w:r>
          </w:p>
        </w:tc>
      </w:tr>
      <w:tr>
        <w:tblPrEx>
          <w:tblBorders>
            <w:top w:val="single" w:color="0A0A0A" w:sz="4" w:space="0"/>
            <w:left w:val="single" w:color="0A0A0A" w:sz="4" w:space="0"/>
            <w:bottom w:val="single" w:color="0A0A0A" w:sz="4" w:space="0"/>
            <w:right w:val="single" w:color="0A0A0A"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说明</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登</w:t>
            </w:r>
            <w:r>
              <w:rPr>
                <w:rFonts w:ascii="宋体" w:hAnsi="宋体" w:eastAsia="宋体" w:cs="宋体"/>
                <w:kern w:val="0"/>
                <w:sz w:val="20"/>
                <w:szCs w:val="20"/>
              </w:rPr>
              <w:br w:type="textWrapping"/>
            </w:r>
            <w:r>
              <w:rPr>
                <w:rFonts w:ascii="宋体" w:hAnsi="宋体" w:eastAsia="宋体" w:cs="宋体"/>
                <w:kern w:val="0"/>
                <w:sz w:val="20"/>
                <w:szCs w:val="20"/>
              </w:rPr>
              <w:t>记</w:t>
            </w:r>
            <w:r>
              <w:rPr>
                <w:rFonts w:ascii="宋体" w:hAnsi="宋体" w:eastAsia="宋体" w:cs="宋体"/>
                <w:kern w:val="0"/>
                <w:sz w:val="20"/>
                <w:szCs w:val="20"/>
              </w:rPr>
              <w:br w:type="textWrapping"/>
            </w:r>
            <w:r>
              <w:rPr>
                <w:rFonts w:ascii="宋体" w:hAnsi="宋体" w:eastAsia="宋体" w:cs="宋体"/>
                <w:kern w:val="0"/>
                <w:sz w:val="20"/>
                <w:szCs w:val="20"/>
              </w:rPr>
              <w:t>管</w:t>
            </w:r>
            <w:r>
              <w:rPr>
                <w:rFonts w:ascii="宋体" w:hAnsi="宋体" w:eastAsia="宋体" w:cs="宋体"/>
                <w:kern w:val="0"/>
                <w:sz w:val="20"/>
                <w:szCs w:val="20"/>
              </w:rPr>
              <w:br w:type="textWrapping"/>
            </w:r>
            <w:r>
              <w:rPr>
                <w:rFonts w:ascii="宋体" w:hAnsi="宋体" w:eastAsia="宋体" w:cs="宋体"/>
                <w:kern w:val="0"/>
                <w:sz w:val="20"/>
                <w:szCs w:val="20"/>
              </w:rPr>
              <w:t>理</w:t>
            </w:r>
            <w:r>
              <w:rPr>
                <w:rFonts w:ascii="宋体" w:hAnsi="宋体" w:eastAsia="宋体" w:cs="宋体"/>
                <w:kern w:val="0"/>
                <w:sz w:val="20"/>
                <w:szCs w:val="20"/>
              </w:rPr>
              <w:br w:type="textWrapping"/>
            </w:r>
            <w:r>
              <w:rPr>
                <w:rFonts w:ascii="宋体" w:hAnsi="宋体" w:eastAsia="宋体" w:cs="宋体"/>
                <w:kern w:val="0"/>
                <w:sz w:val="20"/>
                <w:szCs w:val="20"/>
              </w:rPr>
              <w:t>部</w:t>
            </w:r>
            <w:r>
              <w:rPr>
                <w:rFonts w:ascii="宋体" w:hAnsi="宋体" w:eastAsia="宋体" w:cs="宋体"/>
                <w:kern w:val="0"/>
                <w:sz w:val="20"/>
                <w:szCs w:val="20"/>
              </w:rPr>
              <w:br w:type="textWrapping"/>
            </w:r>
            <w:r>
              <w:rPr>
                <w:rFonts w:ascii="宋体" w:hAnsi="宋体" w:eastAsia="宋体" w:cs="宋体"/>
                <w:kern w:val="0"/>
                <w:sz w:val="20"/>
                <w:szCs w:val="20"/>
              </w:rPr>
              <w:t>门</w:t>
            </w:r>
            <w:r>
              <w:rPr>
                <w:rFonts w:ascii="宋体" w:hAnsi="宋体" w:eastAsia="宋体" w:cs="宋体"/>
                <w:kern w:val="0"/>
                <w:sz w:val="20"/>
                <w:szCs w:val="20"/>
              </w:rPr>
              <w:br w:type="textWrapping"/>
            </w:r>
            <w:r>
              <w:rPr>
                <w:rFonts w:ascii="宋体" w:hAnsi="宋体" w:eastAsia="宋体" w:cs="宋体"/>
                <w:kern w:val="0"/>
                <w:sz w:val="20"/>
                <w:szCs w:val="20"/>
              </w:rPr>
              <w:t>代</w:t>
            </w:r>
            <w:r>
              <w:rPr>
                <w:rFonts w:ascii="宋体" w:hAnsi="宋体" w:eastAsia="宋体" w:cs="宋体"/>
                <w:kern w:val="0"/>
                <w:sz w:val="20"/>
                <w:szCs w:val="20"/>
              </w:rPr>
              <w:br w:type="textWrapping"/>
            </w:r>
            <w:r>
              <w:rPr>
                <w:rFonts w:ascii="宋体" w:hAnsi="宋体" w:eastAsia="宋体" w:cs="宋体"/>
                <w:kern w:val="0"/>
                <w:sz w:val="20"/>
                <w:szCs w:val="20"/>
              </w:rPr>
              <w:t>码</w:t>
            </w:r>
            <w:r>
              <w:rPr>
                <w:rFonts w:ascii="宋体" w:hAnsi="宋体" w:eastAsia="宋体" w:cs="宋体"/>
                <w:kern w:val="0"/>
                <w:sz w:val="20"/>
                <w:szCs w:val="20"/>
              </w:rPr>
              <w:br w:type="textWrapping"/>
            </w:r>
            <w:r>
              <w:rPr>
                <w:rFonts w:ascii="宋体" w:hAnsi="宋体" w:eastAsia="宋体" w:cs="宋体"/>
                <w:kern w:val="0"/>
                <w:sz w:val="20"/>
                <w:szCs w:val="20"/>
              </w:rPr>
              <w:t>1</w:t>
            </w:r>
            <w:r>
              <w:rPr>
                <w:rFonts w:ascii="宋体" w:hAnsi="宋体" w:eastAsia="宋体" w:cs="宋体"/>
                <w:kern w:val="0"/>
                <w:sz w:val="20"/>
                <w:szCs w:val="20"/>
              </w:rPr>
              <w:br w:type="textWrapping"/>
            </w:r>
            <w:r>
              <w:rPr>
                <w:rFonts w:ascii="宋体" w:hAnsi="宋体" w:eastAsia="宋体" w:cs="宋体"/>
                <w:kern w:val="0"/>
                <w:sz w:val="20"/>
                <w:szCs w:val="20"/>
              </w:rPr>
              <w:t>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机</w:t>
            </w:r>
            <w:r>
              <w:rPr>
                <w:rFonts w:ascii="宋体" w:hAnsi="宋体" w:eastAsia="宋体" w:cs="宋体"/>
                <w:kern w:val="0"/>
                <w:sz w:val="20"/>
                <w:szCs w:val="20"/>
              </w:rPr>
              <w:br w:type="textWrapping"/>
            </w:r>
            <w:r>
              <w:rPr>
                <w:rFonts w:ascii="宋体" w:hAnsi="宋体" w:eastAsia="宋体" w:cs="宋体"/>
                <w:kern w:val="0"/>
                <w:sz w:val="20"/>
                <w:szCs w:val="20"/>
              </w:rPr>
              <w:t>构</w:t>
            </w:r>
            <w:r>
              <w:rPr>
                <w:rFonts w:ascii="宋体" w:hAnsi="宋体" w:eastAsia="宋体" w:cs="宋体"/>
                <w:kern w:val="0"/>
                <w:sz w:val="20"/>
                <w:szCs w:val="20"/>
              </w:rPr>
              <w:br w:type="textWrapping"/>
            </w:r>
            <w:r>
              <w:rPr>
                <w:rFonts w:ascii="宋体" w:hAnsi="宋体" w:eastAsia="宋体" w:cs="宋体"/>
                <w:kern w:val="0"/>
                <w:sz w:val="20"/>
                <w:szCs w:val="20"/>
              </w:rPr>
              <w:t>类</w:t>
            </w:r>
            <w:r>
              <w:rPr>
                <w:rFonts w:ascii="宋体" w:hAnsi="宋体" w:eastAsia="宋体" w:cs="宋体"/>
                <w:kern w:val="0"/>
                <w:sz w:val="20"/>
                <w:szCs w:val="20"/>
              </w:rPr>
              <w:br w:type="textWrapping"/>
            </w:r>
            <w:r>
              <w:rPr>
                <w:rFonts w:ascii="宋体" w:hAnsi="宋体" w:eastAsia="宋体" w:cs="宋体"/>
                <w:kern w:val="0"/>
                <w:sz w:val="20"/>
                <w:szCs w:val="20"/>
              </w:rPr>
              <w:t>别</w:t>
            </w:r>
            <w:r>
              <w:rPr>
                <w:rFonts w:ascii="宋体" w:hAnsi="宋体" w:eastAsia="宋体" w:cs="宋体"/>
                <w:kern w:val="0"/>
                <w:sz w:val="20"/>
                <w:szCs w:val="20"/>
              </w:rPr>
              <w:br w:type="textWrapping"/>
            </w:r>
            <w:r>
              <w:rPr>
                <w:rFonts w:ascii="宋体" w:hAnsi="宋体" w:eastAsia="宋体" w:cs="宋体"/>
                <w:kern w:val="0"/>
                <w:sz w:val="20"/>
                <w:szCs w:val="20"/>
              </w:rPr>
              <w:t>代</w:t>
            </w:r>
            <w:r>
              <w:rPr>
                <w:rFonts w:ascii="宋体" w:hAnsi="宋体" w:eastAsia="宋体" w:cs="宋体"/>
                <w:kern w:val="0"/>
                <w:sz w:val="20"/>
                <w:szCs w:val="20"/>
              </w:rPr>
              <w:br w:type="textWrapping"/>
            </w:r>
            <w:r>
              <w:rPr>
                <w:rFonts w:ascii="宋体" w:hAnsi="宋体" w:eastAsia="宋体" w:cs="宋体"/>
                <w:kern w:val="0"/>
                <w:sz w:val="20"/>
                <w:szCs w:val="20"/>
              </w:rPr>
              <w:t>码</w:t>
            </w:r>
            <w:r>
              <w:rPr>
                <w:rFonts w:ascii="宋体" w:hAnsi="宋体" w:eastAsia="宋体" w:cs="宋体"/>
                <w:kern w:val="0"/>
                <w:sz w:val="20"/>
                <w:szCs w:val="20"/>
              </w:rPr>
              <w:br w:type="textWrapping"/>
            </w:r>
            <w:r>
              <w:rPr>
                <w:rFonts w:ascii="宋体" w:hAnsi="宋体" w:eastAsia="宋体" w:cs="宋体"/>
                <w:kern w:val="0"/>
                <w:sz w:val="20"/>
                <w:szCs w:val="20"/>
              </w:rPr>
              <w:t>1</w:t>
            </w:r>
            <w:r>
              <w:rPr>
                <w:rFonts w:ascii="宋体" w:hAnsi="宋体" w:eastAsia="宋体" w:cs="宋体"/>
                <w:kern w:val="0"/>
                <w:sz w:val="20"/>
                <w:szCs w:val="20"/>
              </w:rPr>
              <w:br w:type="textWrapping"/>
            </w:r>
            <w:r>
              <w:rPr>
                <w:rFonts w:ascii="宋体" w:hAnsi="宋体" w:eastAsia="宋体" w:cs="宋体"/>
                <w:kern w:val="0"/>
                <w:sz w:val="20"/>
                <w:szCs w:val="20"/>
              </w:rPr>
              <w:t>位</w:t>
            </w:r>
          </w:p>
        </w:tc>
        <w:tc>
          <w:tcPr>
            <w:tcW w:w="0" w:type="auto"/>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登记管理机关行政区划码6位</w:t>
            </w:r>
          </w:p>
        </w:tc>
        <w:tc>
          <w:tcPr>
            <w:tcW w:w="0" w:type="auto"/>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主体标识码（组织机构代码）9位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ascii="宋体" w:hAnsi="宋体" w:eastAsia="宋体" w:cs="宋体"/>
                <w:kern w:val="0"/>
                <w:sz w:val="24"/>
                <w:szCs w:val="24"/>
              </w:rPr>
            </w:pPr>
            <w:r>
              <w:rPr>
                <w:rFonts w:ascii="宋体" w:hAnsi="宋体" w:eastAsia="宋体" w:cs="宋体"/>
                <w:kern w:val="0"/>
                <w:sz w:val="20"/>
                <w:szCs w:val="20"/>
              </w:rPr>
              <w:t>校</w:t>
            </w:r>
            <w:r>
              <w:rPr>
                <w:rFonts w:ascii="宋体" w:hAnsi="宋体" w:eastAsia="宋体" w:cs="宋体"/>
                <w:kern w:val="0"/>
                <w:sz w:val="20"/>
                <w:szCs w:val="20"/>
              </w:rPr>
              <w:br w:type="textWrapping"/>
            </w:r>
            <w:r>
              <w:rPr>
                <w:rFonts w:ascii="宋体" w:hAnsi="宋体" w:eastAsia="宋体" w:cs="宋体"/>
                <w:kern w:val="0"/>
                <w:sz w:val="20"/>
                <w:szCs w:val="20"/>
              </w:rPr>
              <w:t>验</w:t>
            </w:r>
            <w:r>
              <w:rPr>
                <w:rFonts w:ascii="宋体" w:hAnsi="宋体" w:eastAsia="宋体" w:cs="宋体"/>
                <w:kern w:val="0"/>
                <w:sz w:val="20"/>
                <w:szCs w:val="20"/>
              </w:rPr>
              <w:br w:type="textWrapping"/>
            </w:r>
            <w:r>
              <w:rPr>
                <w:rFonts w:ascii="宋体" w:hAnsi="宋体" w:eastAsia="宋体" w:cs="宋体"/>
                <w:kern w:val="0"/>
                <w:sz w:val="20"/>
                <w:szCs w:val="20"/>
              </w:rPr>
              <w:t>码</w:t>
            </w:r>
            <w:r>
              <w:rPr>
                <w:rFonts w:ascii="宋体" w:hAnsi="宋体" w:eastAsia="宋体" w:cs="宋体"/>
                <w:kern w:val="0"/>
                <w:sz w:val="20"/>
                <w:szCs w:val="20"/>
              </w:rPr>
              <w:br w:type="textWrapping"/>
            </w:r>
            <w:r>
              <w:rPr>
                <w:rFonts w:ascii="宋体" w:hAnsi="宋体" w:eastAsia="宋体" w:cs="宋体"/>
                <w:kern w:val="0"/>
                <w:sz w:val="20"/>
                <w:szCs w:val="20"/>
              </w:rPr>
              <w:t>1</w:t>
            </w:r>
            <w:r>
              <w:rPr>
                <w:rFonts w:ascii="宋体" w:hAnsi="宋体" w:eastAsia="宋体" w:cs="宋体"/>
                <w:kern w:val="0"/>
                <w:sz w:val="20"/>
                <w:szCs w:val="20"/>
              </w:rPr>
              <w:br w:type="textWrapping"/>
            </w:r>
            <w:r>
              <w:rPr>
                <w:rFonts w:ascii="宋体" w:hAnsi="宋体" w:eastAsia="宋体" w:cs="宋体"/>
                <w:kern w:val="0"/>
                <w:sz w:val="20"/>
                <w:szCs w:val="20"/>
              </w:rPr>
              <w:t>位</w:t>
            </w:r>
          </w:p>
        </w:tc>
      </w:tr>
    </w:tbl>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7449"/>
    <w:rsid w:val="0016603A"/>
    <w:rsid w:val="001702B2"/>
    <w:rsid w:val="002362FA"/>
    <w:rsid w:val="002C7449"/>
    <w:rsid w:val="0076423C"/>
    <w:rsid w:val="008117D7"/>
    <w:rsid w:val="00875F69"/>
    <w:rsid w:val="00911034"/>
    <w:rsid w:val="009C2797"/>
    <w:rsid w:val="009C6D26"/>
    <w:rsid w:val="00A06451"/>
    <w:rsid w:val="00A30D60"/>
    <w:rsid w:val="00B96049"/>
    <w:rsid w:val="00C21CF2"/>
    <w:rsid w:val="00D478BF"/>
    <w:rsid w:val="00D668F9"/>
    <w:rsid w:val="00E037A5"/>
    <w:rsid w:val="2DE5537D"/>
    <w:rsid w:val="9FFDD40E"/>
    <w:rsid w:val="E6B8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693</Words>
  <Characters>3955</Characters>
  <Lines>32</Lines>
  <Paragraphs>9</Paragraphs>
  <TotalTime>24</TotalTime>
  <ScaleCrop>false</ScaleCrop>
  <LinksUpToDate>false</LinksUpToDate>
  <CharactersWithSpaces>4639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2020-08-12T16:00:00Z</dcterms:created>
  <dc:creator>Administrator</dc:creator>
  <cp:lastModifiedBy>kylin</cp:lastModifiedBy>
  <dcterms:modified xsi:type="dcterms:W3CDTF">2022-12-12T16:18:31Z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