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ind w:firstLine="0" w:firstLineChars="0"/>
        <w:jc w:val="center"/>
        <w:rPr>
          <w:rFonts w:eastAsia="方正小标宋简体"/>
          <w:b/>
          <w:bCs/>
          <w:sz w:val="44"/>
          <w:szCs w:val="44"/>
        </w:rPr>
      </w:pPr>
    </w:p>
    <w:p>
      <w:pPr>
        <w:pStyle w:val="27"/>
        <w:ind w:firstLine="0" w:firstLineChars="0"/>
        <w:jc w:val="center"/>
        <w:rPr>
          <w:rFonts w:eastAsia="方正小标宋简体"/>
          <w:b/>
          <w:bCs/>
          <w:sz w:val="44"/>
          <w:szCs w:val="44"/>
        </w:rPr>
      </w:pPr>
    </w:p>
    <w:p>
      <w:pPr>
        <w:pStyle w:val="27"/>
        <w:ind w:firstLine="0" w:firstLineChars="0"/>
        <w:jc w:val="center"/>
        <w:rPr>
          <w:rFonts w:eastAsia="方正小标宋简体"/>
          <w:b/>
          <w:bCs/>
          <w:sz w:val="44"/>
          <w:szCs w:val="44"/>
        </w:rPr>
      </w:pPr>
    </w:p>
    <w:p>
      <w:pPr>
        <w:pStyle w:val="27"/>
        <w:ind w:firstLine="0" w:firstLineChars="0"/>
        <w:jc w:val="center"/>
        <w:rPr>
          <w:rFonts w:eastAsia="方正小标宋简体"/>
          <w:b/>
          <w:bCs/>
          <w:sz w:val="44"/>
          <w:szCs w:val="44"/>
        </w:rPr>
      </w:pPr>
      <w:r>
        <w:rPr>
          <w:rFonts w:eastAsia="方正小标宋简体"/>
          <w:b/>
          <w:bCs/>
          <w:sz w:val="44"/>
          <w:szCs w:val="44"/>
        </w:rPr>
        <w:t>湛江市土壤污染重点监管单位自行监测  技术要点</w:t>
      </w:r>
    </w:p>
    <w:p>
      <w:pPr>
        <w:ind w:firstLine="720"/>
        <w:jc w:val="center"/>
        <w:rPr>
          <w:rFonts w:eastAsia="方正小标宋简体"/>
          <w:sz w:val="36"/>
          <w:szCs w:val="36"/>
        </w:rPr>
      </w:pPr>
    </w:p>
    <w:p>
      <w:pPr>
        <w:ind w:firstLine="720"/>
        <w:jc w:val="center"/>
        <w:rPr>
          <w:rFonts w:eastAsia="方正小标宋简体"/>
          <w:sz w:val="36"/>
          <w:szCs w:val="36"/>
        </w:rPr>
      </w:pPr>
    </w:p>
    <w:p>
      <w:pPr>
        <w:ind w:firstLine="720"/>
        <w:jc w:val="center"/>
        <w:rPr>
          <w:rFonts w:eastAsia="方正小标宋简体"/>
          <w:sz w:val="36"/>
          <w:szCs w:val="36"/>
        </w:rPr>
      </w:pPr>
    </w:p>
    <w:p>
      <w:pPr>
        <w:ind w:firstLine="720"/>
        <w:jc w:val="center"/>
        <w:rPr>
          <w:rFonts w:eastAsia="方正小标宋简体"/>
          <w:sz w:val="36"/>
          <w:szCs w:val="36"/>
        </w:rPr>
      </w:pPr>
    </w:p>
    <w:p>
      <w:pPr>
        <w:ind w:firstLine="720"/>
        <w:jc w:val="center"/>
        <w:rPr>
          <w:rFonts w:eastAsia="方正小标宋简体"/>
          <w:sz w:val="36"/>
          <w:szCs w:val="36"/>
        </w:rPr>
      </w:pPr>
    </w:p>
    <w:p>
      <w:pPr>
        <w:ind w:firstLine="720"/>
        <w:jc w:val="center"/>
        <w:rPr>
          <w:rFonts w:eastAsia="方正小标宋简体"/>
          <w:sz w:val="36"/>
          <w:szCs w:val="36"/>
        </w:rPr>
      </w:pPr>
    </w:p>
    <w:p>
      <w:pPr>
        <w:ind w:firstLine="720"/>
        <w:jc w:val="center"/>
        <w:rPr>
          <w:rFonts w:eastAsia="方正小标宋简体"/>
          <w:sz w:val="36"/>
          <w:szCs w:val="36"/>
        </w:rPr>
      </w:pPr>
    </w:p>
    <w:p>
      <w:pPr>
        <w:ind w:firstLine="720"/>
        <w:jc w:val="center"/>
        <w:rPr>
          <w:rFonts w:eastAsia="方正小标宋简体"/>
          <w:sz w:val="36"/>
          <w:szCs w:val="36"/>
        </w:rPr>
      </w:pPr>
    </w:p>
    <w:p>
      <w:pPr>
        <w:ind w:firstLine="720"/>
        <w:jc w:val="center"/>
        <w:rPr>
          <w:rFonts w:eastAsia="方正小标宋简体"/>
          <w:sz w:val="36"/>
          <w:szCs w:val="36"/>
        </w:rPr>
      </w:pPr>
    </w:p>
    <w:p>
      <w:pPr>
        <w:ind w:firstLine="720"/>
        <w:jc w:val="center"/>
        <w:rPr>
          <w:rFonts w:eastAsia="方正小标宋简体"/>
          <w:sz w:val="36"/>
          <w:szCs w:val="36"/>
        </w:rPr>
      </w:pPr>
    </w:p>
    <w:p>
      <w:pPr>
        <w:ind w:firstLine="720"/>
        <w:jc w:val="center"/>
        <w:rPr>
          <w:rFonts w:eastAsia="方正小标宋简体"/>
          <w:sz w:val="36"/>
          <w:szCs w:val="36"/>
        </w:rPr>
      </w:pPr>
    </w:p>
    <w:p>
      <w:pPr>
        <w:pStyle w:val="9"/>
        <w:outlineLvl w:val="9"/>
        <w:rPr>
          <w:rFonts w:cs="Times New Roman"/>
          <w:b w:val="0"/>
          <w:bCs w:val="0"/>
          <w:sz w:val="32"/>
        </w:rPr>
      </w:pPr>
      <w:r>
        <w:rPr>
          <w:rFonts w:cs="Times New Roman"/>
          <w:b w:val="0"/>
          <w:bCs w:val="0"/>
          <w:sz w:val="32"/>
        </w:rPr>
        <w:t>湛江市生态环境局</w:t>
      </w:r>
    </w:p>
    <w:p>
      <w:pPr>
        <w:pStyle w:val="9"/>
        <w:outlineLvl w:val="9"/>
        <w:rPr>
          <w:rFonts w:cs="Times New Roman"/>
          <w:b w:val="0"/>
          <w:bCs w:val="0"/>
          <w:sz w:val="32"/>
        </w:rPr>
      </w:pPr>
      <w:r>
        <w:rPr>
          <w:rFonts w:cs="Times New Roman"/>
          <w:b w:val="0"/>
          <w:bCs w:val="0"/>
          <w:sz w:val="32"/>
        </w:rPr>
        <w:t>2022年1</w:t>
      </w:r>
      <w:r>
        <w:rPr>
          <w:rFonts w:hint="eastAsia" w:cs="Times New Roman"/>
          <w:b w:val="0"/>
          <w:bCs w:val="0"/>
          <w:sz w:val="32"/>
          <w:lang w:val="en-US" w:eastAsia="zh-CN"/>
        </w:rPr>
        <w:t>2</w:t>
      </w:r>
      <w:bookmarkStart w:id="39" w:name="_GoBack"/>
      <w:bookmarkEnd w:id="39"/>
      <w:r>
        <w:rPr>
          <w:rFonts w:cs="Times New Roman"/>
          <w:b w:val="0"/>
          <w:bCs w:val="0"/>
          <w:sz w:val="32"/>
        </w:rPr>
        <w:t>月</w:t>
      </w:r>
    </w:p>
    <w:p>
      <w:pPr>
        <w:autoSpaceDE w:val="0"/>
        <w:autoSpaceDN w:val="0"/>
        <w:adjustRightInd w:val="0"/>
        <w:ind w:firstLine="640" w:firstLineChars="200"/>
        <w:rPr>
          <w:kern w:val="0"/>
          <w:szCs w:val="32"/>
        </w:rPr>
        <w:sectPr>
          <w:footerReference r:id="rId3" w:type="default"/>
          <w:pgSz w:w="11906" w:h="16838"/>
          <w:pgMar w:top="1440" w:right="1800" w:bottom="1440" w:left="1800" w:header="851" w:footer="992" w:gutter="0"/>
          <w:cols w:space="425" w:num="1"/>
          <w:docGrid w:type="lines" w:linePitch="312" w:charSpace="0"/>
        </w:sectPr>
      </w:pPr>
    </w:p>
    <w:sdt>
      <w:sdtPr>
        <w:rPr>
          <w:rFonts w:ascii="Times New Roman" w:hAnsi="Times New Roman" w:eastAsia="仿宋_GB2312" w:cs="Times New Roman"/>
          <w:color w:val="auto"/>
          <w:kern w:val="2"/>
          <w:szCs w:val="24"/>
          <w:lang w:val="zh-CN"/>
        </w:rPr>
        <w:id w:val="-505981892"/>
        <w:docPartObj>
          <w:docPartGallery w:val="Table of Contents"/>
          <w:docPartUnique/>
        </w:docPartObj>
      </w:sdtPr>
      <w:sdtEndPr>
        <w:rPr>
          <w:rFonts w:ascii="Times New Roman" w:hAnsi="Times New Roman" w:eastAsia="仿宋_GB2312" w:cs="Times New Roman"/>
          <w:b/>
          <w:bCs/>
          <w:color w:val="auto"/>
          <w:kern w:val="2"/>
          <w:szCs w:val="24"/>
          <w:lang w:val="zh-CN"/>
        </w:rPr>
      </w:sdtEndPr>
      <w:sdtContent>
        <w:p>
          <w:pPr>
            <w:pStyle w:val="30"/>
            <w:jc w:val="center"/>
            <w:rPr>
              <w:rFonts w:ascii="Times New Roman" w:hAnsi="Times New Roman" w:eastAsia="仿宋_GB2312" w:cs="Times New Roman"/>
              <w:b/>
              <w:bCs/>
              <w:color w:val="auto"/>
            </w:rPr>
          </w:pPr>
          <w:r>
            <w:rPr>
              <w:rFonts w:ascii="Times New Roman" w:hAnsi="Times New Roman" w:eastAsia="仿宋_GB2312" w:cs="Times New Roman"/>
              <w:b/>
              <w:bCs/>
              <w:color w:val="auto"/>
              <w:lang w:val="zh-CN"/>
            </w:rPr>
            <w:t>目录</w:t>
          </w:r>
        </w:p>
        <w:p>
          <w:pPr>
            <w:pStyle w:val="7"/>
            <w:tabs>
              <w:tab w:val="left" w:pos="420"/>
              <w:tab w:val="right" w:leader="dot" w:pos="8296"/>
            </w:tabs>
          </w:pPr>
          <w:r>
            <w:fldChar w:fldCharType="begin"/>
          </w:r>
          <w:r>
            <w:instrText xml:space="preserve"> TOC \o "1-3" \h \z \u </w:instrText>
          </w:r>
          <w:r>
            <w:fldChar w:fldCharType="separate"/>
          </w:r>
          <w:r>
            <w:fldChar w:fldCharType="begin"/>
          </w:r>
          <w:r>
            <w:instrText xml:space="preserve"> HYPERLINK \l "_Toc118208054" </w:instrText>
          </w:r>
          <w:r>
            <w:fldChar w:fldCharType="separate"/>
          </w:r>
          <w:r>
            <w:rPr>
              <w:rStyle w:val="14"/>
              <w:color w:val="auto"/>
            </w:rPr>
            <w:t>1</w:t>
          </w:r>
          <w:r>
            <w:tab/>
          </w:r>
          <w:r>
            <w:rPr>
              <w:rStyle w:val="14"/>
              <w:color w:val="auto"/>
            </w:rPr>
            <w:t>总则</w:t>
          </w:r>
          <w:r>
            <w:tab/>
          </w:r>
          <w:r>
            <w:fldChar w:fldCharType="begin"/>
          </w:r>
          <w:r>
            <w:instrText xml:space="preserve"> PAGEREF _Toc118208054 \h </w:instrText>
          </w:r>
          <w:r>
            <w:fldChar w:fldCharType="separate"/>
          </w:r>
          <w:r>
            <w:t>1</w:t>
          </w:r>
          <w:r>
            <w:fldChar w:fldCharType="end"/>
          </w:r>
          <w:r>
            <w:fldChar w:fldCharType="end"/>
          </w:r>
        </w:p>
        <w:p>
          <w:pPr>
            <w:pStyle w:val="7"/>
            <w:tabs>
              <w:tab w:val="left" w:pos="420"/>
              <w:tab w:val="right" w:leader="dot" w:pos="8296"/>
            </w:tabs>
          </w:pPr>
          <w:r>
            <w:fldChar w:fldCharType="begin"/>
          </w:r>
          <w:r>
            <w:instrText xml:space="preserve"> HYPERLINK \l "_Toc118208055" </w:instrText>
          </w:r>
          <w:r>
            <w:fldChar w:fldCharType="separate"/>
          </w:r>
          <w:r>
            <w:rPr>
              <w:rStyle w:val="14"/>
              <w:color w:val="auto"/>
            </w:rPr>
            <w:t>2</w:t>
          </w:r>
          <w:r>
            <w:tab/>
          </w:r>
          <w:r>
            <w:rPr>
              <w:rStyle w:val="14"/>
              <w:color w:val="auto"/>
            </w:rPr>
            <w:t>重点监测单元识别</w:t>
          </w:r>
          <w:r>
            <w:tab/>
          </w:r>
          <w:r>
            <w:fldChar w:fldCharType="begin"/>
          </w:r>
          <w:r>
            <w:instrText xml:space="preserve"> PAGEREF _Toc118208055 \h </w:instrText>
          </w:r>
          <w:r>
            <w:fldChar w:fldCharType="separate"/>
          </w:r>
          <w:r>
            <w:t>2</w:t>
          </w:r>
          <w:r>
            <w:fldChar w:fldCharType="end"/>
          </w:r>
          <w:r>
            <w:fldChar w:fldCharType="end"/>
          </w:r>
        </w:p>
        <w:p>
          <w:pPr>
            <w:pStyle w:val="8"/>
            <w:tabs>
              <w:tab w:val="right" w:leader="dot" w:pos="8296"/>
            </w:tabs>
            <w:ind w:left="640"/>
          </w:pPr>
          <w:r>
            <w:fldChar w:fldCharType="begin"/>
          </w:r>
          <w:r>
            <w:instrText xml:space="preserve"> HYPERLINK \l "_Toc118208056" </w:instrText>
          </w:r>
          <w:r>
            <w:fldChar w:fldCharType="separate"/>
          </w:r>
          <w:r>
            <w:rPr>
              <w:rStyle w:val="14"/>
              <w:color w:val="auto"/>
            </w:rPr>
            <w:t>2.1资料收集</w:t>
          </w:r>
          <w:r>
            <w:tab/>
          </w:r>
          <w:r>
            <w:fldChar w:fldCharType="begin"/>
          </w:r>
          <w:r>
            <w:instrText xml:space="preserve"> PAGEREF _Toc118208056 \h </w:instrText>
          </w:r>
          <w:r>
            <w:fldChar w:fldCharType="separate"/>
          </w:r>
          <w:r>
            <w:t>2</w:t>
          </w:r>
          <w:r>
            <w:fldChar w:fldCharType="end"/>
          </w:r>
          <w:r>
            <w:fldChar w:fldCharType="end"/>
          </w:r>
        </w:p>
        <w:p>
          <w:pPr>
            <w:pStyle w:val="8"/>
            <w:tabs>
              <w:tab w:val="right" w:leader="dot" w:pos="8296"/>
            </w:tabs>
            <w:ind w:left="640"/>
          </w:pPr>
          <w:r>
            <w:fldChar w:fldCharType="begin"/>
          </w:r>
          <w:r>
            <w:instrText xml:space="preserve"> HYPERLINK \l "_Toc118208057" </w:instrText>
          </w:r>
          <w:r>
            <w:fldChar w:fldCharType="separate"/>
          </w:r>
          <w:r>
            <w:rPr>
              <w:rStyle w:val="14"/>
              <w:color w:val="auto"/>
            </w:rPr>
            <w:t>2.2现场踏勘</w:t>
          </w:r>
          <w:r>
            <w:tab/>
          </w:r>
          <w:r>
            <w:fldChar w:fldCharType="begin"/>
          </w:r>
          <w:r>
            <w:instrText xml:space="preserve"> PAGEREF _Toc118208057 \h </w:instrText>
          </w:r>
          <w:r>
            <w:fldChar w:fldCharType="separate"/>
          </w:r>
          <w:r>
            <w:t>3</w:t>
          </w:r>
          <w:r>
            <w:fldChar w:fldCharType="end"/>
          </w:r>
          <w:r>
            <w:fldChar w:fldCharType="end"/>
          </w:r>
        </w:p>
        <w:p>
          <w:pPr>
            <w:pStyle w:val="8"/>
            <w:tabs>
              <w:tab w:val="right" w:leader="dot" w:pos="8296"/>
            </w:tabs>
            <w:ind w:left="640"/>
          </w:pPr>
          <w:r>
            <w:fldChar w:fldCharType="begin"/>
          </w:r>
          <w:r>
            <w:instrText xml:space="preserve"> HYPERLINK \l "_Toc118208058" </w:instrText>
          </w:r>
          <w:r>
            <w:fldChar w:fldCharType="separate"/>
          </w:r>
          <w:r>
            <w:rPr>
              <w:rStyle w:val="14"/>
              <w:color w:val="auto"/>
            </w:rPr>
            <w:t>2.3人员访谈</w:t>
          </w:r>
          <w:r>
            <w:tab/>
          </w:r>
          <w:r>
            <w:fldChar w:fldCharType="begin"/>
          </w:r>
          <w:r>
            <w:instrText xml:space="preserve"> PAGEREF _Toc118208058 \h </w:instrText>
          </w:r>
          <w:r>
            <w:fldChar w:fldCharType="separate"/>
          </w:r>
          <w:r>
            <w:t>4</w:t>
          </w:r>
          <w:r>
            <w:fldChar w:fldCharType="end"/>
          </w:r>
          <w:r>
            <w:fldChar w:fldCharType="end"/>
          </w:r>
        </w:p>
        <w:p>
          <w:pPr>
            <w:pStyle w:val="8"/>
            <w:tabs>
              <w:tab w:val="right" w:leader="dot" w:pos="8296"/>
            </w:tabs>
            <w:ind w:left="640"/>
          </w:pPr>
          <w:r>
            <w:fldChar w:fldCharType="begin"/>
          </w:r>
          <w:r>
            <w:instrText xml:space="preserve"> HYPERLINK \l "_Toc118208059" </w:instrText>
          </w:r>
          <w:r>
            <w:fldChar w:fldCharType="separate"/>
          </w:r>
          <w:r>
            <w:rPr>
              <w:rStyle w:val="14"/>
              <w:color w:val="auto"/>
            </w:rPr>
            <w:t>2.4场所、设施、设备类型</w:t>
          </w:r>
          <w:r>
            <w:tab/>
          </w:r>
          <w:r>
            <w:fldChar w:fldCharType="begin"/>
          </w:r>
          <w:r>
            <w:instrText xml:space="preserve"> PAGEREF _Toc118208059 \h </w:instrText>
          </w:r>
          <w:r>
            <w:fldChar w:fldCharType="separate"/>
          </w:r>
          <w:r>
            <w:t>4</w:t>
          </w:r>
          <w:r>
            <w:fldChar w:fldCharType="end"/>
          </w:r>
          <w:r>
            <w:fldChar w:fldCharType="end"/>
          </w:r>
        </w:p>
        <w:p>
          <w:pPr>
            <w:pStyle w:val="8"/>
            <w:tabs>
              <w:tab w:val="right" w:leader="dot" w:pos="8296"/>
            </w:tabs>
            <w:ind w:left="640"/>
          </w:pPr>
          <w:r>
            <w:fldChar w:fldCharType="begin"/>
          </w:r>
          <w:r>
            <w:instrText xml:space="preserve"> HYPERLINK \l "_Toc118208060" </w:instrText>
          </w:r>
          <w:r>
            <w:fldChar w:fldCharType="separate"/>
          </w:r>
          <w:r>
            <w:rPr>
              <w:rStyle w:val="14"/>
              <w:color w:val="auto"/>
            </w:rPr>
            <w:t>2.5需要监测的重点场所、设施、设备识别</w:t>
          </w:r>
          <w:r>
            <w:tab/>
          </w:r>
          <w:r>
            <w:fldChar w:fldCharType="begin"/>
          </w:r>
          <w:r>
            <w:instrText xml:space="preserve"> PAGEREF _Toc118208060 \h </w:instrText>
          </w:r>
          <w:r>
            <w:fldChar w:fldCharType="separate"/>
          </w:r>
          <w:r>
            <w:t>4</w:t>
          </w:r>
          <w:r>
            <w:fldChar w:fldCharType="end"/>
          </w:r>
          <w:r>
            <w:fldChar w:fldCharType="end"/>
          </w:r>
        </w:p>
        <w:p>
          <w:pPr>
            <w:pStyle w:val="8"/>
            <w:tabs>
              <w:tab w:val="right" w:leader="dot" w:pos="8296"/>
            </w:tabs>
            <w:ind w:left="640"/>
          </w:pPr>
          <w:r>
            <w:fldChar w:fldCharType="begin"/>
          </w:r>
          <w:r>
            <w:instrText xml:space="preserve"> HYPERLINK \l "_Toc118208061" </w:instrText>
          </w:r>
          <w:r>
            <w:fldChar w:fldCharType="separate"/>
          </w:r>
          <w:r>
            <w:rPr>
              <w:rStyle w:val="14"/>
              <w:color w:val="auto"/>
            </w:rPr>
            <w:t>2.6重点监测单元识别与分类</w:t>
          </w:r>
          <w:r>
            <w:tab/>
          </w:r>
          <w:r>
            <w:fldChar w:fldCharType="begin"/>
          </w:r>
          <w:r>
            <w:instrText xml:space="preserve"> PAGEREF _Toc118208061 \h </w:instrText>
          </w:r>
          <w:r>
            <w:fldChar w:fldCharType="separate"/>
          </w:r>
          <w:r>
            <w:t>6</w:t>
          </w:r>
          <w:r>
            <w:fldChar w:fldCharType="end"/>
          </w:r>
          <w:r>
            <w:fldChar w:fldCharType="end"/>
          </w:r>
        </w:p>
        <w:p>
          <w:pPr>
            <w:pStyle w:val="7"/>
            <w:tabs>
              <w:tab w:val="left" w:pos="420"/>
              <w:tab w:val="right" w:leader="dot" w:pos="8296"/>
            </w:tabs>
          </w:pPr>
          <w:r>
            <w:fldChar w:fldCharType="begin"/>
          </w:r>
          <w:r>
            <w:instrText xml:space="preserve"> HYPERLINK \l "_Toc118208062" </w:instrText>
          </w:r>
          <w:r>
            <w:fldChar w:fldCharType="separate"/>
          </w:r>
          <w:r>
            <w:rPr>
              <w:rStyle w:val="14"/>
              <w:color w:val="auto"/>
            </w:rPr>
            <w:t>3</w:t>
          </w:r>
          <w:r>
            <w:tab/>
          </w:r>
          <w:r>
            <w:rPr>
              <w:rStyle w:val="14"/>
              <w:color w:val="auto"/>
            </w:rPr>
            <w:t>监测点位布设</w:t>
          </w:r>
          <w:r>
            <w:tab/>
          </w:r>
          <w:r>
            <w:fldChar w:fldCharType="begin"/>
          </w:r>
          <w:r>
            <w:instrText xml:space="preserve"> PAGEREF _Toc118208062 \h </w:instrText>
          </w:r>
          <w:r>
            <w:fldChar w:fldCharType="separate"/>
          </w:r>
          <w:r>
            <w:t>7</w:t>
          </w:r>
          <w:r>
            <w:fldChar w:fldCharType="end"/>
          </w:r>
          <w:r>
            <w:fldChar w:fldCharType="end"/>
          </w:r>
        </w:p>
        <w:p>
          <w:pPr>
            <w:pStyle w:val="8"/>
            <w:tabs>
              <w:tab w:val="right" w:leader="dot" w:pos="8296"/>
            </w:tabs>
            <w:ind w:left="640"/>
          </w:pPr>
          <w:r>
            <w:fldChar w:fldCharType="begin"/>
          </w:r>
          <w:r>
            <w:instrText xml:space="preserve"> HYPERLINK \l "_Toc118208063" </w:instrText>
          </w:r>
          <w:r>
            <w:fldChar w:fldCharType="separate"/>
          </w:r>
          <w:r>
            <w:rPr>
              <w:rStyle w:val="14"/>
              <w:color w:val="auto"/>
            </w:rPr>
            <w:t>3.1土壤监测点</w:t>
          </w:r>
          <w:r>
            <w:tab/>
          </w:r>
          <w:r>
            <w:fldChar w:fldCharType="begin"/>
          </w:r>
          <w:r>
            <w:instrText xml:space="preserve"> PAGEREF _Toc118208063 \h </w:instrText>
          </w:r>
          <w:r>
            <w:fldChar w:fldCharType="separate"/>
          </w:r>
          <w:r>
            <w:t>7</w:t>
          </w:r>
          <w:r>
            <w:fldChar w:fldCharType="end"/>
          </w:r>
          <w:r>
            <w:fldChar w:fldCharType="end"/>
          </w:r>
        </w:p>
        <w:p>
          <w:pPr>
            <w:pStyle w:val="8"/>
            <w:tabs>
              <w:tab w:val="right" w:leader="dot" w:pos="8296"/>
            </w:tabs>
            <w:ind w:left="640"/>
          </w:pPr>
          <w:r>
            <w:fldChar w:fldCharType="begin"/>
          </w:r>
          <w:r>
            <w:instrText xml:space="preserve"> HYPERLINK \l "_Toc118208064" </w:instrText>
          </w:r>
          <w:r>
            <w:fldChar w:fldCharType="separate"/>
          </w:r>
          <w:r>
            <w:rPr>
              <w:rStyle w:val="14"/>
              <w:color w:val="auto"/>
            </w:rPr>
            <w:t>3.2地下水监测井</w:t>
          </w:r>
          <w:r>
            <w:tab/>
          </w:r>
          <w:r>
            <w:fldChar w:fldCharType="begin"/>
          </w:r>
          <w:r>
            <w:instrText xml:space="preserve"> PAGEREF _Toc118208064 \h </w:instrText>
          </w:r>
          <w:r>
            <w:fldChar w:fldCharType="separate"/>
          </w:r>
          <w:r>
            <w:t>8</w:t>
          </w:r>
          <w:r>
            <w:fldChar w:fldCharType="end"/>
          </w:r>
          <w:r>
            <w:fldChar w:fldCharType="end"/>
          </w:r>
        </w:p>
        <w:p>
          <w:pPr>
            <w:pStyle w:val="7"/>
            <w:tabs>
              <w:tab w:val="left" w:pos="420"/>
              <w:tab w:val="right" w:leader="dot" w:pos="8296"/>
            </w:tabs>
          </w:pPr>
          <w:r>
            <w:fldChar w:fldCharType="begin"/>
          </w:r>
          <w:r>
            <w:instrText xml:space="preserve"> HYPERLINK \l "_Toc118208065" </w:instrText>
          </w:r>
          <w:r>
            <w:fldChar w:fldCharType="separate"/>
          </w:r>
          <w:r>
            <w:rPr>
              <w:rStyle w:val="14"/>
              <w:color w:val="auto"/>
            </w:rPr>
            <w:t>4</w:t>
          </w:r>
          <w:r>
            <w:tab/>
          </w:r>
          <w:r>
            <w:rPr>
              <w:rStyle w:val="14"/>
              <w:color w:val="auto"/>
            </w:rPr>
            <w:t>地下水监测井筛选、建设与管理</w:t>
          </w:r>
          <w:r>
            <w:tab/>
          </w:r>
          <w:r>
            <w:fldChar w:fldCharType="begin"/>
          </w:r>
          <w:r>
            <w:instrText xml:space="preserve"> PAGEREF _Toc118208065 \h </w:instrText>
          </w:r>
          <w:r>
            <w:fldChar w:fldCharType="separate"/>
          </w:r>
          <w:r>
            <w:t>9</w:t>
          </w:r>
          <w:r>
            <w:fldChar w:fldCharType="end"/>
          </w:r>
          <w:r>
            <w:fldChar w:fldCharType="end"/>
          </w:r>
        </w:p>
        <w:p>
          <w:pPr>
            <w:pStyle w:val="7"/>
            <w:tabs>
              <w:tab w:val="left" w:pos="420"/>
              <w:tab w:val="right" w:leader="dot" w:pos="8296"/>
            </w:tabs>
          </w:pPr>
          <w:r>
            <w:fldChar w:fldCharType="begin"/>
          </w:r>
          <w:r>
            <w:instrText xml:space="preserve"> HYPERLINK \l "_Toc118208066" </w:instrText>
          </w:r>
          <w:r>
            <w:fldChar w:fldCharType="separate"/>
          </w:r>
          <w:r>
            <w:rPr>
              <w:rStyle w:val="14"/>
              <w:color w:val="auto"/>
            </w:rPr>
            <w:t>5</w:t>
          </w:r>
          <w:r>
            <w:tab/>
          </w:r>
          <w:r>
            <w:rPr>
              <w:rStyle w:val="14"/>
              <w:color w:val="auto"/>
            </w:rPr>
            <w:t>监测指标</w:t>
          </w:r>
          <w:r>
            <w:tab/>
          </w:r>
          <w:r>
            <w:fldChar w:fldCharType="begin"/>
          </w:r>
          <w:r>
            <w:instrText xml:space="preserve"> PAGEREF _Toc118208066 \h </w:instrText>
          </w:r>
          <w:r>
            <w:fldChar w:fldCharType="separate"/>
          </w:r>
          <w:r>
            <w:t>9</w:t>
          </w:r>
          <w:r>
            <w:fldChar w:fldCharType="end"/>
          </w:r>
          <w:r>
            <w:fldChar w:fldCharType="end"/>
          </w:r>
        </w:p>
        <w:p>
          <w:pPr>
            <w:pStyle w:val="8"/>
            <w:tabs>
              <w:tab w:val="right" w:leader="dot" w:pos="8296"/>
            </w:tabs>
            <w:ind w:left="640"/>
          </w:pPr>
          <w:r>
            <w:fldChar w:fldCharType="begin"/>
          </w:r>
          <w:r>
            <w:instrText xml:space="preserve"> HYPERLINK \l "_Toc118208067" </w:instrText>
          </w:r>
          <w:r>
            <w:fldChar w:fldCharType="separate"/>
          </w:r>
          <w:r>
            <w:rPr>
              <w:rStyle w:val="14"/>
              <w:color w:val="auto"/>
            </w:rPr>
            <w:t>5.1初次监测</w:t>
          </w:r>
          <w:r>
            <w:tab/>
          </w:r>
          <w:r>
            <w:fldChar w:fldCharType="begin"/>
          </w:r>
          <w:r>
            <w:instrText xml:space="preserve"> PAGEREF _Toc118208067 \h </w:instrText>
          </w:r>
          <w:r>
            <w:fldChar w:fldCharType="separate"/>
          </w:r>
          <w:r>
            <w:t>9</w:t>
          </w:r>
          <w:r>
            <w:fldChar w:fldCharType="end"/>
          </w:r>
          <w:r>
            <w:fldChar w:fldCharType="end"/>
          </w:r>
        </w:p>
        <w:p>
          <w:pPr>
            <w:pStyle w:val="8"/>
            <w:tabs>
              <w:tab w:val="right" w:leader="dot" w:pos="8296"/>
            </w:tabs>
            <w:ind w:left="640"/>
          </w:pPr>
          <w:r>
            <w:fldChar w:fldCharType="begin"/>
          </w:r>
          <w:r>
            <w:instrText xml:space="preserve"> HYPERLINK \l "_Toc118208068" </w:instrText>
          </w:r>
          <w:r>
            <w:fldChar w:fldCharType="separate"/>
          </w:r>
          <w:r>
            <w:rPr>
              <w:rStyle w:val="14"/>
              <w:color w:val="auto"/>
            </w:rPr>
            <w:t>5.2后续监测</w:t>
          </w:r>
          <w:r>
            <w:tab/>
          </w:r>
          <w:r>
            <w:fldChar w:fldCharType="begin"/>
          </w:r>
          <w:r>
            <w:instrText xml:space="preserve"> PAGEREF _Toc118208068 \h </w:instrText>
          </w:r>
          <w:r>
            <w:fldChar w:fldCharType="separate"/>
          </w:r>
          <w:r>
            <w:t>10</w:t>
          </w:r>
          <w:r>
            <w:fldChar w:fldCharType="end"/>
          </w:r>
          <w:r>
            <w:fldChar w:fldCharType="end"/>
          </w:r>
        </w:p>
        <w:p>
          <w:pPr>
            <w:pStyle w:val="7"/>
            <w:tabs>
              <w:tab w:val="left" w:pos="420"/>
              <w:tab w:val="right" w:leader="dot" w:pos="8296"/>
            </w:tabs>
          </w:pPr>
          <w:r>
            <w:fldChar w:fldCharType="begin"/>
          </w:r>
          <w:r>
            <w:instrText xml:space="preserve"> HYPERLINK \l "_Toc118208069" </w:instrText>
          </w:r>
          <w:r>
            <w:fldChar w:fldCharType="separate"/>
          </w:r>
          <w:r>
            <w:rPr>
              <w:rStyle w:val="14"/>
              <w:color w:val="auto"/>
            </w:rPr>
            <w:t>6</w:t>
          </w:r>
          <w:r>
            <w:tab/>
          </w:r>
          <w:r>
            <w:rPr>
              <w:rStyle w:val="14"/>
              <w:color w:val="auto"/>
            </w:rPr>
            <w:t>监测方案制定与变更</w:t>
          </w:r>
          <w:r>
            <w:tab/>
          </w:r>
          <w:r>
            <w:fldChar w:fldCharType="begin"/>
          </w:r>
          <w:r>
            <w:instrText xml:space="preserve"> PAGEREF _Toc118208069 \h </w:instrText>
          </w:r>
          <w:r>
            <w:fldChar w:fldCharType="separate"/>
          </w:r>
          <w:r>
            <w:t>11</w:t>
          </w:r>
          <w:r>
            <w:fldChar w:fldCharType="end"/>
          </w:r>
          <w:r>
            <w:fldChar w:fldCharType="end"/>
          </w:r>
        </w:p>
        <w:p>
          <w:pPr>
            <w:pStyle w:val="8"/>
            <w:tabs>
              <w:tab w:val="right" w:leader="dot" w:pos="8296"/>
            </w:tabs>
            <w:ind w:left="640"/>
          </w:pPr>
          <w:r>
            <w:fldChar w:fldCharType="begin"/>
          </w:r>
          <w:r>
            <w:instrText xml:space="preserve"> HYPERLINK \l "_Toc118208070" </w:instrText>
          </w:r>
          <w:r>
            <w:fldChar w:fldCharType="separate"/>
          </w:r>
          <w:r>
            <w:rPr>
              <w:rStyle w:val="14"/>
              <w:color w:val="auto"/>
            </w:rPr>
            <w:t>6.1监测方案制定</w:t>
          </w:r>
          <w:r>
            <w:tab/>
          </w:r>
          <w:r>
            <w:fldChar w:fldCharType="begin"/>
          </w:r>
          <w:r>
            <w:instrText xml:space="preserve"> PAGEREF _Toc118208070 \h </w:instrText>
          </w:r>
          <w:r>
            <w:fldChar w:fldCharType="separate"/>
          </w:r>
          <w:r>
            <w:t>11</w:t>
          </w:r>
          <w:r>
            <w:fldChar w:fldCharType="end"/>
          </w:r>
          <w:r>
            <w:fldChar w:fldCharType="end"/>
          </w:r>
        </w:p>
        <w:p>
          <w:pPr>
            <w:pStyle w:val="8"/>
            <w:tabs>
              <w:tab w:val="right" w:leader="dot" w:pos="8296"/>
            </w:tabs>
            <w:ind w:left="640"/>
          </w:pPr>
          <w:r>
            <w:fldChar w:fldCharType="begin"/>
          </w:r>
          <w:r>
            <w:instrText xml:space="preserve"> HYPERLINK \l "_Toc118208071" </w:instrText>
          </w:r>
          <w:r>
            <w:fldChar w:fldCharType="separate"/>
          </w:r>
          <w:r>
            <w:rPr>
              <w:rStyle w:val="14"/>
              <w:color w:val="auto"/>
            </w:rPr>
            <w:t>6.2监测方案变更</w:t>
          </w:r>
          <w:r>
            <w:tab/>
          </w:r>
          <w:r>
            <w:fldChar w:fldCharType="begin"/>
          </w:r>
          <w:r>
            <w:instrText xml:space="preserve"> PAGEREF _Toc118208071 \h </w:instrText>
          </w:r>
          <w:r>
            <w:fldChar w:fldCharType="separate"/>
          </w:r>
          <w:r>
            <w:t>11</w:t>
          </w:r>
          <w:r>
            <w:fldChar w:fldCharType="end"/>
          </w:r>
          <w:r>
            <w:fldChar w:fldCharType="end"/>
          </w:r>
        </w:p>
        <w:p>
          <w:pPr>
            <w:pStyle w:val="7"/>
            <w:tabs>
              <w:tab w:val="left" w:pos="420"/>
              <w:tab w:val="right" w:leader="dot" w:pos="8296"/>
            </w:tabs>
          </w:pPr>
          <w:r>
            <w:fldChar w:fldCharType="begin"/>
          </w:r>
          <w:r>
            <w:instrText xml:space="preserve"> HYPERLINK \l "_Toc118208072" </w:instrText>
          </w:r>
          <w:r>
            <w:fldChar w:fldCharType="separate"/>
          </w:r>
          <w:r>
            <w:rPr>
              <w:rStyle w:val="14"/>
              <w:color w:val="auto"/>
            </w:rPr>
            <w:t>7</w:t>
          </w:r>
          <w:r>
            <w:tab/>
          </w:r>
          <w:r>
            <w:rPr>
              <w:rStyle w:val="14"/>
              <w:color w:val="auto"/>
            </w:rPr>
            <w:t>样品采集、保存、流转、制备与分析</w:t>
          </w:r>
          <w:r>
            <w:tab/>
          </w:r>
          <w:r>
            <w:fldChar w:fldCharType="begin"/>
          </w:r>
          <w:r>
            <w:instrText xml:space="preserve"> PAGEREF _Toc118208072 \h </w:instrText>
          </w:r>
          <w:r>
            <w:fldChar w:fldCharType="separate"/>
          </w:r>
          <w:r>
            <w:t>12</w:t>
          </w:r>
          <w:r>
            <w:fldChar w:fldCharType="end"/>
          </w:r>
          <w:r>
            <w:fldChar w:fldCharType="end"/>
          </w:r>
        </w:p>
        <w:p>
          <w:pPr>
            <w:pStyle w:val="7"/>
            <w:tabs>
              <w:tab w:val="left" w:pos="420"/>
              <w:tab w:val="right" w:leader="dot" w:pos="8296"/>
            </w:tabs>
          </w:pPr>
          <w:r>
            <w:fldChar w:fldCharType="begin"/>
          </w:r>
          <w:r>
            <w:instrText xml:space="preserve"> HYPERLINK \l "_Toc118208073" </w:instrText>
          </w:r>
          <w:r>
            <w:fldChar w:fldCharType="separate"/>
          </w:r>
          <w:r>
            <w:rPr>
              <w:rStyle w:val="14"/>
              <w:color w:val="auto"/>
            </w:rPr>
            <w:t>8</w:t>
          </w:r>
          <w:r>
            <w:tab/>
          </w:r>
          <w:r>
            <w:rPr>
              <w:rStyle w:val="14"/>
              <w:color w:val="auto"/>
            </w:rPr>
            <w:t>监测结果分析</w:t>
          </w:r>
          <w:r>
            <w:tab/>
          </w:r>
          <w:r>
            <w:fldChar w:fldCharType="begin"/>
          </w:r>
          <w:r>
            <w:instrText xml:space="preserve"> PAGEREF _Toc118208073 \h </w:instrText>
          </w:r>
          <w:r>
            <w:fldChar w:fldCharType="separate"/>
          </w:r>
          <w:r>
            <w:t>13</w:t>
          </w:r>
          <w:r>
            <w:fldChar w:fldCharType="end"/>
          </w:r>
          <w:r>
            <w:fldChar w:fldCharType="end"/>
          </w:r>
        </w:p>
        <w:p>
          <w:pPr>
            <w:pStyle w:val="8"/>
            <w:tabs>
              <w:tab w:val="right" w:leader="dot" w:pos="8296"/>
            </w:tabs>
            <w:ind w:left="640"/>
          </w:pPr>
          <w:r>
            <w:fldChar w:fldCharType="begin"/>
          </w:r>
          <w:r>
            <w:instrText xml:space="preserve"> HYPERLINK \l "_Toc118208074" </w:instrText>
          </w:r>
          <w:r>
            <w:fldChar w:fldCharType="separate"/>
          </w:r>
          <w:r>
            <w:rPr>
              <w:rStyle w:val="14"/>
              <w:color w:val="auto"/>
            </w:rPr>
            <w:t>8.1监测结果分析</w:t>
          </w:r>
          <w:r>
            <w:tab/>
          </w:r>
          <w:r>
            <w:fldChar w:fldCharType="begin"/>
          </w:r>
          <w:r>
            <w:instrText xml:space="preserve"> PAGEREF _Toc118208074 \h </w:instrText>
          </w:r>
          <w:r>
            <w:fldChar w:fldCharType="separate"/>
          </w:r>
          <w:r>
            <w:t>13</w:t>
          </w:r>
          <w:r>
            <w:fldChar w:fldCharType="end"/>
          </w:r>
          <w:r>
            <w:fldChar w:fldCharType="end"/>
          </w:r>
        </w:p>
        <w:p>
          <w:pPr>
            <w:pStyle w:val="8"/>
            <w:tabs>
              <w:tab w:val="right" w:leader="dot" w:pos="8296"/>
            </w:tabs>
            <w:ind w:left="640"/>
          </w:pPr>
          <w:r>
            <w:fldChar w:fldCharType="begin"/>
          </w:r>
          <w:r>
            <w:instrText xml:space="preserve"> HYPERLINK \l "_Toc118208075" </w:instrText>
          </w:r>
          <w:r>
            <w:fldChar w:fldCharType="separate"/>
          </w:r>
          <w:r>
            <w:rPr>
              <w:rStyle w:val="14"/>
              <w:color w:val="auto"/>
            </w:rPr>
            <w:t>8.2监测结果异常判定</w:t>
          </w:r>
          <w:r>
            <w:tab/>
          </w:r>
          <w:r>
            <w:fldChar w:fldCharType="begin"/>
          </w:r>
          <w:r>
            <w:instrText xml:space="preserve"> PAGEREF _Toc118208075 \h </w:instrText>
          </w:r>
          <w:r>
            <w:fldChar w:fldCharType="separate"/>
          </w:r>
          <w:r>
            <w:t>13</w:t>
          </w:r>
          <w:r>
            <w:fldChar w:fldCharType="end"/>
          </w:r>
          <w:r>
            <w:fldChar w:fldCharType="end"/>
          </w:r>
        </w:p>
        <w:p>
          <w:pPr>
            <w:pStyle w:val="7"/>
            <w:tabs>
              <w:tab w:val="left" w:pos="420"/>
              <w:tab w:val="right" w:leader="dot" w:pos="8296"/>
            </w:tabs>
          </w:pPr>
          <w:r>
            <w:fldChar w:fldCharType="begin"/>
          </w:r>
          <w:r>
            <w:instrText xml:space="preserve"> HYPERLINK \l "_Toc118208076" </w:instrText>
          </w:r>
          <w:r>
            <w:fldChar w:fldCharType="separate"/>
          </w:r>
          <w:r>
            <w:rPr>
              <w:rStyle w:val="14"/>
              <w:color w:val="auto"/>
            </w:rPr>
            <w:t>9</w:t>
          </w:r>
          <w:r>
            <w:tab/>
          </w:r>
          <w:r>
            <w:rPr>
              <w:rStyle w:val="14"/>
              <w:color w:val="auto"/>
            </w:rPr>
            <w:t>质量保证与质量控制</w:t>
          </w:r>
          <w:r>
            <w:tab/>
          </w:r>
          <w:r>
            <w:fldChar w:fldCharType="begin"/>
          </w:r>
          <w:r>
            <w:instrText xml:space="preserve"> PAGEREF _Toc118208076 \h </w:instrText>
          </w:r>
          <w:r>
            <w:fldChar w:fldCharType="separate"/>
          </w:r>
          <w:r>
            <w:t>14</w:t>
          </w:r>
          <w:r>
            <w:fldChar w:fldCharType="end"/>
          </w:r>
          <w:r>
            <w:fldChar w:fldCharType="end"/>
          </w:r>
        </w:p>
        <w:p>
          <w:pPr>
            <w:pStyle w:val="8"/>
            <w:tabs>
              <w:tab w:val="right" w:leader="dot" w:pos="8296"/>
            </w:tabs>
            <w:ind w:left="640"/>
          </w:pPr>
          <w:r>
            <w:fldChar w:fldCharType="begin"/>
          </w:r>
          <w:r>
            <w:instrText xml:space="preserve"> HYPERLINK \l "_Toc118208077" </w:instrText>
          </w:r>
          <w:r>
            <w:fldChar w:fldCharType="separate"/>
          </w:r>
          <w:r>
            <w:rPr>
              <w:rStyle w:val="14"/>
              <w:color w:val="auto"/>
            </w:rPr>
            <w:t>9.1建立质量体系</w:t>
          </w:r>
          <w:r>
            <w:tab/>
          </w:r>
          <w:r>
            <w:fldChar w:fldCharType="begin"/>
          </w:r>
          <w:r>
            <w:instrText xml:space="preserve"> PAGEREF _Toc118208077 \h </w:instrText>
          </w:r>
          <w:r>
            <w:fldChar w:fldCharType="separate"/>
          </w:r>
          <w:r>
            <w:t>14</w:t>
          </w:r>
          <w:r>
            <w:fldChar w:fldCharType="end"/>
          </w:r>
          <w:r>
            <w:fldChar w:fldCharType="end"/>
          </w:r>
        </w:p>
        <w:p>
          <w:pPr>
            <w:pStyle w:val="8"/>
            <w:tabs>
              <w:tab w:val="right" w:leader="dot" w:pos="8296"/>
            </w:tabs>
            <w:ind w:left="640"/>
          </w:pPr>
          <w:r>
            <w:fldChar w:fldCharType="begin"/>
          </w:r>
          <w:r>
            <w:instrText xml:space="preserve"> HYPERLINK \l "_Toc118208078" </w:instrText>
          </w:r>
          <w:r>
            <w:fldChar w:fldCharType="separate"/>
          </w:r>
          <w:r>
            <w:rPr>
              <w:rStyle w:val="14"/>
              <w:color w:val="auto"/>
            </w:rPr>
            <w:t>9.2监测方案制定环节</w:t>
          </w:r>
          <w:r>
            <w:tab/>
          </w:r>
          <w:r>
            <w:fldChar w:fldCharType="begin"/>
          </w:r>
          <w:r>
            <w:instrText xml:space="preserve"> PAGEREF _Toc118208078 \h </w:instrText>
          </w:r>
          <w:r>
            <w:fldChar w:fldCharType="separate"/>
          </w:r>
          <w:r>
            <w:t>14</w:t>
          </w:r>
          <w:r>
            <w:fldChar w:fldCharType="end"/>
          </w:r>
          <w:r>
            <w:fldChar w:fldCharType="end"/>
          </w:r>
        </w:p>
        <w:p>
          <w:pPr>
            <w:pStyle w:val="8"/>
            <w:tabs>
              <w:tab w:val="right" w:leader="dot" w:pos="8296"/>
            </w:tabs>
            <w:ind w:left="640"/>
          </w:pPr>
          <w:r>
            <w:fldChar w:fldCharType="begin"/>
          </w:r>
          <w:r>
            <w:instrText xml:space="preserve"> HYPERLINK \l "_Toc118208079" </w:instrText>
          </w:r>
          <w:r>
            <w:fldChar w:fldCharType="separate"/>
          </w:r>
          <w:r>
            <w:rPr>
              <w:rStyle w:val="14"/>
              <w:color w:val="auto"/>
            </w:rPr>
            <w:t>9.3样品采集、保存、流转、制备与分析环节</w:t>
          </w:r>
          <w:r>
            <w:tab/>
          </w:r>
          <w:r>
            <w:fldChar w:fldCharType="begin"/>
          </w:r>
          <w:r>
            <w:instrText xml:space="preserve"> PAGEREF _Toc118208079 \h </w:instrText>
          </w:r>
          <w:r>
            <w:fldChar w:fldCharType="separate"/>
          </w:r>
          <w:r>
            <w:t>15</w:t>
          </w:r>
          <w:r>
            <w:fldChar w:fldCharType="end"/>
          </w:r>
          <w:r>
            <w:fldChar w:fldCharType="end"/>
          </w:r>
        </w:p>
        <w:p>
          <w:pPr>
            <w:pStyle w:val="7"/>
            <w:tabs>
              <w:tab w:val="left" w:pos="630"/>
              <w:tab w:val="right" w:leader="dot" w:pos="8296"/>
            </w:tabs>
          </w:pPr>
          <w:r>
            <w:fldChar w:fldCharType="begin"/>
          </w:r>
          <w:r>
            <w:instrText xml:space="preserve"> HYPERLINK \l "_Toc118208080" </w:instrText>
          </w:r>
          <w:r>
            <w:fldChar w:fldCharType="separate"/>
          </w:r>
          <w:r>
            <w:rPr>
              <w:rStyle w:val="14"/>
              <w:color w:val="auto"/>
            </w:rPr>
            <w:t>10</w:t>
          </w:r>
          <w:r>
            <w:tab/>
          </w:r>
          <w:r>
            <w:rPr>
              <w:rStyle w:val="14"/>
              <w:color w:val="auto"/>
            </w:rPr>
            <w:t>监测报告编制与自查</w:t>
          </w:r>
          <w:r>
            <w:tab/>
          </w:r>
          <w:r>
            <w:fldChar w:fldCharType="begin"/>
          </w:r>
          <w:r>
            <w:instrText xml:space="preserve"> PAGEREF _Toc118208080 \h </w:instrText>
          </w:r>
          <w:r>
            <w:fldChar w:fldCharType="separate"/>
          </w:r>
          <w:r>
            <w:t>15</w:t>
          </w:r>
          <w:r>
            <w:fldChar w:fldCharType="end"/>
          </w:r>
          <w:r>
            <w:fldChar w:fldCharType="end"/>
          </w:r>
        </w:p>
        <w:p>
          <w:pPr>
            <w:pStyle w:val="7"/>
            <w:tabs>
              <w:tab w:val="right" w:leader="dot" w:pos="8296"/>
            </w:tabs>
          </w:pPr>
          <w:r>
            <w:fldChar w:fldCharType="begin"/>
          </w:r>
          <w:r>
            <w:instrText xml:space="preserve"> HYPERLINK \l "_Toc118208081" </w:instrText>
          </w:r>
          <w:r>
            <w:fldChar w:fldCharType="separate"/>
          </w:r>
          <w:r>
            <w:rPr>
              <w:rStyle w:val="14"/>
              <w:color w:val="auto"/>
            </w:rPr>
            <w:t>附件</w:t>
          </w:r>
          <w:r>
            <w:tab/>
          </w:r>
          <w:r>
            <w:fldChar w:fldCharType="begin"/>
          </w:r>
          <w:r>
            <w:instrText xml:space="preserve"> PAGEREF _Toc118208081 \h </w:instrText>
          </w:r>
          <w:r>
            <w:fldChar w:fldCharType="separate"/>
          </w:r>
          <w:r>
            <w:t>17</w:t>
          </w:r>
          <w:r>
            <w:fldChar w:fldCharType="end"/>
          </w:r>
          <w:r>
            <w:fldChar w:fldCharType="end"/>
          </w:r>
        </w:p>
        <w:p>
          <w:r>
            <w:rPr>
              <w:lang w:val="zh-CN"/>
            </w:rPr>
            <w:fldChar w:fldCharType="end"/>
          </w:r>
        </w:p>
      </w:sdtContent>
    </w:sdt>
    <w:p>
      <w:pPr>
        <w:autoSpaceDE w:val="0"/>
        <w:autoSpaceDN w:val="0"/>
        <w:adjustRightInd w:val="0"/>
        <w:ind w:firstLine="640" w:firstLineChars="200"/>
        <w:rPr>
          <w:kern w:val="0"/>
          <w:szCs w:val="32"/>
        </w:rPr>
      </w:pPr>
    </w:p>
    <w:p>
      <w:pPr>
        <w:autoSpaceDE w:val="0"/>
        <w:autoSpaceDN w:val="0"/>
        <w:adjustRightInd w:val="0"/>
        <w:ind w:firstLine="640" w:firstLineChars="200"/>
        <w:rPr>
          <w:kern w:val="0"/>
          <w:szCs w:val="32"/>
        </w:rPr>
        <w:sectPr>
          <w:footerReference r:id="rId4" w:type="default"/>
          <w:pgSz w:w="11906" w:h="16838"/>
          <w:pgMar w:top="1440" w:right="1800" w:bottom="1440" w:left="1800" w:header="851" w:footer="992" w:gutter="0"/>
          <w:pgNumType w:fmt="upperRoman" w:start="1"/>
          <w:cols w:space="425" w:num="1"/>
          <w:docGrid w:type="lines" w:linePitch="312" w:charSpace="0"/>
        </w:sectPr>
      </w:pPr>
    </w:p>
    <w:p>
      <w:pPr>
        <w:pStyle w:val="20"/>
        <w:numPr>
          <w:ilvl w:val="0"/>
          <w:numId w:val="1"/>
        </w:numPr>
        <w:ind w:firstLineChars="0"/>
        <w:outlineLvl w:val="0"/>
        <w:rPr>
          <w:rFonts w:eastAsia="黑体"/>
        </w:rPr>
      </w:pPr>
      <w:bookmarkStart w:id="0" w:name="_Toc118208054"/>
      <w:r>
        <w:rPr>
          <w:rFonts w:eastAsia="黑体"/>
        </w:rPr>
        <w:t>总则</w:t>
      </w:r>
      <w:bookmarkEnd w:id="0"/>
    </w:p>
    <w:p>
      <w:pPr>
        <w:autoSpaceDE w:val="0"/>
        <w:autoSpaceDN w:val="0"/>
        <w:adjustRightInd w:val="0"/>
        <w:ind w:firstLine="640" w:firstLineChars="200"/>
      </w:pPr>
      <w:r>
        <w:rPr>
          <w:kern w:val="0"/>
          <w:szCs w:val="32"/>
        </w:rPr>
        <w:t>为贯彻落实《中华人民共和国土壤污染防治法》、《工矿用地土壤环境管理办法（试行）》的有关要求，防控湛江市土壤污染重点监管单位（以下简称“重点监管单位”）土壤和地下水污染，规范和指导重点监管单位开展土壤和地下水环境自行监测工作，依据《工业企业土壤和地下水自行监测技术指南（试行）》（HJ 1209—2021）（以下简称《自行监测指南》），制定本技术要点。</w:t>
      </w:r>
    </w:p>
    <w:p>
      <w:pPr>
        <w:autoSpaceDE w:val="0"/>
        <w:autoSpaceDN w:val="0"/>
        <w:adjustRightInd w:val="0"/>
        <w:ind w:firstLine="640" w:firstLineChars="200"/>
        <w:rPr>
          <w:kern w:val="0"/>
          <w:szCs w:val="32"/>
        </w:rPr>
      </w:pPr>
      <w:r>
        <w:rPr>
          <w:kern w:val="0"/>
          <w:szCs w:val="32"/>
        </w:rPr>
        <w:t>重点监管单位应主要依据《自行监测指南》开展土壤和地下水环境自行监测工作，自行监测方案的专家论证与自行监测报告报送前的自查可参照本技术要点。</w:t>
      </w:r>
    </w:p>
    <w:p>
      <w:pPr>
        <w:autoSpaceDE w:val="0"/>
        <w:autoSpaceDN w:val="0"/>
        <w:adjustRightInd w:val="0"/>
        <w:ind w:firstLine="640" w:firstLineChars="200"/>
        <w:rPr>
          <w:kern w:val="0"/>
          <w:szCs w:val="32"/>
        </w:rPr>
      </w:pPr>
      <w:r>
        <w:rPr>
          <w:kern w:val="0"/>
          <w:szCs w:val="32"/>
        </w:rPr>
        <w:t>重点监管单位自行监测自查流程可参照图1进行。</w:t>
      </w:r>
    </w:p>
    <w:p>
      <w:pPr>
        <w:autoSpaceDE w:val="0"/>
        <w:autoSpaceDN w:val="0"/>
        <w:adjustRightInd w:val="0"/>
        <w:jc w:val="center"/>
        <w:rPr>
          <w:kern w:val="0"/>
          <w:szCs w:val="32"/>
        </w:rPr>
      </w:pPr>
      <w:r>
        <w:rPr>
          <w:kern w:val="0"/>
          <w:szCs w:val="32"/>
        </w:rPr>
        <w:drawing>
          <wp:inline distT="0" distB="0" distL="0" distR="0">
            <wp:extent cx="4939665" cy="68580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4940249" cy="6858000"/>
                    </a:xfrm>
                    <a:prstGeom prst="rect">
                      <a:avLst/>
                    </a:prstGeom>
                  </pic:spPr>
                </pic:pic>
              </a:graphicData>
            </a:graphic>
          </wp:inline>
        </w:drawing>
      </w:r>
    </w:p>
    <w:p>
      <w:pPr>
        <w:spacing w:before="156" w:beforeLines="50" w:after="156" w:afterLines="50"/>
        <w:jc w:val="center"/>
        <w:rPr>
          <w:rFonts w:eastAsia="黑体"/>
          <w:sz w:val="28"/>
          <w:szCs w:val="28"/>
        </w:rPr>
      </w:pPr>
      <w:r>
        <w:rPr>
          <w:rFonts w:eastAsia="黑体"/>
          <w:sz w:val="28"/>
          <w:szCs w:val="28"/>
        </w:rPr>
        <w:t>图1 重点监管单位自行监测自查流程</w:t>
      </w:r>
    </w:p>
    <w:p>
      <w:pPr>
        <w:pStyle w:val="20"/>
        <w:numPr>
          <w:ilvl w:val="0"/>
          <w:numId w:val="1"/>
        </w:numPr>
        <w:ind w:firstLineChars="0"/>
        <w:outlineLvl w:val="0"/>
        <w:rPr>
          <w:rFonts w:eastAsia="黑体"/>
        </w:rPr>
      </w:pPr>
      <w:bookmarkStart w:id="1" w:name="_Toc118208055"/>
      <w:r>
        <w:rPr>
          <w:rFonts w:eastAsia="黑体"/>
        </w:rPr>
        <w:t>重点监测单元识别</w:t>
      </w:r>
      <w:bookmarkEnd w:id="1"/>
    </w:p>
    <w:p>
      <w:pPr>
        <w:pStyle w:val="20"/>
        <w:ind w:firstLine="0" w:firstLineChars="0"/>
        <w:outlineLvl w:val="1"/>
        <w:rPr>
          <w:b/>
          <w:bCs/>
        </w:rPr>
      </w:pPr>
      <w:bookmarkStart w:id="2" w:name="_Toc118208056"/>
      <w:r>
        <w:rPr>
          <w:b/>
          <w:bCs/>
        </w:rPr>
        <w:t>2.1资料收集</w:t>
      </w:r>
      <w:bookmarkEnd w:id="2"/>
    </w:p>
    <w:p>
      <w:pPr>
        <w:ind w:firstLine="640" w:firstLineChars="200"/>
      </w:pPr>
      <w:r>
        <w:t>收集资料包括企业基本信息、生产信息、水文地质信息和生态环境管理信息四类，参见附件1。其中应重点收集的信息包括：</w:t>
      </w:r>
    </w:p>
    <w:p>
      <w:pPr>
        <w:pStyle w:val="20"/>
        <w:numPr>
          <w:ilvl w:val="0"/>
          <w:numId w:val="2"/>
        </w:numPr>
        <w:ind w:left="0" w:firstLine="640"/>
      </w:pPr>
      <w:r>
        <w:t>排污许可证；</w:t>
      </w:r>
    </w:p>
    <w:p>
      <w:pPr>
        <w:pStyle w:val="20"/>
        <w:numPr>
          <w:ilvl w:val="0"/>
          <w:numId w:val="2"/>
        </w:numPr>
        <w:ind w:left="0" w:firstLine="640"/>
      </w:pPr>
      <w:r>
        <w:t>企业各场所、设施、设备分布图；</w:t>
      </w:r>
    </w:p>
    <w:p>
      <w:pPr>
        <w:pStyle w:val="20"/>
        <w:numPr>
          <w:ilvl w:val="0"/>
          <w:numId w:val="2"/>
        </w:numPr>
        <w:ind w:left="0" w:firstLine="640"/>
      </w:pPr>
      <w:r>
        <w:t>企业生产工艺流程图；</w:t>
      </w:r>
    </w:p>
    <w:p>
      <w:pPr>
        <w:pStyle w:val="20"/>
        <w:numPr>
          <w:ilvl w:val="0"/>
          <w:numId w:val="2"/>
        </w:numPr>
        <w:ind w:left="0" w:firstLine="640"/>
      </w:pPr>
      <w:r>
        <w:t>各场所、设施、设备的功能；</w:t>
      </w:r>
    </w:p>
    <w:p>
      <w:pPr>
        <w:pStyle w:val="20"/>
        <w:numPr>
          <w:ilvl w:val="0"/>
          <w:numId w:val="2"/>
        </w:numPr>
        <w:ind w:left="0" w:firstLine="640"/>
      </w:pPr>
      <w:r>
        <w:t>各场所、设施、设备涉及的生产工艺；</w:t>
      </w:r>
    </w:p>
    <w:p>
      <w:pPr>
        <w:pStyle w:val="20"/>
        <w:numPr>
          <w:ilvl w:val="0"/>
          <w:numId w:val="2"/>
        </w:numPr>
        <w:ind w:left="0" w:firstLine="640"/>
      </w:pPr>
      <w:r>
        <w:t>各场所、设施、设备使用、贮存、转运或产出的原辅用料、中间产品和最终产品清单；</w:t>
      </w:r>
    </w:p>
    <w:p>
      <w:pPr>
        <w:pStyle w:val="20"/>
        <w:numPr>
          <w:ilvl w:val="0"/>
          <w:numId w:val="2"/>
        </w:numPr>
        <w:ind w:left="0" w:firstLine="640"/>
      </w:pPr>
      <w:r>
        <w:t>各场所、设施、设备涉及的有毒有害物质信息；</w:t>
      </w:r>
    </w:p>
    <w:p>
      <w:pPr>
        <w:pStyle w:val="20"/>
        <w:numPr>
          <w:ilvl w:val="0"/>
          <w:numId w:val="2"/>
        </w:numPr>
        <w:ind w:left="0" w:firstLine="640"/>
      </w:pPr>
      <w:r>
        <w:t>涉及有毒有害物质的管线分布图；</w:t>
      </w:r>
    </w:p>
    <w:p>
      <w:pPr>
        <w:pStyle w:val="20"/>
        <w:numPr>
          <w:ilvl w:val="0"/>
          <w:numId w:val="2"/>
        </w:numPr>
        <w:ind w:left="0" w:firstLine="640"/>
      </w:pPr>
      <w:r>
        <w:t>各场所、设施、设备废气、废水、固体废物收集、排放及处理情况；</w:t>
      </w:r>
    </w:p>
    <w:p>
      <w:pPr>
        <w:pStyle w:val="20"/>
        <w:numPr>
          <w:ilvl w:val="0"/>
          <w:numId w:val="2"/>
        </w:numPr>
        <w:ind w:left="0" w:firstLine="640"/>
      </w:pPr>
      <w:r>
        <w:t>地面覆盖、地层结构、土壤质地、岩土层渗透性等特性；</w:t>
      </w:r>
    </w:p>
    <w:p>
      <w:pPr>
        <w:pStyle w:val="20"/>
        <w:numPr>
          <w:ilvl w:val="0"/>
          <w:numId w:val="2"/>
        </w:numPr>
        <w:ind w:left="0" w:firstLine="640"/>
      </w:pPr>
      <w:r>
        <w:t>地下水埋深/分布/径流方向；</w:t>
      </w:r>
    </w:p>
    <w:p>
      <w:pPr>
        <w:pStyle w:val="20"/>
        <w:numPr>
          <w:ilvl w:val="0"/>
          <w:numId w:val="2"/>
        </w:numPr>
        <w:ind w:left="0" w:firstLine="640"/>
      </w:pPr>
      <w:r>
        <w:t>企业用地历史。</w:t>
      </w:r>
    </w:p>
    <w:p>
      <w:pPr>
        <w:pStyle w:val="20"/>
        <w:ind w:firstLine="0" w:firstLineChars="0"/>
        <w:outlineLvl w:val="1"/>
        <w:rPr>
          <w:b/>
          <w:bCs/>
        </w:rPr>
      </w:pPr>
      <w:bookmarkStart w:id="3" w:name="_Toc118208057"/>
      <w:r>
        <w:rPr>
          <w:b/>
          <w:bCs/>
        </w:rPr>
        <w:t>2.2现场踏勘</w:t>
      </w:r>
      <w:bookmarkEnd w:id="3"/>
    </w:p>
    <w:p>
      <w:pPr>
        <w:ind w:firstLine="640" w:firstLineChars="200"/>
      </w:pPr>
      <w:r>
        <w:t>现场踏勘的重点内容应包括：</w:t>
      </w:r>
    </w:p>
    <w:p>
      <w:pPr>
        <w:pStyle w:val="20"/>
        <w:numPr>
          <w:ilvl w:val="0"/>
          <w:numId w:val="3"/>
        </w:numPr>
        <w:ind w:left="0" w:firstLine="640"/>
      </w:pPr>
      <w:r>
        <w:t>核查各场所、设施、设备分布；</w:t>
      </w:r>
    </w:p>
    <w:p>
      <w:pPr>
        <w:pStyle w:val="20"/>
        <w:numPr>
          <w:ilvl w:val="0"/>
          <w:numId w:val="3"/>
        </w:numPr>
        <w:ind w:left="0" w:firstLine="640"/>
      </w:pPr>
      <w:r>
        <w:t>核查各场所、设施、设备的生产工艺；</w:t>
      </w:r>
    </w:p>
    <w:p>
      <w:pPr>
        <w:pStyle w:val="20"/>
        <w:numPr>
          <w:ilvl w:val="0"/>
          <w:numId w:val="3"/>
        </w:numPr>
        <w:ind w:left="0" w:firstLine="640"/>
      </w:pPr>
      <w:r>
        <w:t>核查各场所、设施、设备使用、贮存、转运或产出的原辅用料、中间产品和最终产品；</w:t>
      </w:r>
    </w:p>
    <w:p>
      <w:pPr>
        <w:pStyle w:val="20"/>
        <w:numPr>
          <w:ilvl w:val="0"/>
          <w:numId w:val="3"/>
        </w:numPr>
        <w:ind w:left="0" w:firstLine="640"/>
      </w:pPr>
      <w:r>
        <w:t>核查各场所、设施、设备涉及的有毒有害物质信息；</w:t>
      </w:r>
    </w:p>
    <w:p>
      <w:pPr>
        <w:pStyle w:val="20"/>
        <w:numPr>
          <w:ilvl w:val="0"/>
          <w:numId w:val="3"/>
        </w:numPr>
        <w:ind w:left="0" w:firstLine="640"/>
      </w:pPr>
      <w:r>
        <w:t>核查各场所、设施、设备废气、废水、固体废物收集、排放及处理情况；</w:t>
      </w:r>
    </w:p>
    <w:p>
      <w:pPr>
        <w:pStyle w:val="20"/>
        <w:numPr>
          <w:ilvl w:val="0"/>
          <w:numId w:val="3"/>
        </w:numPr>
        <w:ind w:left="0" w:firstLine="640"/>
      </w:pPr>
      <w:r>
        <w:t>核查各场所、设施、设备地面硬化或其他防渗措施情况；</w:t>
      </w:r>
    </w:p>
    <w:p>
      <w:pPr>
        <w:pStyle w:val="20"/>
        <w:ind w:firstLine="0" w:firstLineChars="0"/>
        <w:outlineLvl w:val="1"/>
        <w:rPr>
          <w:b/>
          <w:bCs/>
        </w:rPr>
      </w:pPr>
      <w:bookmarkStart w:id="4" w:name="_Toc118208058"/>
      <w:r>
        <w:rPr>
          <w:b/>
          <w:bCs/>
        </w:rPr>
        <w:t>2.3人员访谈</w:t>
      </w:r>
      <w:bookmarkEnd w:id="4"/>
    </w:p>
    <w:p>
      <w:pPr>
        <w:ind w:firstLine="640" w:firstLineChars="200"/>
      </w:pPr>
      <w:r>
        <w:t>人员访谈应重点对资料收集和现场踏勘所涉及的疑问以及已有资料进行考证，进一步补充相关信息。</w:t>
      </w:r>
    </w:p>
    <w:p>
      <w:pPr>
        <w:pStyle w:val="20"/>
        <w:ind w:firstLine="0" w:firstLineChars="0"/>
        <w:outlineLvl w:val="1"/>
        <w:rPr>
          <w:b/>
          <w:bCs/>
        </w:rPr>
      </w:pPr>
      <w:bookmarkStart w:id="5" w:name="_Toc118208059"/>
      <w:r>
        <w:rPr>
          <w:b/>
          <w:bCs/>
        </w:rPr>
        <w:t>2.4场所、设施、设备类型</w:t>
      </w:r>
      <w:bookmarkEnd w:id="5"/>
    </w:p>
    <w:p>
      <w:pPr>
        <w:ind w:firstLine="640" w:firstLineChars="200"/>
      </w:pPr>
      <w:r>
        <w:t>依据《重点监管单位土壤污染隐患排查指南（试行）》，在资料收集、现场踏勘以及人员访谈过程中，应关注的场所、设施、设备参照表1。</w:t>
      </w:r>
    </w:p>
    <w:p>
      <w:pPr>
        <w:spacing w:before="156" w:beforeLines="50" w:after="156" w:afterLines="50"/>
        <w:jc w:val="center"/>
        <w:rPr>
          <w:rFonts w:eastAsia="黑体"/>
          <w:sz w:val="28"/>
          <w:szCs w:val="28"/>
        </w:rPr>
      </w:pPr>
      <w:r>
        <w:rPr>
          <w:rFonts w:eastAsia="黑体"/>
          <w:sz w:val="28"/>
          <w:szCs w:val="28"/>
        </w:rPr>
        <w:t>表1 自行监测应关注的场所、设施、设备</w:t>
      </w:r>
    </w:p>
    <w:tbl>
      <w:tblPr>
        <w:tblStyle w:val="11"/>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70"/>
        <w:gridCol w:w="2778"/>
        <w:gridCol w:w="507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序号</w:t>
            </w:r>
          </w:p>
        </w:tc>
        <w:tc>
          <w:tcPr>
            <w:tcW w:w="1630"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涉及工业活动</w:t>
            </w:r>
          </w:p>
        </w:tc>
        <w:tc>
          <w:tcPr>
            <w:tcW w:w="2977"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重点场所或重点设施设备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w:t>
            </w:r>
          </w:p>
        </w:tc>
        <w:tc>
          <w:tcPr>
            <w:tcW w:w="1630"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液体储存</w:t>
            </w:r>
          </w:p>
        </w:tc>
        <w:tc>
          <w:tcPr>
            <w:tcW w:w="2977"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地下储罐、接地储罐、离地储罐、废水暂存池、污水处理池、初级雨水收集池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w:t>
            </w:r>
          </w:p>
        </w:tc>
        <w:tc>
          <w:tcPr>
            <w:tcW w:w="1630"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散装液体转运与厂内运输</w:t>
            </w:r>
          </w:p>
        </w:tc>
        <w:tc>
          <w:tcPr>
            <w:tcW w:w="2977"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散装液体物料装卸、管道运输、导淋、传输泵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w:t>
            </w:r>
          </w:p>
        </w:tc>
        <w:tc>
          <w:tcPr>
            <w:tcW w:w="1630"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货物的储存和传输</w:t>
            </w:r>
          </w:p>
        </w:tc>
        <w:tc>
          <w:tcPr>
            <w:tcW w:w="2977"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散装货物储存和暂存、散装货物传输、包装货物储存和暂存、开放式装卸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w:t>
            </w:r>
          </w:p>
        </w:tc>
        <w:tc>
          <w:tcPr>
            <w:tcW w:w="1630"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生产区</w:t>
            </w:r>
          </w:p>
        </w:tc>
        <w:tc>
          <w:tcPr>
            <w:tcW w:w="2977"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生产装置区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w:t>
            </w:r>
          </w:p>
        </w:tc>
        <w:tc>
          <w:tcPr>
            <w:tcW w:w="1630"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其他活动区</w:t>
            </w:r>
          </w:p>
        </w:tc>
        <w:tc>
          <w:tcPr>
            <w:tcW w:w="2977"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废水排水系统、应急收集设施、车间操作活动、分析化验室、一般工业固体废物贮存场、危险废物贮存库</w:t>
            </w:r>
          </w:p>
        </w:tc>
      </w:tr>
    </w:tbl>
    <w:p>
      <w:pPr>
        <w:pStyle w:val="20"/>
        <w:ind w:firstLine="0" w:firstLineChars="0"/>
        <w:outlineLvl w:val="1"/>
        <w:rPr>
          <w:b/>
          <w:bCs/>
        </w:rPr>
      </w:pPr>
      <w:bookmarkStart w:id="6" w:name="_Toc118208060"/>
      <w:r>
        <w:rPr>
          <w:b/>
          <w:bCs/>
        </w:rPr>
        <w:t>2.5需要监测的重点场所、设施、设备识别</w:t>
      </w:r>
      <w:bookmarkEnd w:id="6"/>
    </w:p>
    <w:p>
      <w:pPr>
        <w:ind w:firstLine="640" w:firstLineChars="200"/>
      </w:pPr>
      <w:r>
        <w:t>按照下列原则识别出</w:t>
      </w:r>
      <w:r>
        <w:rPr>
          <w:b/>
          <w:bCs/>
        </w:rPr>
        <w:t>需要监测的重点场所、设施、设备：</w:t>
      </w:r>
    </w:p>
    <w:p>
      <w:pPr>
        <w:pStyle w:val="20"/>
        <w:numPr>
          <w:ilvl w:val="0"/>
          <w:numId w:val="4"/>
        </w:numPr>
        <w:ind w:left="0" w:firstLine="643"/>
        <w:rPr>
          <w:b/>
          <w:bCs/>
        </w:rPr>
      </w:pPr>
      <w:r>
        <w:rPr>
          <w:b/>
          <w:bCs/>
        </w:rPr>
        <w:t>是否涉及有毒有害物质；</w:t>
      </w:r>
    </w:p>
    <w:p>
      <w:pPr>
        <w:pStyle w:val="20"/>
        <w:numPr>
          <w:ilvl w:val="0"/>
          <w:numId w:val="4"/>
        </w:numPr>
        <w:ind w:left="0" w:firstLine="643"/>
        <w:rPr>
          <w:b/>
          <w:bCs/>
        </w:rPr>
      </w:pPr>
      <w:r>
        <w:rPr>
          <w:b/>
          <w:bCs/>
        </w:rPr>
        <w:t>是否具备污染途径；</w:t>
      </w:r>
    </w:p>
    <w:p>
      <w:pPr>
        <w:ind w:firstLine="640" w:firstLineChars="200"/>
      </w:pPr>
      <w:r>
        <w:t>有毒有害物质的筛查可参照附件2。有毒有害物质的识别应全面、详尽，不应仅识别三废及危废中的有毒有害污染物，筛查范围还应包括该场所、设施、设备的主要原辅用料、中间产品和最终产品中的有毒有害物质。</w:t>
      </w:r>
    </w:p>
    <w:p>
      <w:pPr>
        <w:ind w:firstLine="640" w:firstLineChars="200"/>
      </w:pPr>
      <w:r>
        <w:t>是否具备污染途径主要通过以下原则判断：</w:t>
      </w:r>
    </w:p>
    <w:p>
      <w:pPr>
        <w:pStyle w:val="20"/>
        <w:numPr>
          <w:ilvl w:val="0"/>
          <w:numId w:val="5"/>
        </w:numPr>
        <w:ind w:left="0" w:firstLine="640"/>
      </w:pPr>
      <w:r>
        <w:t>泄漏可能性：主要指该场所、设施、设备是否具备基本的防渗漏、流失、扬散的土壤污染预防功能。如地上式储罐、管道等设施腐蚀、老旧、生锈、无围堰等，液体储存池池体老化、破损等，散装液体物料无溢流保护装置等，散装货物无苫盖或顶棚等，危废贮存场所无屋顶封闭、无收集沟及收集井等，应视为具有泄漏可能性。</w:t>
      </w:r>
    </w:p>
    <w:p>
      <w:pPr>
        <w:pStyle w:val="20"/>
        <w:numPr>
          <w:ilvl w:val="0"/>
          <w:numId w:val="5"/>
        </w:numPr>
        <w:ind w:left="0" w:firstLine="640"/>
      </w:pPr>
      <w:r>
        <w:t>防渗有效性：主要指在发生渗漏、流失、扬散的情况下，该场所、设施、设备是否具备防止污染物进入土壤的设施。如各场所、设施、设备所在区域地表（除绿化带外）存在未硬化地面、硬化地面有破损或裂缝等，应视为防渗有破损。</w:t>
      </w:r>
    </w:p>
    <w:p>
      <w:pPr>
        <w:pStyle w:val="20"/>
        <w:numPr>
          <w:ilvl w:val="0"/>
          <w:numId w:val="5"/>
        </w:numPr>
        <w:ind w:left="0" w:firstLine="640"/>
      </w:pPr>
      <w:r>
        <w:t>可能泄漏且防渗有破损，视为具备污染途径。是否具备污染途径的判别也可参考《重点监管单位土壤污染隐患排查指南（试行）》附录A，判断各类重点场所、设施、设备的土壤污染预防设施/功能是否配备和正常运行。如地下储罐等设备无泄漏检测或阴极保护等预防设施或设施已失效的，应视为具备污染途径。</w:t>
      </w:r>
    </w:p>
    <w:p>
      <w:pPr>
        <w:ind w:firstLine="642" w:firstLineChars="200"/>
      </w:pPr>
      <w:bookmarkStart w:id="7" w:name="_Hlk104283704"/>
      <w:r>
        <w:rPr>
          <w:b/>
          <w:bCs/>
        </w:rPr>
        <w:t>需要监测的重点场所、设施、设备</w:t>
      </w:r>
      <w:r>
        <w:t>的识别可参考重点监管单位土壤污染隐患排查报告中的重点场所、重点设施设备清单以及隐患排查台账、隐患整改台账等资料。</w:t>
      </w:r>
    </w:p>
    <w:bookmarkEnd w:id="7"/>
    <w:p>
      <w:pPr>
        <w:pStyle w:val="20"/>
        <w:ind w:firstLine="0" w:firstLineChars="0"/>
        <w:outlineLvl w:val="1"/>
        <w:rPr>
          <w:b/>
          <w:bCs/>
        </w:rPr>
      </w:pPr>
      <w:bookmarkStart w:id="8" w:name="_Toc118208061"/>
      <w:r>
        <w:rPr>
          <w:b/>
          <w:bCs/>
        </w:rPr>
        <w:t>2.6重点监测单元识别与分类</w:t>
      </w:r>
      <w:bookmarkEnd w:id="8"/>
    </w:p>
    <w:p>
      <w:pPr>
        <w:ind w:firstLine="642" w:firstLineChars="200"/>
      </w:pPr>
      <w:r>
        <w:rPr>
          <w:b/>
          <w:bCs/>
        </w:rPr>
        <w:t>需要监测的重点场所、设施、设备</w:t>
      </w:r>
      <w:r>
        <w:t>分布较密集的区域可统一划分为一个</w:t>
      </w:r>
      <w:r>
        <w:rPr>
          <w:b/>
          <w:bCs/>
        </w:rPr>
        <w:t>重点监测单元</w:t>
      </w:r>
      <w:r>
        <w:t>，每个重点监测单元原则上面积不大于6400m</w:t>
      </w:r>
      <w:r>
        <w:rPr>
          <w:vertAlign w:val="superscript"/>
        </w:rPr>
        <w:t>2</w:t>
      </w:r>
      <w:r>
        <w:t>。</w:t>
      </w:r>
    </w:p>
    <w:p>
      <w:pPr>
        <w:ind w:firstLine="640" w:firstLineChars="200"/>
      </w:pPr>
      <w:r>
        <w:t>若</w:t>
      </w:r>
      <w:r>
        <w:rPr>
          <w:b/>
          <w:bCs/>
        </w:rPr>
        <w:t>重点监测单元</w:t>
      </w:r>
      <w:r>
        <w:t>内部存在隐蔽性的重点场所、设施、设备，归类为一类单元，否则归类为二类单元。隐蔽性重点设施设备指污染发生后不能及时发现或处理的重点设施设备。应特别注意除地下、半地下设施设备外，涉及有毒有害物质的关键部位直接接地的储罐、池体、管道等也属于隐蔽性设施设备。</w:t>
      </w:r>
    </w:p>
    <w:p>
      <w:pPr>
        <w:jc w:val="center"/>
      </w:pPr>
      <w:r>
        <w:drawing>
          <wp:inline distT="0" distB="0" distL="0" distR="0">
            <wp:extent cx="5274310" cy="2002790"/>
            <wp:effectExtent l="0" t="0" r="254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8"/>
                    <a:stretch>
                      <a:fillRect/>
                    </a:stretch>
                  </pic:blipFill>
                  <pic:spPr>
                    <a:xfrm>
                      <a:off x="0" y="0"/>
                      <a:ext cx="5274310" cy="2002790"/>
                    </a:xfrm>
                    <a:prstGeom prst="rect">
                      <a:avLst/>
                    </a:prstGeom>
                  </pic:spPr>
                </pic:pic>
              </a:graphicData>
            </a:graphic>
          </wp:inline>
        </w:drawing>
      </w:r>
    </w:p>
    <w:p>
      <w:pPr>
        <w:spacing w:before="156" w:beforeLines="50" w:after="156" w:afterLines="50"/>
        <w:jc w:val="center"/>
        <w:rPr>
          <w:rFonts w:eastAsia="黑体"/>
          <w:sz w:val="28"/>
          <w:szCs w:val="28"/>
        </w:rPr>
      </w:pPr>
      <w:r>
        <w:rPr>
          <w:rFonts w:eastAsia="黑体"/>
          <w:sz w:val="28"/>
          <w:szCs w:val="28"/>
        </w:rPr>
        <w:t>图2 隐蔽性与非隐蔽性重点场所、设施、设备划分示意</w:t>
      </w:r>
    </w:p>
    <w:p>
      <w:pPr>
        <w:pStyle w:val="20"/>
        <w:numPr>
          <w:ilvl w:val="0"/>
          <w:numId w:val="1"/>
        </w:numPr>
        <w:ind w:firstLineChars="0"/>
        <w:outlineLvl w:val="0"/>
        <w:rPr>
          <w:rFonts w:eastAsia="黑体"/>
        </w:rPr>
      </w:pPr>
      <w:bookmarkStart w:id="9" w:name="_Toc118208062"/>
      <w:r>
        <w:rPr>
          <w:rFonts w:eastAsia="黑体"/>
        </w:rPr>
        <w:t>监测点位布设</w:t>
      </w:r>
      <w:bookmarkEnd w:id="9"/>
    </w:p>
    <w:p>
      <w:pPr>
        <w:pStyle w:val="20"/>
        <w:ind w:firstLine="0" w:firstLineChars="0"/>
        <w:outlineLvl w:val="1"/>
        <w:rPr>
          <w:b/>
          <w:bCs/>
        </w:rPr>
      </w:pPr>
      <w:bookmarkStart w:id="10" w:name="_Toc118208063"/>
      <w:r>
        <w:rPr>
          <w:b/>
          <w:bCs/>
        </w:rPr>
        <w:t>3.1土壤监测点</w:t>
      </w:r>
      <w:bookmarkEnd w:id="10"/>
    </w:p>
    <w:p>
      <w:pPr>
        <w:ind w:firstLine="640" w:firstLineChars="200"/>
      </w:pPr>
      <w:r>
        <w:t>一类单元应布设表层土壤监测点及深层土壤监测点，二类单元应布设表层土壤监测点，其布设数量、位置及采样深度要求参照表2。</w:t>
      </w:r>
    </w:p>
    <w:p>
      <w:pPr>
        <w:spacing w:before="156" w:beforeLines="50" w:after="156" w:afterLines="50"/>
        <w:jc w:val="center"/>
        <w:rPr>
          <w:rFonts w:eastAsia="黑体"/>
          <w:sz w:val="28"/>
          <w:szCs w:val="28"/>
        </w:rPr>
      </w:pPr>
      <w:r>
        <w:rPr>
          <w:rFonts w:eastAsia="黑体"/>
          <w:sz w:val="28"/>
          <w:szCs w:val="28"/>
        </w:rPr>
        <w:t>表2 重点监测单元土壤监测点布设要求</w:t>
      </w:r>
    </w:p>
    <w:tbl>
      <w:tblPr>
        <w:tblStyle w:val="11"/>
        <w:tblW w:w="577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819"/>
        <w:gridCol w:w="947"/>
        <w:gridCol w:w="2323"/>
        <w:gridCol w:w="1307"/>
        <w:gridCol w:w="1311"/>
        <w:gridCol w:w="1311"/>
        <w:gridCol w:w="182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单元类型</w:t>
            </w:r>
          </w:p>
        </w:tc>
        <w:tc>
          <w:tcPr>
            <w:tcW w:w="4584" w:type="pct"/>
            <w:gridSpan w:val="6"/>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土壤监测点布设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vMerge w:val="continue"/>
            <w:tcBorders>
              <w:left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p>
        </w:tc>
        <w:tc>
          <w:tcPr>
            <w:tcW w:w="2325" w:type="pct"/>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表层</w:t>
            </w:r>
          </w:p>
        </w:tc>
        <w:tc>
          <w:tcPr>
            <w:tcW w:w="2259" w:type="pct"/>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深层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vMerge w:val="continue"/>
            <w:tcBorders>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p>
        </w:tc>
        <w:tc>
          <w:tcPr>
            <w:tcW w:w="481"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数量</w:t>
            </w:r>
          </w:p>
        </w:tc>
        <w:tc>
          <w:tcPr>
            <w:tcW w:w="1180"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位置</w:t>
            </w:r>
          </w:p>
        </w:tc>
        <w:tc>
          <w:tcPr>
            <w:tcW w:w="664"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采样深度</w:t>
            </w:r>
          </w:p>
        </w:tc>
        <w:tc>
          <w:tcPr>
            <w:tcW w:w="666"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数量</w:t>
            </w:r>
          </w:p>
        </w:tc>
        <w:tc>
          <w:tcPr>
            <w:tcW w:w="666"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位置</w:t>
            </w:r>
          </w:p>
        </w:tc>
        <w:tc>
          <w:tcPr>
            <w:tcW w:w="927"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采样深度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992" w:hRule="atLeast"/>
          <w:jc w:val="center"/>
        </w:trPr>
        <w:tc>
          <w:tcPr>
            <w:tcW w:w="416"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一类单元</w:t>
            </w:r>
          </w:p>
        </w:tc>
        <w:tc>
          <w:tcPr>
            <w:tcW w:w="481"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至少1个</w:t>
            </w:r>
          </w:p>
        </w:tc>
        <w:tc>
          <w:tcPr>
            <w:tcW w:w="1180" w:type="pct"/>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优先在单元内部布设，内部不具备条件时可在单元周边20m范围内布设。原则上应布设在土壤裸露处，并兼顾考虑设置在雨水易于汇流和积聚的区域，污染途径包含扬散的单元还应结合污染物主要沉降位置确定点位。</w:t>
            </w:r>
          </w:p>
        </w:tc>
        <w:tc>
          <w:tcPr>
            <w:tcW w:w="664" w:type="pct"/>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0～0.5m</w:t>
            </w:r>
          </w:p>
        </w:tc>
        <w:tc>
          <w:tcPr>
            <w:tcW w:w="666"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原则上每个隐蔽式场所、设施、设备周边至少1个</w:t>
            </w:r>
          </w:p>
        </w:tc>
        <w:tc>
          <w:tcPr>
            <w:tcW w:w="666"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隐蔽式场所、设施、设备周边</w:t>
            </w:r>
          </w:p>
        </w:tc>
        <w:tc>
          <w:tcPr>
            <w:tcW w:w="927"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略低于其对应的隐蔽式场所、设施、设备底部与土壤接触面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二类单元</w:t>
            </w:r>
          </w:p>
        </w:tc>
        <w:tc>
          <w:tcPr>
            <w:tcW w:w="481"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至少1个</w:t>
            </w:r>
          </w:p>
        </w:tc>
        <w:tc>
          <w:tcPr>
            <w:tcW w:w="1180" w:type="pct"/>
            <w:vMerge w:val="continue"/>
            <w:tcBorders>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p>
        </w:tc>
        <w:tc>
          <w:tcPr>
            <w:tcW w:w="664" w:type="pct"/>
            <w:vMerge w:val="continue"/>
            <w:tcBorders>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p>
        </w:tc>
        <w:tc>
          <w:tcPr>
            <w:tcW w:w="2259" w:type="pct"/>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bl>
    <w:p>
      <w:pPr>
        <w:ind w:firstLine="640" w:firstLineChars="200"/>
      </w:pPr>
      <w:r>
        <w:t>满足下列情况时可相应调整土壤监测点：</w:t>
      </w:r>
    </w:p>
    <w:p>
      <w:pPr>
        <w:pStyle w:val="20"/>
        <w:numPr>
          <w:ilvl w:val="0"/>
          <w:numId w:val="6"/>
        </w:numPr>
        <w:ind w:left="0" w:firstLine="640"/>
      </w:pPr>
      <w:r>
        <w:t>一类单元下游50m范围内设有地下水监测井并按照本标准要求开展地下水监测的，该单元可不布设深层土壤监测点。</w:t>
      </w:r>
    </w:p>
    <w:p>
      <w:pPr>
        <w:pStyle w:val="20"/>
        <w:numPr>
          <w:ilvl w:val="0"/>
          <w:numId w:val="6"/>
        </w:numPr>
        <w:ind w:left="0" w:firstLine="640"/>
      </w:pPr>
      <w:r>
        <w:t>一类或二类单元内部及周边20m范围内地面已全部采取无缝硬化或其他有效防渗措施，无裸露土壤的，可不布设表层土壤监测点，但应在监测报告中提供相应的影像记录并予以说明。</w:t>
      </w:r>
    </w:p>
    <w:p>
      <w:pPr>
        <w:pStyle w:val="20"/>
        <w:numPr>
          <w:ilvl w:val="0"/>
          <w:numId w:val="6"/>
        </w:numPr>
        <w:ind w:left="0" w:firstLine="640"/>
      </w:pPr>
      <w:r>
        <w:t>根据地勘资料，目标采样层无土壤可采的区域，如某深层土壤监测点目标采样深度为岩层等，可不进行相应监测，但应在监测报告中提供地勘资料并予以说明。</w:t>
      </w:r>
    </w:p>
    <w:p>
      <w:pPr>
        <w:pStyle w:val="20"/>
        <w:ind w:firstLine="0" w:firstLineChars="0"/>
        <w:outlineLvl w:val="1"/>
        <w:rPr>
          <w:b/>
          <w:bCs/>
        </w:rPr>
      </w:pPr>
      <w:bookmarkStart w:id="11" w:name="_Toc118208064"/>
      <w:r>
        <w:rPr>
          <w:b/>
          <w:bCs/>
        </w:rPr>
        <w:t>3.2地下水监测井</w:t>
      </w:r>
      <w:bookmarkEnd w:id="11"/>
    </w:p>
    <w:p>
      <w:pPr>
        <w:ind w:firstLine="640" w:firstLineChars="200"/>
      </w:pPr>
      <w:r>
        <w:t>地下水监测井包括对照点和污染物监测井两种，其布设数量、位置和采样深度要求参照表3。针对沿海企业，为有效甄别海水高背景影响可能导致的企业内部地下水总硬度、硫酸盐、氯化物、碘化物、钠等常规指标异常，建议至少布设2个地下水对照点。</w:t>
      </w:r>
    </w:p>
    <w:p>
      <w:pPr>
        <w:spacing w:before="156" w:beforeLines="50" w:after="156" w:afterLines="50"/>
        <w:jc w:val="center"/>
        <w:rPr>
          <w:rFonts w:eastAsia="黑体"/>
          <w:sz w:val="28"/>
          <w:szCs w:val="28"/>
        </w:rPr>
      </w:pPr>
      <w:r>
        <w:rPr>
          <w:rFonts w:eastAsia="黑体"/>
          <w:sz w:val="28"/>
          <w:szCs w:val="28"/>
        </w:rPr>
        <w:t>表3 重点监测单元地下水监测井布设要求</w:t>
      </w:r>
    </w:p>
    <w:tbl>
      <w:tblPr>
        <w:tblStyle w:val="11"/>
        <w:tblW w:w="5978"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70"/>
        <w:gridCol w:w="4275"/>
        <w:gridCol w:w="52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329"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序号</w:t>
            </w:r>
          </w:p>
        </w:tc>
        <w:tc>
          <w:tcPr>
            <w:tcW w:w="2098"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地下水对照点</w:t>
            </w:r>
          </w:p>
        </w:tc>
        <w:tc>
          <w:tcPr>
            <w:tcW w:w="2573"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地下水污染物监测井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329" w:type="pct"/>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数量</w:t>
            </w:r>
          </w:p>
        </w:tc>
        <w:tc>
          <w:tcPr>
            <w:tcW w:w="2098"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至少1个（沿海企业建议布设至少2个）</w:t>
            </w:r>
          </w:p>
        </w:tc>
        <w:tc>
          <w:tcPr>
            <w:tcW w:w="2573"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根据单元内重点场所、设施、设备的数量确定，应能捕捉到该单元内所有重点场所、设施、设备可能产生的地下水污染，且每个单元不少于1个</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329" w:type="pct"/>
            <w:vMerge w:val="continue"/>
            <w:tcBorders>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p>
        </w:tc>
        <w:tc>
          <w:tcPr>
            <w:tcW w:w="4671" w:type="pct"/>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总数不少于3个</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329" w:type="pct"/>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位置</w:t>
            </w:r>
          </w:p>
        </w:tc>
        <w:tc>
          <w:tcPr>
            <w:tcW w:w="2098"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位于企业用地地下水流向上游处，且与污染物监测井设置在同一含水层，并应尽量保证不受自行监测企业生产过程影响</w:t>
            </w:r>
          </w:p>
        </w:tc>
        <w:tc>
          <w:tcPr>
            <w:tcW w:w="2573"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根据单元内重点场所、设施、设备的分布确定，应布设在污染物运移路径的下游方向，应能捕捉到该单元内所有重点场所、设施、设备可能产生的地下水污染</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329" w:type="pct"/>
            <w:vMerge w:val="continue"/>
            <w:tcBorders>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p>
        </w:tc>
        <w:tc>
          <w:tcPr>
            <w:tcW w:w="4671" w:type="pct"/>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避免在同一直线上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329"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采样深度</w:t>
            </w:r>
          </w:p>
        </w:tc>
        <w:tc>
          <w:tcPr>
            <w:tcW w:w="4671" w:type="pct"/>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原则上只调查潜水，钻探深度以揭露浅层地下水，且不穿透浅层地下水隔水底板为准。监测井滤水管要求，丰水期间需要有1m的滤水管位于水面以上；枯水期需有1m的滤水管位于地下水面以下。涉及地下取水的企业应考虑增加取水层监测</w:t>
            </w:r>
          </w:p>
        </w:tc>
      </w:tr>
    </w:tbl>
    <w:p>
      <w:pPr>
        <w:ind w:firstLine="480" w:firstLineChars="200"/>
        <w:rPr>
          <w:sz w:val="24"/>
          <w:szCs w:val="21"/>
        </w:rPr>
      </w:pPr>
    </w:p>
    <w:p>
      <w:pPr>
        <w:ind w:firstLine="480" w:firstLineChars="200"/>
        <w:rPr>
          <w:sz w:val="24"/>
          <w:szCs w:val="21"/>
        </w:rPr>
      </w:pPr>
      <w:r>
        <w:rPr>
          <w:sz w:val="24"/>
          <w:szCs w:val="21"/>
        </w:rPr>
        <w:t>注：湛江市地层分布以人工填土和第四系冲洪积土（淤泥质土、砂土、粉质粘土等）为主，地下水水量较为丰富，水位埋深较浅，一般情况下建议地下水监测井以粉质粘土层为隔水底板，钻探深度可控制在8~15米左右，具体以重点监管单位所在地块水文地质条件为准。</w:t>
      </w:r>
    </w:p>
    <w:p>
      <w:pPr>
        <w:rPr>
          <w:sz w:val="24"/>
          <w:szCs w:val="21"/>
        </w:rPr>
      </w:pPr>
    </w:p>
    <w:p>
      <w:pPr>
        <w:ind w:firstLine="640" w:firstLineChars="200"/>
      </w:pPr>
      <w:r>
        <w:t>在满足上述布设要求的前提下，针对一类单元可适当考虑将地下水污染物监测井布设在该单元下游50m范围内，替代深层土壤监测。</w:t>
      </w:r>
    </w:p>
    <w:p>
      <w:pPr>
        <w:ind w:firstLine="640" w:firstLineChars="200"/>
      </w:pPr>
      <w:r>
        <w:t>满足下列情况时可相应调整地下水监测井：根据地勘资料，目标采样层地下水埋藏条件不适宜采样的区域，可不进行相应监测，但应在监测报告中提供地勘资料并予以说明。</w:t>
      </w:r>
    </w:p>
    <w:p>
      <w:pPr>
        <w:pStyle w:val="20"/>
        <w:numPr>
          <w:ilvl w:val="0"/>
          <w:numId w:val="1"/>
        </w:numPr>
        <w:ind w:firstLineChars="0"/>
        <w:outlineLvl w:val="0"/>
        <w:rPr>
          <w:rFonts w:eastAsia="黑体"/>
        </w:rPr>
      </w:pPr>
      <w:bookmarkStart w:id="12" w:name="_Toc118208065"/>
      <w:r>
        <w:rPr>
          <w:rFonts w:eastAsia="黑体"/>
        </w:rPr>
        <w:t>地下水监测井筛选、建设与管理</w:t>
      </w:r>
      <w:bookmarkEnd w:id="12"/>
    </w:p>
    <w:p>
      <w:pPr>
        <w:ind w:firstLine="640" w:firstLineChars="200"/>
      </w:pPr>
      <w:r>
        <w:t>企业或邻近区域内现有的地下水监测井若需用作地下水对照点或污染物监测井，应满足地下水监测井的点位布设要求及HJ 164的筛选要求。现有符合要求的监测井的历史建井资料也应做好收集和归档。</w:t>
      </w:r>
    </w:p>
    <w:p>
      <w:pPr>
        <w:ind w:firstLine="640" w:firstLineChars="200"/>
      </w:pPr>
      <w:r>
        <w:t>新建的地下水监测井，应符合HJ 164的要求并做好管理和建井资料归档工作。地下水监测井应建成长期监测井。监测井的井管应选择坚固、耐腐蚀、不会对地下水水质造成污染的材料制成。当地下水检测项目为有机物或地下水需要长期监测时，宜选择不锈钢材质井管；当检测项目为无机物或地下水的腐蚀性较强时，宜选择聚氯乙烯（PVC）材质管件。</w:t>
      </w:r>
    </w:p>
    <w:p>
      <w:pPr>
        <w:pStyle w:val="20"/>
        <w:numPr>
          <w:ilvl w:val="0"/>
          <w:numId w:val="1"/>
        </w:numPr>
        <w:ind w:firstLineChars="0"/>
        <w:outlineLvl w:val="0"/>
        <w:rPr>
          <w:rFonts w:eastAsia="黑体"/>
        </w:rPr>
      </w:pPr>
      <w:bookmarkStart w:id="13" w:name="_Toc118208066"/>
      <w:r>
        <w:rPr>
          <w:rFonts w:eastAsia="黑体"/>
        </w:rPr>
        <w:t>监测指标</w:t>
      </w:r>
      <w:bookmarkEnd w:id="13"/>
    </w:p>
    <w:p>
      <w:pPr>
        <w:ind w:firstLine="640" w:firstLineChars="200"/>
      </w:pPr>
      <w:r>
        <w:t>企业自行监测分为初次监测与后续监测两种类型。</w:t>
      </w:r>
    </w:p>
    <w:p>
      <w:pPr>
        <w:pStyle w:val="20"/>
        <w:ind w:firstLine="0" w:firstLineChars="0"/>
        <w:outlineLvl w:val="1"/>
        <w:rPr>
          <w:b/>
          <w:bCs/>
        </w:rPr>
      </w:pPr>
      <w:bookmarkStart w:id="14" w:name="_Toc118208067"/>
      <w:r>
        <w:rPr>
          <w:b/>
          <w:bCs/>
        </w:rPr>
        <w:t>5.1初次监测</w:t>
      </w:r>
      <w:bookmarkEnd w:id="14"/>
    </w:p>
    <w:p>
      <w:pPr>
        <w:ind w:firstLine="640" w:firstLineChars="200"/>
      </w:pPr>
      <w:r>
        <w:t>初次监测指标应按照“基本项+关注污染物”的原则确定：</w:t>
      </w:r>
    </w:p>
    <w:p>
      <w:pPr>
        <w:pStyle w:val="20"/>
        <w:numPr>
          <w:ilvl w:val="0"/>
          <w:numId w:val="7"/>
        </w:numPr>
        <w:ind w:left="0" w:firstLine="640"/>
      </w:pPr>
      <w:r>
        <w:t>土壤监测基本项：GB 36600表1中45项；</w:t>
      </w:r>
    </w:p>
    <w:p>
      <w:pPr>
        <w:pStyle w:val="20"/>
        <w:numPr>
          <w:ilvl w:val="0"/>
          <w:numId w:val="7"/>
        </w:numPr>
        <w:ind w:left="0" w:firstLine="640"/>
      </w:pPr>
      <w:r>
        <w:t>地下水监测基本项：GB/T 14848表1中35项（微生物指标、放射性指标除外）；</w:t>
      </w:r>
    </w:p>
    <w:p>
      <w:pPr>
        <w:pStyle w:val="20"/>
        <w:numPr>
          <w:ilvl w:val="0"/>
          <w:numId w:val="7"/>
        </w:numPr>
        <w:ind w:left="0" w:firstLine="640"/>
      </w:pPr>
      <w:r>
        <w:t>企业内任何重点监测单元涉及上述范围外的关注污染物，应根据其土壤或地下水的污染特性，将其纳入企业内所有土壤或地下水监测点的初次监测指标。</w:t>
      </w:r>
    </w:p>
    <w:p>
      <w:pPr>
        <w:ind w:firstLine="640" w:firstLineChars="200"/>
      </w:pPr>
      <w:r>
        <w:t>关注污染物应按照以下原则确定：</w:t>
      </w:r>
    </w:p>
    <w:p>
      <w:pPr>
        <w:pStyle w:val="20"/>
        <w:numPr>
          <w:ilvl w:val="0"/>
          <w:numId w:val="8"/>
        </w:numPr>
        <w:ind w:left="0" w:firstLine="640"/>
      </w:pPr>
      <w:r>
        <w:t>企业环境影响评价文件及其批复中确定的土壤和地下水特征因子；</w:t>
      </w:r>
    </w:p>
    <w:p>
      <w:pPr>
        <w:pStyle w:val="20"/>
        <w:numPr>
          <w:ilvl w:val="0"/>
          <w:numId w:val="8"/>
        </w:numPr>
        <w:ind w:left="0" w:firstLine="640"/>
      </w:pPr>
      <w:r>
        <w:t>排污许可证等相关管理规定或企业执行的污染物排放（控制）标准中可能对土壤或地下水产生影响的污染物指标；</w:t>
      </w:r>
    </w:p>
    <w:p>
      <w:pPr>
        <w:pStyle w:val="20"/>
        <w:numPr>
          <w:ilvl w:val="0"/>
          <w:numId w:val="8"/>
        </w:numPr>
        <w:ind w:left="0" w:firstLine="640"/>
      </w:pPr>
      <w:r>
        <w:t>企业生产过程的原辅用料、生产工艺、中间及最终产品中可能对土壤或地下水产生影响的有毒有害物质（附件2）；</w:t>
      </w:r>
    </w:p>
    <w:p>
      <w:pPr>
        <w:pStyle w:val="20"/>
        <w:numPr>
          <w:ilvl w:val="0"/>
          <w:numId w:val="8"/>
        </w:numPr>
        <w:ind w:left="0" w:firstLine="640"/>
      </w:pPr>
      <w:r>
        <w:t>上述污染物在土壤或地下水中转化或降解产生的污染物；</w:t>
      </w:r>
    </w:p>
    <w:p>
      <w:pPr>
        <w:pStyle w:val="20"/>
        <w:numPr>
          <w:ilvl w:val="0"/>
          <w:numId w:val="8"/>
        </w:numPr>
        <w:ind w:left="0" w:firstLine="640"/>
      </w:pPr>
      <w:r>
        <w:t>涉及附件3及HJ 164附录F中对应行业的特征项目。</w:t>
      </w:r>
    </w:p>
    <w:p>
      <w:pPr>
        <w:pStyle w:val="20"/>
        <w:ind w:firstLine="0" w:firstLineChars="0"/>
        <w:outlineLvl w:val="1"/>
        <w:rPr>
          <w:b/>
          <w:bCs/>
        </w:rPr>
      </w:pPr>
      <w:bookmarkStart w:id="15" w:name="_Toc118208068"/>
      <w:r>
        <w:rPr>
          <w:b/>
          <w:bCs/>
        </w:rPr>
        <w:t>5.2后续监测</w:t>
      </w:r>
      <w:bookmarkEnd w:id="15"/>
    </w:p>
    <w:p>
      <w:pPr>
        <w:ind w:firstLine="640" w:firstLineChars="200"/>
      </w:pPr>
      <w:r>
        <w:t>后续监测应按照不同的重点监测单元分别确定该监测单元内土壤和地下水监测指标，包括：</w:t>
      </w:r>
    </w:p>
    <w:p>
      <w:pPr>
        <w:pStyle w:val="20"/>
        <w:numPr>
          <w:ilvl w:val="0"/>
          <w:numId w:val="9"/>
        </w:numPr>
        <w:ind w:left="0" w:firstLine="640"/>
      </w:pPr>
      <w:r>
        <w:t>该重点监测单元对应的任一土壤监测点或地下水监测井在前期监测中</w:t>
      </w:r>
      <w:r>
        <w:rPr>
          <w:b/>
          <w:bCs/>
        </w:rPr>
        <w:t>结果异常</w:t>
      </w:r>
      <w:r>
        <w:t>的污染物，异常的判定参见本技术要点8.2。受地质背景或海水背景等因素影响造成异常的指标可不监测；</w:t>
      </w:r>
    </w:p>
    <w:p>
      <w:pPr>
        <w:pStyle w:val="20"/>
        <w:numPr>
          <w:ilvl w:val="0"/>
          <w:numId w:val="9"/>
        </w:numPr>
        <w:ind w:left="0" w:firstLine="640"/>
      </w:pPr>
      <w:r>
        <w:t>该重点监测单元涉及的所有关注污染物。</w:t>
      </w:r>
    </w:p>
    <w:p>
      <w:pPr>
        <w:pStyle w:val="20"/>
        <w:numPr>
          <w:ilvl w:val="0"/>
          <w:numId w:val="1"/>
        </w:numPr>
        <w:ind w:firstLineChars="0"/>
        <w:outlineLvl w:val="0"/>
        <w:rPr>
          <w:rFonts w:eastAsia="黑体"/>
        </w:rPr>
      </w:pPr>
      <w:bookmarkStart w:id="16" w:name="_Toc118208069"/>
      <w:r>
        <w:rPr>
          <w:rFonts w:eastAsia="黑体"/>
        </w:rPr>
        <w:t>监测方案制定与变更</w:t>
      </w:r>
      <w:bookmarkEnd w:id="16"/>
    </w:p>
    <w:p>
      <w:pPr>
        <w:pStyle w:val="20"/>
        <w:ind w:firstLine="0" w:firstLineChars="0"/>
        <w:outlineLvl w:val="1"/>
        <w:rPr>
          <w:b/>
          <w:bCs/>
        </w:rPr>
      </w:pPr>
      <w:bookmarkStart w:id="17" w:name="_Toc118208070"/>
      <w:r>
        <w:rPr>
          <w:b/>
          <w:bCs/>
        </w:rPr>
        <w:t>6.1监测方案制定</w:t>
      </w:r>
      <w:bookmarkEnd w:id="17"/>
    </w:p>
    <w:p>
      <w:pPr>
        <w:ind w:firstLine="640" w:firstLineChars="200"/>
        <w:rPr>
          <w:kern w:val="0"/>
          <w:szCs w:val="32"/>
        </w:rPr>
      </w:pPr>
      <w:r>
        <w:rPr>
          <w:kern w:val="0"/>
          <w:szCs w:val="32"/>
        </w:rPr>
        <w:t>监测方案编制应参照《广东省生态环境厅关于进一步加强土壤污染重点监管单位环境管理的通知》（粤环发〔2021〕8号）附件1。方案大纲及内容可根据企业情况适当调整，但至少应包括：</w:t>
      </w:r>
    </w:p>
    <w:p>
      <w:pPr>
        <w:pStyle w:val="20"/>
        <w:numPr>
          <w:ilvl w:val="0"/>
          <w:numId w:val="10"/>
        </w:numPr>
        <w:ind w:left="0" w:firstLine="640"/>
      </w:pPr>
      <w:r>
        <w:t>重点监测单元清单（附件4）；</w:t>
      </w:r>
    </w:p>
    <w:p>
      <w:pPr>
        <w:pStyle w:val="20"/>
        <w:numPr>
          <w:ilvl w:val="0"/>
          <w:numId w:val="10"/>
        </w:numPr>
        <w:ind w:left="0" w:firstLine="640"/>
      </w:pPr>
      <w:r>
        <w:t>标记有重点监测单元及监测点/监测井位置的企业总平面布置图；</w:t>
      </w:r>
    </w:p>
    <w:p>
      <w:pPr>
        <w:pStyle w:val="20"/>
        <w:numPr>
          <w:ilvl w:val="0"/>
          <w:numId w:val="10"/>
        </w:numPr>
        <w:ind w:left="0" w:firstLine="640"/>
      </w:pPr>
      <w:r>
        <w:t>重点监测单元识别与分类过程描述;</w:t>
      </w:r>
    </w:p>
    <w:p>
      <w:pPr>
        <w:pStyle w:val="20"/>
        <w:numPr>
          <w:ilvl w:val="0"/>
          <w:numId w:val="10"/>
        </w:numPr>
        <w:ind w:left="0" w:firstLine="640"/>
      </w:pPr>
      <w:r>
        <w:t>监测点位置、数量和深度的描述；</w:t>
      </w:r>
    </w:p>
    <w:p>
      <w:pPr>
        <w:pStyle w:val="20"/>
        <w:numPr>
          <w:ilvl w:val="0"/>
          <w:numId w:val="10"/>
        </w:numPr>
        <w:ind w:left="0" w:firstLine="640"/>
      </w:pPr>
      <w:r>
        <w:t>各点位监测指标与频次及其选取原因描述;</w:t>
      </w:r>
    </w:p>
    <w:p>
      <w:pPr>
        <w:pStyle w:val="20"/>
        <w:numPr>
          <w:ilvl w:val="0"/>
          <w:numId w:val="10"/>
        </w:numPr>
        <w:ind w:left="0" w:firstLine="640"/>
      </w:pPr>
      <w:r>
        <w:t>样品采集、保存、流转、制备等方法描述等。</w:t>
      </w:r>
    </w:p>
    <w:p>
      <w:pPr>
        <w:ind w:firstLine="640" w:firstLineChars="200"/>
      </w:pPr>
      <w:r>
        <w:t>监测方案的制定可结合重点监管单位土壤污染隐患排查报告中对自行监测工作的建议等内容。</w:t>
      </w:r>
    </w:p>
    <w:p>
      <w:pPr>
        <w:pStyle w:val="20"/>
        <w:ind w:firstLine="0" w:firstLineChars="0"/>
        <w:outlineLvl w:val="1"/>
        <w:rPr>
          <w:b/>
          <w:bCs/>
        </w:rPr>
      </w:pPr>
      <w:bookmarkStart w:id="18" w:name="_Toc118208071"/>
      <w:r>
        <w:rPr>
          <w:b/>
          <w:bCs/>
        </w:rPr>
        <w:t>6.2监测方案变更</w:t>
      </w:r>
      <w:bookmarkEnd w:id="18"/>
    </w:p>
    <w:p>
      <w:pPr>
        <w:ind w:firstLine="640" w:firstLineChars="200"/>
      </w:pPr>
      <w:r>
        <w:t>除下列情况外，监测方案不宜随意变更：</w:t>
      </w:r>
    </w:p>
    <w:p>
      <w:pPr>
        <w:pStyle w:val="20"/>
        <w:numPr>
          <w:ilvl w:val="0"/>
          <w:numId w:val="11"/>
        </w:numPr>
        <w:ind w:left="0" w:firstLine="640"/>
      </w:pPr>
      <w:r>
        <w:t>国家相关法律法规或标准发生变化；</w:t>
      </w:r>
    </w:p>
    <w:p>
      <w:pPr>
        <w:pStyle w:val="20"/>
        <w:numPr>
          <w:ilvl w:val="0"/>
          <w:numId w:val="11"/>
        </w:numPr>
        <w:ind w:left="0" w:firstLine="640"/>
      </w:pPr>
      <w:r>
        <w:t>企业的重点场所、设施、设备位置、功能、生产工艺等发生变动；</w:t>
      </w:r>
    </w:p>
    <w:p>
      <w:pPr>
        <w:pStyle w:val="20"/>
        <w:numPr>
          <w:ilvl w:val="0"/>
          <w:numId w:val="11"/>
        </w:numPr>
        <w:ind w:left="0" w:firstLine="640"/>
      </w:pPr>
      <w:r>
        <w:t>根据隐患排查结果或前次自行监测结果，需在原有基础上</w:t>
      </w:r>
      <w:r>
        <w:rPr>
          <w:b/>
          <w:bCs/>
        </w:rPr>
        <w:t>增加</w:t>
      </w:r>
      <w:r>
        <w:t>监测点位、监测指标或监测频次。</w:t>
      </w:r>
    </w:p>
    <w:p>
      <w:pPr>
        <w:ind w:firstLine="640" w:firstLineChars="200"/>
      </w:pPr>
      <w:r>
        <w:t>出现第（1）和第（2）种情形需要变更监测方案的，应按粤环发〔2021〕8号的要求重新组织监测方案专家论证；由于第（3）种情形引起的监测方案变更，应及时将变更后的监测方案上传</w:t>
      </w:r>
      <w:r>
        <w:rPr>
          <w:color w:val="000000"/>
          <w:lang w:bidi="ar"/>
        </w:rPr>
        <w:t>湛江市土壤环境管理信息系统。</w:t>
      </w:r>
    </w:p>
    <w:p>
      <w:pPr>
        <w:pStyle w:val="20"/>
        <w:numPr>
          <w:ilvl w:val="0"/>
          <w:numId w:val="1"/>
        </w:numPr>
        <w:ind w:firstLineChars="0"/>
        <w:outlineLvl w:val="0"/>
        <w:rPr>
          <w:rFonts w:eastAsia="黑体"/>
        </w:rPr>
      </w:pPr>
      <w:bookmarkStart w:id="19" w:name="_Toc118208072"/>
      <w:r>
        <w:rPr>
          <w:rFonts w:eastAsia="黑体"/>
        </w:rPr>
        <w:t>样品采集、保存、流转、制备与分析</w:t>
      </w:r>
      <w:bookmarkEnd w:id="19"/>
    </w:p>
    <w:p>
      <w:pPr>
        <w:ind w:firstLine="640" w:firstLineChars="200"/>
      </w:pPr>
      <w:r>
        <w:t>土壤样品采集方法按照HJ 25.2、HJ/T 166和HJ 1019的要求进行。用于检测挥发性有机物（VOCs）的土壤样品应用非扰动采样器采样，不允许进行均质化处理，也不得采集混合样。当采集用于测定不同类型污染物的土壤样品时，应优先采集用于测定挥发性有机物的土壤样品。</w:t>
      </w:r>
    </w:p>
    <w:p>
      <w:pPr>
        <w:ind w:firstLine="640" w:firstLineChars="200"/>
      </w:pPr>
      <w:r>
        <w:t>地下水采样前应进行洗井，洗井方法按照HJ 164的要求进行。地下水样品采集方法按照HJ 164、HJ 1019的要求进行。地下水样品采样深度一般应在地下水水位线 0.5m 以下。对于存在低密度非水溶性有机物污染物（比重小于水、与水不相溶的有机相，如汽油、柴油、煤油等），采样深度应在含水层顶部；对于存在高密度非水溶性有机污染物（比重大于水、与水不相溶的有机相，如三氯乙烯、四氯乙烯、四氯化碳等含氯有机溶剂、煤焦油等），采样深度应在含水层底部和不透水层顶部。</w:t>
      </w:r>
    </w:p>
    <w:p>
      <w:pPr>
        <w:ind w:firstLine="640" w:firstLineChars="200"/>
      </w:pPr>
      <w:r>
        <w:t>样品保存、流转、制备与分析环节应严格按照GB/T 32722、HJ 25.2、 HJ 164、HJ/T 166和 HJ 1019中的相关要求执行。</w:t>
      </w:r>
    </w:p>
    <w:p>
      <w:pPr>
        <w:pStyle w:val="20"/>
        <w:numPr>
          <w:ilvl w:val="0"/>
          <w:numId w:val="1"/>
        </w:numPr>
        <w:ind w:firstLineChars="0"/>
        <w:outlineLvl w:val="0"/>
        <w:rPr>
          <w:rFonts w:eastAsia="黑体"/>
        </w:rPr>
      </w:pPr>
      <w:bookmarkStart w:id="20" w:name="_Toc118208073"/>
      <w:r>
        <w:rPr>
          <w:rFonts w:eastAsia="黑体"/>
        </w:rPr>
        <w:t>监测结果分析</w:t>
      </w:r>
      <w:bookmarkEnd w:id="20"/>
    </w:p>
    <w:p>
      <w:pPr>
        <w:outlineLvl w:val="1"/>
        <w:rPr>
          <w:b/>
          <w:bCs/>
        </w:rPr>
      </w:pPr>
      <w:bookmarkStart w:id="21" w:name="_Toc118208074"/>
      <w:r>
        <w:rPr>
          <w:b/>
          <w:bCs/>
        </w:rPr>
        <w:t>8.1监测结果分析</w:t>
      </w:r>
      <w:bookmarkEnd w:id="21"/>
    </w:p>
    <w:p>
      <w:pPr>
        <w:ind w:firstLine="640" w:firstLineChars="200"/>
      </w:pPr>
      <w:r>
        <w:t>监测结果分析应至少包括下列内容：</w:t>
      </w:r>
    </w:p>
    <w:p>
      <w:pPr>
        <w:pStyle w:val="20"/>
        <w:numPr>
          <w:ilvl w:val="0"/>
          <w:numId w:val="12"/>
        </w:numPr>
        <w:ind w:left="0" w:firstLine="640"/>
      </w:pPr>
      <w:r>
        <w:t>土壤污染物浓度与GB 36600中第二类用地筛选值、土壤环境背景值或地方土壤污染风险管控标准对比情况；</w:t>
      </w:r>
    </w:p>
    <w:p>
      <w:pPr>
        <w:pStyle w:val="20"/>
        <w:numPr>
          <w:ilvl w:val="0"/>
          <w:numId w:val="12"/>
        </w:numPr>
        <w:ind w:left="0" w:firstLine="640"/>
      </w:pPr>
      <w:r>
        <w:t>地下水污染物浓度与该地区地下水功能区划在GB/T 14848中对应的限值或地方生态环境部门判定的该地区地下水环境本底值对比情况；</w:t>
      </w:r>
    </w:p>
    <w:p>
      <w:pPr>
        <w:pStyle w:val="20"/>
        <w:numPr>
          <w:ilvl w:val="0"/>
          <w:numId w:val="12"/>
        </w:numPr>
        <w:ind w:left="0" w:firstLine="640"/>
      </w:pPr>
      <w:r>
        <w:t>地下水各点位污染物监测值与该点位前次监测值对比情况；</w:t>
      </w:r>
    </w:p>
    <w:p>
      <w:pPr>
        <w:pStyle w:val="20"/>
        <w:numPr>
          <w:ilvl w:val="0"/>
          <w:numId w:val="12"/>
        </w:numPr>
        <w:ind w:left="0" w:firstLine="640"/>
      </w:pPr>
      <w:r>
        <w:t>地下水各点位污染物监测值趋势分析（《自行监测指南》附录C）。</w:t>
      </w:r>
    </w:p>
    <w:p>
      <w:pPr>
        <w:pStyle w:val="20"/>
        <w:numPr>
          <w:ilvl w:val="0"/>
          <w:numId w:val="12"/>
        </w:numPr>
        <w:ind w:left="0" w:firstLine="640"/>
      </w:pPr>
      <w:r>
        <w:t>土壤或地下水中关注污染物检出情况。</w:t>
      </w:r>
    </w:p>
    <w:p>
      <w:pPr>
        <w:pStyle w:val="20"/>
        <w:ind w:firstLine="0" w:firstLineChars="0"/>
        <w:outlineLvl w:val="1"/>
        <w:rPr>
          <w:b/>
          <w:bCs/>
        </w:rPr>
      </w:pPr>
      <w:bookmarkStart w:id="22" w:name="_Toc118208075"/>
      <w:r>
        <w:rPr>
          <w:b/>
          <w:bCs/>
        </w:rPr>
        <w:t>8.2监测结果异常判定</w:t>
      </w:r>
      <w:bookmarkEnd w:id="22"/>
    </w:p>
    <w:p>
      <w:pPr>
        <w:ind w:firstLine="640" w:firstLineChars="200"/>
      </w:pPr>
      <w:r>
        <w:t>当有点位在某一个监测年度内出现表4任一种情况时，应视为监测</w:t>
      </w:r>
      <w:r>
        <w:rPr>
          <w:b/>
          <w:bCs/>
        </w:rPr>
        <w:t>结果异常</w:t>
      </w:r>
      <w:r>
        <w:t>，该点位从下一个监测年度开始监测频次应至少提高1倍，直至至少连续2次监测结果均不再出现下列情况，后续监测年度方可恢复原有监测频次。经分析污染可能不由该企业生产活动造成时除外，但应在监测结果分析中一并说明。</w:t>
      </w:r>
    </w:p>
    <w:p>
      <w:pPr>
        <w:spacing w:before="156" w:beforeLines="50" w:after="156" w:afterLines="50"/>
        <w:jc w:val="center"/>
        <w:rPr>
          <w:rFonts w:eastAsia="黑体"/>
          <w:sz w:val="28"/>
          <w:szCs w:val="28"/>
        </w:rPr>
      </w:pPr>
      <w:r>
        <w:rPr>
          <w:rFonts w:eastAsia="黑体"/>
          <w:sz w:val="28"/>
          <w:szCs w:val="28"/>
        </w:rPr>
        <w:t>表4 土壤及地下水自行监测结果异常判定</w:t>
      </w:r>
    </w:p>
    <w:tbl>
      <w:tblPr>
        <w:tblStyle w:val="11"/>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72"/>
        <w:gridCol w:w="5002"/>
        <w:gridCol w:w="284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94" w:type="pct"/>
            <w:vMerge w:val="restart"/>
            <w:tcBorders>
              <w:top w:val="single" w:color="auto" w:sz="4" w:space="0"/>
              <w:left w:val="single" w:color="auto" w:sz="4" w:space="0"/>
              <w:right w:val="single" w:color="auto" w:sz="4" w:space="0"/>
            </w:tcBorders>
            <w:vAlign w:val="center"/>
          </w:tcPr>
          <w:p>
            <w:pPr>
              <w:spacing w:line="320" w:lineRule="exact"/>
              <w:jc w:val="center"/>
              <w:rPr>
                <w:rFonts w:eastAsia="楷体_GB2312"/>
                <w:b/>
                <w:bCs/>
                <w:color w:val="000000"/>
                <w:kern w:val="0"/>
                <w:sz w:val="21"/>
                <w:szCs w:val="21"/>
              </w:rPr>
            </w:pPr>
            <w:r>
              <w:rPr>
                <w:rFonts w:eastAsia="楷体_GB2312"/>
                <w:b/>
                <w:bCs/>
                <w:color w:val="000000"/>
                <w:kern w:val="0"/>
                <w:sz w:val="21"/>
                <w:szCs w:val="21"/>
              </w:rPr>
              <w:t>监测介质</w:t>
            </w:r>
          </w:p>
        </w:tc>
        <w:tc>
          <w:tcPr>
            <w:tcW w:w="4606" w:type="pct"/>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监测结果异常类别</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94" w:type="pct"/>
            <w:vMerge w:val="continue"/>
            <w:tcBorders>
              <w:left w:val="single" w:color="auto" w:sz="4" w:space="0"/>
              <w:bottom w:val="single" w:color="auto" w:sz="4" w:space="0"/>
              <w:right w:val="single" w:color="auto" w:sz="4" w:space="0"/>
            </w:tcBorders>
            <w:vAlign w:val="center"/>
          </w:tcPr>
          <w:p>
            <w:pPr>
              <w:widowControl/>
              <w:spacing w:line="320" w:lineRule="exact"/>
              <w:jc w:val="center"/>
              <w:rPr>
                <w:rFonts w:eastAsia="楷体_GB2312"/>
                <w:b/>
                <w:bCs/>
                <w:color w:val="000000"/>
                <w:kern w:val="0"/>
                <w:sz w:val="21"/>
                <w:szCs w:val="21"/>
              </w:rPr>
            </w:pPr>
          </w:p>
        </w:tc>
        <w:tc>
          <w:tcPr>
            <w:tcW w:w="2935"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超标</w:t>
            </w:r>
          </w:p>
        </w:tc>
        <w:tc>
          <w:tcPr>
            <w:tcW w:w="1671"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上升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土壤</w:t>
            </w:r>
          </w:p>
        </w:tc>
        <w:tc>
          <w:tcPr>
            <w:tcW w:w="2935"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污染物浓度超过GB 36600中第二类用地筛选值、土壤环境背景值或地方土壤污染风险管控标准</w:t>
            </w:r>
          </w:p>
        </w:tc>
        <w:tc>
          <w:tcPr>
            <w:tcW w:w="1671"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94" w:type="pct"/>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地下水</w:t>
            </w:r>
          </w:p>
        </w:tc>
        <w:tc>
          <w:tcPr>
            <w:tcW w:w="2935" w:type="pct"/>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污染物浓度超过该地区地下水功能区划在GB/T 14848中对应的限值</w:t>
            </w:r>
            <w:r>
              <w:rPr>
                <w:rFonts w:eastAsia="楷体_GB2312"/>
                <w:kern w:val="0"/>
                <w:sz w:val="21"/>
                <w:szCs w:val="21"/>
              </w:rPr>
              <w:t>或地方生态环境部门判定的该地区地下水环境本底值</w:t>
            </w:r>
          </w:p>
        </w:tc>
        <w:tc>
          <w:tcPr>
            <w:tcW w:w="1671"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污染物监测值高于该点位前次监测值30%以上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94" w:type="pct"/>
            <w:vMerge w:val="continue"/>
            <w:tcBorders>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p>
        </w:tc>
        <w:tc>
          <w:tcPr>
            <w:tcW w:w="2935" w:type="pct"/>
            <w:vMerge w:val="continue"/>
            <w:tcBorders>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p>
        </w:tc>
        <w:tc>
          <w:tcPr>
            <w:tcW w:w="1671"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污染物监测值连续4次以上呈上升趋势</w:t>
            </w:r>
          </w:p>
        </w:tc>
      </w:tr>
    </w:tbl>
    <w:p>
      <w:pPr>
        <w:ind w:firstLine="640" w:firstLineChars="200"/>
      </w:pPr>
      <w:r>
        <w:t>重点监管单位自行监测</w:t>
      </w:r>
      <w:r>
        <w:rPr>
          <w:b/>
          <w:bCs/>
        </w:rPr>
        <w:t>结果异常</w:t>
      </w:r>
      <w:r>
        <w:t>的，应按照粤环发〔2021〕8号的要求，及时补充开展土壤污染隐患排查。</w:t>
      </w:r>
    </w:p>
    <w:p>
      <w:pPr>
        <w:pStyle w:val="20"/>
        <w:numPr>
          <w:ilvl w:val="0"/>
          <w:numId w:val="1"/>
        </w:numPr>
        <w:ind w:firstLineChars="0"/>
        <w:outlineLvl w:val="0"/>
        <w:rPr>
          <w:rFonts w:eastAsia="黑体"/>
        </w:rPr>
      </w:pPr>
      <w:bookmarkStart w:id="23" w:name="_Toc118208076"/>
      <w:r>
        <w:rPr>
          <w:rFonts w:eastAsia="黑体"/>
        </w:rPr>
        <w:t>质量保证与质量控制</w:t>
      </w:r>
      <w:bookmarkEnd w:id="23"/>
    </w:p>
    <w:p>
      <w:pPr>
        <w:pStyle w:val="20"/>
        <w:ind w:firstLine="0" w:firstLineChars="0"/>
        <w:outlineLvl w:val="1"/>
        <w:rPr>
          <w:b/>
          <w:bCs/>
        </w:rPr>
      </w:pPr>
      <w:bookmarkStart w:id="24" w:name="_Toc118208077"/>
      <w:r>
        <w:rPr>
          <w:b/>
          <w:bCs/>
        </w:rPr>
        <w:t>9.1建立质量体系</w:t>
      </w:r>
      <w:bookmarkEnd w:id="24"/>
    </w:p>
    <w:p>
      <w:pPr>
        <w:ind w:firstLine="640" w:firstLineChars="200"/>
      </w:pPr>
      <w:r>
        <w:t>自行监测的承担单位应具备与监测任务相适应的工作条件，配备数量充足、技术水平满足工作要求的技术人员，并有适当的措施和程序保证监测结果准确可靠。企业全部或部分委托相关机构开展监测工作的，应确认机构的能力满足自行监测的质量要求。</w:t>
      </w:r>
    </w:p>
    <w:p>
      <w:pPr>
        <w:ind w:firstLine="640" w:firstLineChars="200"/>
      </w:pPr>
      <w:r>
        <w:t>承担单位应根据工作需求，梳理监测方案制定与实施各环节中为保证监测工作质量应制定的工作流程、管理措施与监督措施，建立自行监测质量体系。</w:t>
      </w:r>
    </w:p>
    <w:p>
      <w:pPr>
        <w:pStyle w:val="20"/>
        <w:ind w:firstLine="0" w:firstLineChars="0"/>
        <w:outlineLvl w:val="1"/>
        <w:rPr>
          <w:b/>
          <w:bCs/>
        </w:rPr>
      </w:pPr>
      <w:bookmarkStart w:id="25" w:name="_Toc118208078"/>
      <w:r>
        <w:rPr>
          <w:b/>
          <w:bCs/>
        </w:rPr>
        <w:t>9.2监测方案制定环节</w:t>
      </w:r>
      <w:bookmarkEnd w:id="25"/>
    </w:p>
    <w:p>
      <w:pPr>
        <w:ind w:firstLine="640" w:firstLineChars="200"/>
      </w:pPr>
      <w:r>
        <w:t>重点监管单位应按照粤环发〔2021〕8号的要求组织监测方案专家论证，专家不少于3名，原则上优先从广东省或湛江市建设用地土壤污染防治专家库中选取，且至少有1名熟悉相关工艺流程的行业专家。重点审核以下内容：</w:t>
      </w:r>
    </w:p>
    <w:p>
      <w:pPr>
        <w:pStyle w:val="20"/>
        <w:numPr>
          <w:ilvl w:val="0"/>
          <w:numId w:val="13"/>
        </w:numPr>
        <w:ind w:left="0" w:firstLine="640"/>
      </w:pPr>
      <w:r>
        <w:t>重点单元的识别与分类依据是否充分，是否已按照本技术要点的要求提供了重点监测单元清单及标记有重点单元及监测点/监测井位置的企业总平面布置图；</w:t>
      </w:r>
    </w:p>
    <w:p>
      <w:pPr>
        <w:pStyle w:val="20"/>
        <w:numPr>
          <w:ilvl w:val="0"/>
          <w:numId w:val="13"/>
        </w:numPr>
        <w:ind w:left="0" w:firstLine="640"/>
      </w:pPr>
      <w:r>
        <w:t>监测点/监测井的位置、数量和深度是否符合</w:t>
      </w:r>
      <w:r>
        <w:rPr>
          <w:b/>
          <w:bCs/>
        </w:rPr>
        <w:t>监测点位布设</w:t>
      </w:r>
      <w:r>
        <w:t>的要求；</w:t>
      </w:r>
    </w:p>
    <w:p>
      <w:pPr>
        <w:pStyle w:val="20"/>
        <w:numPr>
          <w:ilvl w:val="0"/>
          <w:numId w:val="13"/>
        </w:numPr>
        <w:ind w:left="0" w:firstLine="640"/>
      </w:pPr>
      <w:r>
        <w:t>监测指标与监测频次是否符合</w:t>
      </w:r>
      <w:r>
        <w:rPr>
          <w:b/>
          <w:bCs/>
        </w:rPr>
        <w:t>监测指标与频次</w:t>
      </w:r>
      <w:r>
        <w:t>的要求；</w:t>
      </w:r>
    </w:p>
    <w:p>
      <w:pPr>
        <w:pStyle w:val="20"/>
        <w:numPr>
          <w:ilvl w:val="0"/>
          <w:numId w:val="13"/>
        </w:numPr>
        <w:ind w:left="0" w:firstLine="640"/>
      </w:pPr>
      <w:r>
        <w:t>所有监测点位是否已核实具备采样条件。</w:t>
      </w:r>
    </w:p>
    <w:p>
      <w:pPr>
        <w:pStyle w:val="20"/>
        <w:ind w:firstLine="0" w:firstLineChars="0"/>
        <w:outlineLvl w:val="1"/>
        <w:rPr>
          <w:b/>
          <w:bCs/>
        </w:rPr>
      </w:pPr>
      <w:bookmarkStart w:id="26" w:name="_Hlk103689025"/>
      <w:bookmarkStart w:id="27" w:name="_Toc118208079"/>
      <w:r>
        <w:rPr>
          <w:b/>
          <w:bCs/>
        </w:rPr>
        <w:t>9.3样品采集、保存、流转、制备与分析环节</w:t>
      </w:r>
      <w:bookmarkEnd w:id="26"/>
      <w:bookmarkEnd w:id="27"/>
    </w:p>
    <w:p>
      <w:pPr>
        <w:ind w:firstLine="640" w:firstLineChars="200"/>
      </w:pPr>
      <w:r>
        <w:t>样品采集位置、数量和深度原则上应与监测方案保持一致，必要时可根据便携式有机物快速测定仪、重金属快速测定仪等现场快速筛选仪器的读数或其他合理依据进行调整，应在监测报告中说明调整方案并提供相应依据。</w:t>
      </w:r>
    </w:p>
    <w:p>
      <w:pPr>
        <w:ind w:firstLine="640" w:firstLineChars="200"/>
      </w:pPr>
      <w:r>
        <w:t>样品采集、保存、流转、制备与分析环节的质量保证与质量控制还应满足GB/T 32722、HJ 164、HJ/T 166、HJ 1019及所选取分析方法的要求。在采样过程中，同种采样介质，应采集至少一个平行样，与样品一起送实验室分析。承担样品分析工作的检验检测机构应依法取得资质认定（CMA）。</w:t>
      </w:r>
    </w:p>
    <w:p>
      <w:pPr>
        <w:pStyle w:val="20"/>
        <w:numPr>
          <w:ilvl w:val="0"/>
          <w:numId w:val="1"/>
        </w:numPr>
        <w:ind w:firstLineChars="0"/>
        <w:outlineLvl w:val="0"/>
        <w:rPr>
          <w:rFonts w:eastAsia="黑体"/>
        </w:rPr>
      </w:pPr>
      <w:bookmarkStart w:id="28" w:name="_Toc118208080"/>
      <w:r>
        <w:rPr>
          <w:rFonts w:eastAsia="黑体"/>
        </w:rPr>
        <w:t>监测报告编制与自查</w:t>
      </w:r>
      <w:bookmarkEnd w:id="28"/>
    </w:p>
    <w:p>
      <w:pPr>
        <w:ind w:firstLine="640" w:firstLineChars="200"/>
        <w:sectPr>
          <w:footerReference r:id="rId5" w:type="default"/>
          <w:pgSz w:w="11906" w:h="16838"/>
          <w:pgMar w:top="1440" w:right="1800" w:bottom="1440" w:left="1800" w:header="851" w:footer="992" w:gutter="0"/>
          <w:pgNumType w:start="1"/>
          <w:cols w:space="425" w:num="1"/>
          <w:docGrid w:type="lines" w:linePitch="312" w:charSpace="0"/>
        </w:sectPr>
      </w:pPr>
      <w:r>
        <w:t>土壤和地下水自行监测报告的编制应参照</w:t>
      </w:r>
      <w:r>
        <w:rPr>
          <w:kern w:val="0"/>
          <w:szCs w:val="32"/>
        </w:rPr>
        <w:t>粤环发〔2021〕8号附件2。重点监管单位或委托的第三方机构应参照附</w:t>
      </w:r>
      <w:r>
        <w:t>件</w:t>
      </w:r>
      <w:r>
        <w:rPr>
          <w:kern w:val="0"/>
          <w:szCs w:val="32"/>
        </w:rPr>
        <w:t>5</w:t>
      </w:r>
      <w:r>
        <w:t>所列项目对《监测报告》进行自查。</w:t>
      </w:r>
    </w:p>
    <w:p>
      <w:pPr>
        <w:jc w:val="left"/>
        <w:outlineLvl w:val="0"/>
        <w:rPr>
          <w:rFonts w:eastAsia="黑体"/>
        </w:rPr>
      </w:pPr>
      <w:bookmarkStart w:id="29" w:name="_Toc118208081"/>
      <w:r>
        <w:rPr>
          <w:rFonts w:eastAsia="黑体"/>
        </w:rPr>
        <w:t>附件</w:t>
      </w:r>
      <w:bookmarkEnd w:id="29"/>
    </w:p>
    <w:p>
      <w:pPr>
        <w:pStyle w:val="26"/>
        <w:ind w:firstLine="0" w:firstLineChars="0"/>
        <w:jc w:val="center"/>
        <w:outlineLvl w:val="1"/>
        <w:rPr>
          <w:rFonts w:cs="Times New Roman"/>
          <w:b/>
          <w:bCs/>
          <w:szCs w:val="32"/>
          <w:lang w:bidi="ar"/>
        </w:rPr>
      </w:pPr>
      <w:bookmarkStart w:id="30" w:name="_Toc118208082"/>
      <w:r>
        <w:rPr>
          <w:rFonts w:cs="Times New Roman"/>
          <w:b/>
          <w:bCs/>
          <w:szCs w:val="32"/>
          <w:lang w:bidi="ar"/>
        </w:rPr>
        <w:t>1 建议收集的资料清单</w:t>
      </w:r>
      <w:bookmarkEnd w:id="30"/>
    </w:p>
    <w:tbl>
      <w:tblPr>
        <w:tblStyle w:val="21"/>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1270"/>
        <w:gridCol w:w="3855"/>
        <w:gridCol w:w="321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62" w:type="pct"/>
            <w:tcBorders>
              <w:right w:val="single" w:color="000000" w:sz="4" w:space="0"/>
            </w:tcBorders>
            <w:vAlign w:val="center"/>
          </w:tcPr>
          <w:p>
            <w:pPr>
              <w:widowControl/>
              <w:autoSpaceDE w:val="0"/>
              <w:autoSpaceDN w:val="0"/>
              <w:spacing w:line="320" w:lineRule="exact"/>
              <w:jc w:val="center"/>
              <w:rPr>
                <w:rFonts w:eastAsia="楷体_GB2312"/>
                <w:color w:val="000000"/>
                <w:kern w:val="0"/>
                <w:sz w:val="21"/>
                <w:szCs w:val="21"/>
                <w:lang w:eastAsia="zh-CN"/>
              </w:rPr>
            </w:pPr>
            <w:r>
              <w:rPr>
                <w:rFonts w:eastAsia="楷体_GB2312"/>
                <w:color w:val="000000"/>
                <w:kern w:val="0"/>
                <w:sz w:val="21"/>
                <w:szCs w:val="21"/>
                <w:lang w:eastAsia="zh-CN"/>
              </w:rPr>
              <w:t>信息</w:t>
            </w:r>
          </w:p>
        </w:tc>
        <w:tc>
          <w:tcPr>
            <w:tcW w:w="2312" w:type="pct"/>
            <w:tcBorders>
              <w:left w:val="single" w:color="000000" w:sz="4" w:space="0"/>
              <w:right w:val="single" w:color="000000" w:sz="4" w:space="0"/>
            </w:tcBorders>
            <w:vAlign w:val="center"/>
          </w:tcPr>
          <w:p>
            <w:pPr>
              <w:widowControl/>
              <w:autoSpaceDE w:val="0"/>
              <w:autoSpaceDN w:val="0"/>
              <w:spacing w:line="320" w:lineRule="exact"/>
              <w:jc w:val="center"/>
              <w:rPr>
                <w:rFonts w:eastAsia="楷体_GB2312"/>
                <w:color w:val="000000"/>
                <w:kern w:val="0"/>
                <w:sz w:val="21"/>
                <w:szCs w:val="21"/>
                <w:lang w:eastAsia="zh-CN"/>
              </w:rPr>
            </w:pPr>
            <w:r>
              <w:rPr>
                <w:rFonts w:eastAsia="楷体_GB2312"/>
                <w:color w:val="000000"/>
                <w:kern w:val="0"/>
                <w:sz w:val="21"/>
                <w:szCs w:val="21"/>
                <w:lang w:eastAsia="zh-CN"/>
              </w:rPr>
              <w:t>信息项目</w:t>
            </w:r>
          </w:p>
        </w:tc>
        <w:tc>
          <w:tcPr>
            <w:tcW w:w="1926" w:type="pct"/>
            <w:tcBorders>
              <w:left w:val="single" w:color="000000" w:sz="4" w:space="0"/>
            </w:tcBorders>
            <w:vAlign w:val="center"/>
          </w:tcPr>
          <w:p>
            <w:pPr>
              <w:widowControl/>
              <w:autoSpaceDE w:val="0"/>
              <w:autoSpaceDN w:val="0"/>
              <w:spacing w:line="320" w:lineRule="exact"/>
              <w:jc w:val="center"/>
              <w:rPr>
                <w:rFonts w:eastAsia="楷体_GB2312"/>
                <w:color w:val="000000"/>
                <w:kern w:val="0"/>
                <w:sz w:val="21"/>
                <w:szCs w:val="21"/>
                <w:lang w:eastAsia="zh-CN"/>
              </w:rPr>
            </w:pPr>
            <w:r>
              <w:rPr>
                <w:rFonts w:eastAsia="楷体_GB2312"/>
                <w:color w:val="000000"/>
                <w:kern w:val="0"/>
                <w:sz w:val="21"/>
                <w:szCs w:val="21"/>
                <w:lang w:eastAsia="zh-CN"/>
              </w:rPr>
              <w:t>目的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62" w:type="pct"/>
            <w:tcBorders>
              <w:bottom w:val="single" w:color="000000" w:sz="4" w:space="0"/>
              <w:right w:val="single" w:color="000000" w:sz="4" w:space="0"/>
            </w:tcBorders>
            <w:vAlign w:val="center"/>
          </w:tcPr>
          <w:p>
            <w:pPr>
              <w:widowControl/>
              <w:autoSpaceDE w:val="0"/>
              <w:autoSpaceDN w:val="0"/>
              <w:spacing w:line="320" w:lineRule="exact"/>
              <w:jc w:val="center"/>
              <w:rPr>
                <w:rFonts w:eastAsia="楷体_GB2312"/>
                <w:color w:val="000000"/>
                <w:kern w:val="0"/>
                <w:sz w:val="21"/>
                <w:szCs w:val="21"/>
                <w:lang w:eastAsia="zh-CN"/>
              </w:rPr>
            </w:pPr>
            <w:r>
              <w:rPr>
                <w:rFonts w:eastAsia="楷体_GB2312"/>
                <w:color w:val="000000"/>
                <w:kern w:val="0"/>
                <w:sz w:val="21"/>
                <w:szCs w:val="21"/>
                <w:lang w:eastAsia="zh-CN"/>
              </w:rPr>
              <w:t>基本信息</w:t>
            </w:r>
          </w:p>
        </w:tc>
        <w:tc>
          <w:tcPr>
            <w:tcW w:w="2312" w:type="pct"/>
            <w:tcBorders>
              <w:left w:val="single" w:color="000000" w:sz="4" w:space="0"/>
              <w:bottom w:val="single" w:color="000000" w:sz="4" w:space="0"/>
              <w:right w:val="single" w:color="000000" w:sz="4" w:space="0"/>
            </w:tcBorders>
            <w:vAlign w:val="center"/>
          </w:tcPr>
          <w:p>
            <w:pPr>
              <w:widowControl/>
              <w:autoSpaceDE w:val="0"/>
              <w:autoSpaceDN w:val="0"/>
              <w:spacing w:line="320" w:lineRule="exact"/>
              <w:ind w:left="160" w:leftChars="50" w:right="160" w:rightChars="50"/>
              <w:rPr>
                <w:rFonts w:eastAsia="楷体_GB2312"/>
                <w:color w:val="000000"/>
                <w:kern w:val="0"/>
                <w:sz w:val="21"/>
                <w:szCs w:val="21"/>
                <w:lang w:eastAsia="zh-CN"/>
              </w:rPr>
            </w:pPr>
            <w:r>
              <w:rPr>
                <w:rFonts w:eastAsia="楷体_GB2312"/>
                <w:color w:val="000000"/>
                <w:kern w:val="0"/>
                <w:sz w:val="21"/>
                <w:szCs w:val="21"/>
                <w:lang w:eastAsia="zh-CN"/>
              </w:rPr>
              <w:t>企业名称、排污许可证编号（仅限于核发排污许可证的企业）、地址、坐标；企业行业分类、经营范围；企业总平面布置图及面积。</w:t>
            </w:r>
          </w:p>
        </w:tc>
        <w:tc>
          <w:tcPr>
            <w:tcW w:w="1926" w:type="pct"/>
            <w:tcBorders>
              <w:left w:val="single" w:color="000000" w:sz="4" w:space="0"/>
              <w:bottom w:val="single" w:color="000000" w:sz="4" w:space="0"/>
            </w:tcBorders>
            <w:vAlign w:val="center"/>
          </w:tcPr>
          <w:p>
            <w:pPr>
              <w:widowControl/>
              <w:autoSpaceDE w:val="0"/>
              <w:autoSpaceDN w:val="0"/>
              <w:spacing w:line="320" w:lineRule="exact"/>
              <w:ind w:left="160" w:leftChars="50" w:right="160" w:rightChars="50"/>
              <w:rPr>
                <w:rFonts w:eastAsia="楷体_GB2312"/>
                <w:color w:val="000000"/>
                <w:kern w:val="0"/>
                <w:sz w:val="21"/>
                <w:szCs w:val="21"/>
                <w:lang w:eastAsia="zh-CN"/>
              </w:rPr>
            </w:pPr>
            <w:r>
              <w:rPr>
                <w:rFonts w:eastAsia="楷体_GB2312"/>
                <w:color w:val="000000"/>
                <w:kern w:val="0"/>
                <w:sz w:val="21"/>
                <w:szCs w:val="21"/>
                <w:lang w:eastAsia="zh-CN"/>
              </w:rPr>
              <w:t>确定企业基本情况；可根据总平面布置图分区开展企业生产信息调查，并作为底图用于重点单元及监测点位的标记。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62" w:type="pct"/>
            <w:tcBorders>
              <w:top w:val="single" w:color="000000" w:sz="4" w:space="0"/>
              <w:bottom w:val="single" w:color="000000" w:sz="4" w:space="0"/>
              <w:right w:val="single" w:color="000000" w:sz="4" w:space="0"/>
            </w:tcBorders>
            <w:vAlign w:val="center"/>
          </w:tcPr>
          <w:p>
            <w:pPr>
              <w:widowControl/>
              <w:autoSpaceDE w:val="0"/>
              <w:autoSpaceDN w:val="0"/>
              <w:spacing w:line="320" w:lineRule="exact"/>
              <w:jc w:val="center"/>
              <w:rPr>
                <w:rFonts w:eastAsia="楷体_GB2312"/>
                <w:color w:val="000000"/>
                <w:kern w:val="0"/>
                <w:sz w:val="21"/>
                <w:szCs w:val="21"/>
                <w:lang w:eastAsia="zh-CN"/>
              </w:rPr>
            </w:pPr>
            <w:r>
              <w:rPr>
                <w:rFonts w:eastAsia="楷体_GB2312"/>
                <w:color w:val="000000"/>
                <w:kern w:val="0"/>
                <w:sz w:val="21"/>
                <w:szCs w:val="21"/>
                <w:lang w:eastAsia="zh-CN"/>
              </w:rPr>
              <w:t>生产信息</w:t>
            </w:r>
          </w:p>
        </w:tc>
        <w:tc>
          <w:tcPr>
            <w:tcW w:w="2312" w:type="pct"/>
            <w:tcBorders>
              <w:top w:val="single" w:color="000000" w:sz="4" w:space="0"/>
              <w:left w:val="single" w:color="000000" w:sz="4" w:space="0"/>
              <w:bottom w:val="single" w:color="000000" w:sz="4" w:space="0"/>
              <w:right w:val="single" w:color="000000" w:sz="4" w:space="0"/>
            </w:tcBorders>
            <w:vAlign w:val="center"/>
          </w:tcPr>
          <w:p>
            <w:pPr>
              <w:widowControl/>
              <w:autoSpaceDE w:val="0"/>
              <w:autoSpaceDN w:val="0"/>
              <w:spacing w:line="320" w:lineRule="exact"/>
              <w:ind w:left="160" w:leftChars="50" w:right="160" w:rightChars="50"/>
              <w:rPr>
                <w:rFonts w:eastAsia="楷体_GB2312"/>
                <w:color w:val="000000"/>
                <w:kern w:val="0"/>
                <w:sz w:val="21"/>
                <w:szCs w:val="21"/>
                <w:lang w:eastAsia="zh-CN"/>
              </w:rPr>
            </w:pPr>
            <w:r>
              <w:rPr>
                <w:rFonts w:eastAsia="楷体_GB2312"/>
                <w:color w:val="000000"/>
                <w:kern w:val="0"/>
                <w:sz w:val="21"/>
                <w:szCs w:val="21"/>
                <w:lang w:eastAsia="zh-CN"/>
              </w:rPr>
              <w:t>企业各场所、设施、设备分布图；企业生产工艺流程图；各场所或设施设备的功能/涉及的生产工艺/使用、贮存、转运或产出的原辅用料、中间产品和最终产品清单/涉及的有毒有害物质信息；涉及有毒有害物质的管线分布图；各场所或设施设备废气、废水、固体废物收集、排放及处理情况。</w:t>
            </w:r>
          </w:p>
        </w:tc>
        <w:tc>
          <w:tcPr>
            <w:tcW w:w="1926" w:type="pct"/>
            <w:tcBorders>
              <w:top w:val="single" w:color="000000" w:sz="4" w:space="0"/>
              <w:left w:val="single" w:color="000000" w:sz="4" w:space="0"/>
              <w:bottom w:val="single" w:color="000000" w:sz="4" w:space="0"/>
            </w:tcBorders>
            <w:vAlign w:val="center"/>
          </w:tcPr>
          <w:p>
            <w:pPr>
              <w:widowControl/>
              <w:autoSpaceDE w:val="0"/>
              <w:autoSpaceDN w:val="0"/>
              <w:spacing w:line="320" w:lineRule="exact"/>
              <w:ind w:left="160" w:leftChars="50" w:right="160" w:rightChars="50"/>
              <w:rPr>
                <w:rFonts w:eastAsia="楷体_GB2312"/>
                <w:color w:val="000000"/>
                <w:kern w:val="0"/>
                <w:sz w:val="21"/>
                <w:szCs w:val="21"/>
                <w:lang w:eastAsia="zh-CN"/>
              </w:rPr>
            </w:pPr>
            <w:r>
              <w:rPr>
                <w:rFonts w:eastAsia="楷体_GB2312"/>
                <w:color w:val="000000"/>
                <w:kern w:val="0"/>
                <w:sz w:val="21"/>
                <w:szCs w:val="21"/>
                <w:lang w:eastAsia="zh-CN"/>
              </w:rPr>
              <w:t>确定各设施设备涉及的工艺流程；原辅用料、中间产品和最终产品使用、贮存、转运或产出的情况；涉及的有毒有害物质情况；废气、废水、固体废物收集、排放及处理情况。便于重点单元的识别、分类及相应关注污染物的确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62" w:type="pct"/>
            <w:tcBorders>
              <w:top w:val="single" w:color="000000" w:sz="4" w:space="0"/>
              <w:bottom w:val="single" w:color="000000" w:sz="4" w:space="0"/>
              <w:right w:val="single" w:color="000000" w:sz="4" w:space="0"/>
            </w:tcBorders>
            <w:vAlign w:val="center"/>
          </w:tcPr>
          <w:p>
            <w:pPr>
              <w:widowControl/>
              <w:autoSpaceDE w:val="0"/>
              <w:autoSpaceDN w:val="0"/>
              <w:spacing w:line="320" w:lineRule="exact"/>
              <w:jc w:val="center"/>
              <w:rPr>
                <w:rFonts w:eastAsia="楷体_GB2312"/>
                <w:color w:val="000000"/>
                <w:kern w:val="0"/>
                <w:sz w:val="21"/>
                <w:szCs w:val="21"/>
                <w:lang w:eastAsia="zh-CN"/>
              </w:rPr>
            </w:pPr>
            <w:r>
              <w:rPr>
                <w:rFonts w:eastAsia="楷体_GB2312"/>
                <w:color w:val="000000"/>
                <w:kern w:val="0"/>
                <w:sz w:val="21"/>
                <w:szCs w:val="21"/>
                <w:lang w:eastAsia="zh-CN"/>
              </w:rPr>
              <w:t>水文地质信息</w:t>
            </w:r>
          </w:p>
        </w:tc>
        <w:tc>
          <w:tcPr>
            <w:tcW w:w="2312" w:type="pct"/>
            <w:tcBorders>
              <w:top w:val="single" w:color="000000" w:sz="4" w:space="0"/>
              <w:left w:val="single" w:color="000000" w:sz="4" w:space="0"/>
              <w:bottom w:val="single" w:color="000000" w:sz="4" w:space="0"/>
              <w:right w:val="single" w:color="000000" w:sz="4" w:space="0"/>
            </w:tcBorders>
            <w:vAlign w:val="center"/>
          </w:tcPr>
          <w:p>
            <w:pPr>
              <w:widowControl/>
              <w:autoSpaceDE w:val="0"/>
              <w:autoSpaceDN w:val="0"/>
              <w:spacing w:line="320" w:lineRule="exact"/>
              <w:ind w:left="160" w:leftChars="50" w:right="160" w:rightChars="50"/>
              <w:rPr>
                <w:rFonts w:eastAsia="楷体_GB2312"/>
                <w:color w:val="000000"/>
                <w:kern w:val="0"/>
                <w:sz w:val="21"/>
                <w:szCs w:val="21"/>
                <w:lang w:eastAsia="zh-CN"/>
              </w:rPr>
            </w:pPr>
            <w:r>
              <w:rPr>
                <w:rFonts w:eastAsia="楷体_GB2312"/>
                <w:color w:val="000000"/>
                <w:kern w:val="0"/>
                <w:sz w:val="21"/>
                <w:szCs w:val="21"/>
                <w:lang w:eastAsia="zh-CN"/>
              </w:rPr>
              <w:t>地面覆盖、地层结构、土壤质地、岩土层渗透性等特性；地下水埋深/分布/径流方向。</w:t>
            </w:r>
          </w:p>
        </w:tc>
        <w:tc>
          <w:tcPr>
            <w:tcW w:w="1926" w:type="pct"/>
            <w:tcBorders>
              <w:top w:val="single" w:color="000000" w:sz="4" w:space="0"/>
              <w:left w:val="single" w:color="000000" w:sz="4" w:space="0"/>
              <w:bottom w:val="single" w:color="000000" w:sz="4" w:space="0"/>
            </w:tcBorders>
            <w:vAlign w:val="center"/>
          </w:tcPr>
          <w:p>
            <w:pPr>
              <w:widowControl/>
              <w:autoSpaceDE w:val="0"/>
              <w:autoSpaceDN w:val="0"/>
              <w:spacing w:line="320" w:lineRule="exact"/>
              <w:ind w:left="160" w:leftChars="50" w:right="160" w:rightChars="50"/>
              <w:rPr>
                <w:rFonts w:eastAsia="楷体_GB2312"/>
                <w:color w:val="000000"/>
                <w:kern w:val="0"/>
                <w:sz w:val="21"/>
                <w:szCs w:val="21"/>
                <w:lang w:eastAsia="zh-CN"/>
              </w:rPr>
            </w:pPr>
            <w:r>
              <w:rPr>
                <w:rFonts w:eastAsia="楷体_GB2312"/>
                <w:color w:val="000000"/>
                <w:kern w:val="0"/>
                <w:sz w:val="21"/>
                <w:szCs w:val="21"/>
                <w:lang w:eastAsia="zh-CN"/>
              </w:rPr>
              <w:t>确定企业地质及水文地质情况，便于识别污染物运移路径。本信息可通过建井过程获取。</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62" w:type="pct"/>
            <w:tcBorders>
              <w:top w:val="single" w:color="000000" w:sz="4" w:space="0"/>
              <w:right w:val="single" w:color="000000" w:sz="4" w:space="0"/>
            </w:tcBorders>
            <w:vAlign w:val="center"/>
          </w:tcPr>
          <w:p>
            <w:pPr>
              <w:widowControl/>
              <w:autoSpaceDE w:val="0"/>
              <w:autoSpaceDN w:val="0"/>
              <w:spacing w:line="320" w:lineRule="exact"/>
              <w:jc w:val="center"/>
              <w:rPr>
                <w:rFonts w:eastAsia="楷体_GB2312"/>
                <w:color w:val="000000"/>
                <w:kern w:val="0"/>
                <w:sz w:val="21"/>
                <w:szCs w:val="21"/>
                <w:lang w:eastAsia="zh-CN"/>
              </w:rPr>
            </w:pPr>
            <w:r>
              <w:rPr>
                <w:rFonts w:eastAsia="楷体_GB2312"/>
                <w:color w:val="000000"/>
                <w:kern w:val="0"/>
                <w:sz w:val="21"/>
                <w:szCs w:val="21"/>
                <w:lang w:eastAsia="zh-CN"/>
              </w:rPr>
              <w:t>生态环境管理信息</w:t>
            </w:r>
          </w:p>
        </w:tc>
        <w:tc>
          <w:tcPr>
            <w:tcW w:w="2312" w:type="pct"/>
            <w:tcBorders>
              <w:top w:val="single" w:color="000000" w:sz="4" w:space="0"/>
              <w:left w:val="single" w:color="000000" w:sz="4" w:space="0"/>
              <w:right w:val="single" w:color="000000" w:sz="4" w:space="0"/>
            </w:tcBorders>
            <w:vAlign w:val="center"/>
          </w:tcPr>
          <w:p>
            <w:pPr>
              <w:widowControl/>
              <w:autoSpaceDE w:val="0"/>
              <w:autoSpaceDN w:val="0"/>
              <w:spacing w:line="320" w:lineRule="exact"/>
              <w:ind w:left="160" w:leftChars="50" w:right="160" w:rightChars="50"/>
              <w:rPr>
                <w:rFonts w:eastAsia="楷体_GB2312"/>
                <w:color w:val="000000"/>
                <w:kern w:val="0"/>
                <w:sz w:val="21"/>
                <w:szCs w:val="21"/>
                <w:lang w:eastAsia="zh-CN"/>
              </w:rPr>
            </w:pPr>
            <w:r>
              <w:rPr>
                <w:rFonts w:eastAsia="楷体_GB2312"/>
                <w:color w:val="000000"/>
                <w:kern w:val="0"/>
                <w:sz w:val="21"/>
                <w:szCs w:val="21"/>
                <w:lang w:eastAsia="zh-CN"/>
              </w:rPr>
              <w:t>企业用地历史；企业所在地地下水功能区划；企业现有地下水监测井信息；土壤和地下水环境调查监测数据、历史污染记录。</w:t>
            </w:r>
          </w:p>
        </w:tc>
        <w:tc>
          <w:tcPr>
            <w:tcW w:w="1926" w:type="pct"/>
            <w:tcBorders>
              <w:top w:val="single" w:color="000000" w:sz="4" w:space="0"/>
              <w:left w:val="single" w:color="000000" w:sz="4" w:space="0"/>
            </w:tcBorders>
            <w:vAlign w:val="center"/>
          </w:tcPr>
          <w:p>
            <w:pPr>
              <w:widowControl/>
              <w:autoSpaceDE w:val="0"/>
              <w:autoSpaceDN w:val="0"/>
              <w:spacing w:line="320" w:lineRule="exact"/>
              <w:ind w:left="160" w:leftChars="50" w:right="160" w:rightChars="50"/>
              <w:rPr>
                <w:rFonts w:eastAsia="楷体_GB2312"/>
                <w:color w:val="000000"/>
                <w:kern w:val="0"/>
                <w:sz w:val="21"/>
                <w:szCs w:val="21"/>
                <w:lang w:eastAsia="zh-CN"/>
              </w:rPr>
            </w:pPr>
            <w:r>
              <w:rPr>
                <w:rFonts w:eastAsia="楷体_GB2312"/>
                <w:color w:val="000000"/>
                <w:kern w:val="0"/>
                <w:sz w:val="21"/>
                <w:szCs w:val="21"/>
                <w:lang w:eastAsia="zh-CN"/>
              </w:rPr>
              <w:t>识别企业所在地土壤/地下水背景值、分辨可能由历史生产造成的污染、明确应执行的土壤/地下水相关标准等。</w:t>
            </w:r>
          </w:p>
        </w:tc>
      </w:tr>
    </w:tbl>
    <w:p>
      <w:pPr>
        <w:ind w:firstLine="640" w:firstLineChars="200"/>
      </w:pPr>
    </w:p>
    <w:p>
      <w:pPr>
        <w:sectPr>
          <w:pgSz w:w="11906" w:h="16838"/>
          <w:pgMar w:top="1440" w:right="1800" w:bottom="1440" w:left="1800" w:header="851" w:footer="992" w:gutter="0"/>
          <w:cols w:space="425" w:num="1"/>
          <w:docGrid w:type="lines" w:linePitch="312" w:charSpace="0"/>
        </w:sectPr>
      </w:pPr>
    </w:p>
    <w:p>
      <w:pPr>
        <w:pStyle w:val="26"/>
        <w:ind w:firstLine="0" w:firstLineChars="0"/>
        <w:jc w:val="center"/>
        <w:outlineLvl w:val="1"/>
        <w:rPr>
          <w:rFonts w:cs="Times New Roman"/>
          <w:b/>
          <w:bCs/>
          <w:szCs w:val="32"/>
          <w:lang w:bidi="ar"/>
        </w:rPr>
      </w:pPr>
      <w:bookmarkStart w:id="31" w:name="_Toc118208083"/>
      <w:r>
        <w:rPr>
          <w:rFonts w:cs="Times New Roman"/>
          <w:b/>
          <w:bCs/>
          <w:szCs w:val="32"/>
          <w:lang w:bidi="ar"/>
        </w:rPr>
        <w:t>2 有毒有害物质及筛选值参考</w:t>
      </w:r>
      <w:bookmarkEnd w:id="31"/>
    </w:p>
    <w:tbl>
      <w:tblPr>
        <w:tblStyle w:val="11"/>
        <w:tblW w:w="46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2600"/>
        <w:gridCol w:w="1667"/>
        <w:gridCol w:w="2089"/>
        <w:gridCol w:w="1693"/>
        <w:gridCol w:w="2018"/>
        <w:gridCol w:w="2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280" w:type="pct"/>
            <w:shd w:val="clear" w:color="auto" w:fill="auto"/>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序号</w:t>
            </w:r>
          </w:p>
        </w:tc>
        <w:tc>
          <w:tcPr>
            <w:tcW w:w="992" w:type="pct"/>
            <w:shd w:val="clear" w:color="auto" w:fill="auto"/>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有毒有害物质名称</w:t>
            </w:r>
          </w:p>
        </w:tc>
        <w:tc>
          <w:tcPr>
            <w:tcW w:w="636" w:type="pct"/>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土壤</w:t>
            </w:r>
          </w:p>
        </w:tc>
        <w:tc>
          <w:tcPr>
            <w:tcW w:w="797" w:type="pct"/>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二类用地筛选值</w:t>
            </w:r>
          </w:p>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（GB36600）</w:t>
            </w:r>
          </w:p>
        </w:tc>
        <w:tc>
          <w:tcPr>
            <w:tcW w:w="646" w:type="pct"/>
            <w:shd w:val="clear" w:color="auto" w:fill="auto"/>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地下水</w:t>
            </w:r>
          </w:p>
        </w:tc>
        <w:tc>
          <w:tcPr>
            <w:tcW w:w="770" w:type="pct"/>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III类标准</w:t>
            </w:r>
          </w:p>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（GB/T-14848）</w:t>
            </w:r>
          </w:p>
        </w:tc>
        <w:tc>
          <w:tcPr>
            <w:tcW w:w="880" w:type="pct"/>
            <w:shd w:val="clear" w:color="auto" w:fill="auto"/>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IV类标准</w:t>
            </w:r>
          </w:p>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（GB/T-14848）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2" w:type="pct"/>
            <w:gridSpan w:val="2"/>
            <w:shd w:val="clear" w:color="auto" w:fill="auto"/>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重金属和无机物</w:t>
            </w:r>
          </w:p>
        </w:tc>
        <w:tc>
          <w:tcPr>
            <w:tcW w:w="1433" w:type="pct"/>
            <w:gridSpan w:val="2"/>
            <w:shd w:val="clear" w:color="auto" w:fill="auto"/>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mg/kg</w:t>
            </w:r>
          </w:p>
        </w:tc>
        <w:tc>
          <w:tcPr>
            <w:tcW w:w="2295" w:type="pct"/>
            <w:gridSpan w:val="3"/>
            <w:shd w:val="clear" w:color="auto" w:fill="auto"/>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砷（砷及其化合物）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砷</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0.01</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镉（镉及其化合物）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镉</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65</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镉</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0.005</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六价铬（六价铬及其化合物）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铬（六价）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5.7</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铬（六价）</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0.05</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铜</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铜</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18000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铜</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铅（铅及其化合物）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铅</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800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铅</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0.01</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汞（汞及其化合物）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汞</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38</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汞</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0.001</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镍</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镍</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900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镍</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0.02</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锑</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锑</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180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锑</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0.005</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铍</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铍</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29</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铍</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0.002</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钴</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钴</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钴</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0.05</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甲基汞</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甲基汞</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45</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钒</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钒</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752</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13</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铊（铊及铊化合物）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铊</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0.0001</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14</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硒（含硒废物）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硒</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0.01</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15</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锌（含锌废物）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锌</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16</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碲（含碲废物）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17</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钡（含钡废物）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钡</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0.70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18</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氟化物（无机氟化物废物）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氟化物</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19</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氰化物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氰化物</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135</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氰化物</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0.05</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2" w:type="pct"/>
            <w:gridSpan w:val="2"/>
            <w:shd w:val="clear" w:color="auto" w:fill="auto"/>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挥发性有机物</w:t>
            </w:r>
          </w:p>
        </w:tc>
        <w:tc>
          <w:tcPr>
            <w:tcW w:w="1433" w:type="pct"/>
            <w:gridSpan w:val="2"/>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mg/kg</w:t>
            </w:r>
          </w:p>
        </w:tc>
        <w:tc>
          <w:tcPr>
            <w:tcW w:w="2295" w:type="pct"/>
            <w:gridSpan w:val="3"/>
            <w:shd w:val="clear" w:color="auto" w:fill="auto"/>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μg/L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四氯化碳</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四氯化碳</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2.8</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四氯化碳</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21</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氯仿（三氯甲烷）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氯仿</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0.9</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三氯甲烷</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22</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氯甲烷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氯甲烷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37</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23</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1,1-二氯乙烷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1,1-二氯乙烷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24</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1,2-二氯乙烷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1,2-二氯乙烷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1,2-二氯乙烷</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25</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1,1-二氯乙烯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1,1-二氯乙烯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66</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1,1-二氯乙烯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26</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顺1,2-二氯乙烯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顺1,2-二氯乙烯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596</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1,2-二氯乙烯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27</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反1,2-二氯乙烯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反1,2-二氯乙烯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54</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1,2-二氯乙烯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28</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二氯甲烷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二氯甲烷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616</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二氯甲烷</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29</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1,2-二氯丙烷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1,2-二氯丙烷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1,2-二氯丙烷</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30</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1,1,1,2-四氯乙烷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1,1,1,2-四氯乙烷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31</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1,1,2,2-四氯乙烷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1,1,2,2-四氯乙烷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6.8</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32</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四氯乙烯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四氯乙烯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53</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四氯乙烯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33</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1,1,1-三氯乙烷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1,1,1-三氯乙烷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840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1,1,1-三氯乙烷</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34</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1,1,2-三氯乙烷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1,1,2-三氯乙烷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2.8</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1,1,2-三氯乙烷</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35</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三氯乙烯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三氯乙烯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2.8</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三氯乙烯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36</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1,2,3-三氯丙烷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1,2,3-三氯丙烷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0.5</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37</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氯乙烯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氯乙烯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0.43</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氯乙烯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38</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39</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氯苯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氯苯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270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氯苯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40</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1,2-二氯苯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1,2-二氯苯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560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邻二氯苯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41</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1,4-二氯苯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1,4-二氯苯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对二氯苯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42</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乙苯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乙苯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28</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乙苯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43</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苯乙烯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苯乙烯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1290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苯乙烯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44</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甲苯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甲苯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1200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甲苯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45</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间+对二甲苯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间+对二甲苯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570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二甲苯（总量）</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46</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邻二甲苯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邻二甲苯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640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二甲苯（总量）</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47</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一溴二氯甲烷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一溴二氯甲烷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48</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溴仿（三溴甲烷）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溴仿（三溴甲烷）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103</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三溴甲烷</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49</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二溴氯甲烷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二溴氯甲烷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33</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1,2-二溴乙烷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1,2-二溴乙烷</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0.24</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51</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甲醛</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52</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乙醛</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53</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1,3-丁二烯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54</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六氯丁二烯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55</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1,2,4-三氯苯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三氯苯（总量）</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2" w:type="pct"/>
            <w:gridSpan w:val="2"/>
            <w:shd w:val="clear" w:color="auto" w:fill="auto"/>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半挥发性有机物</w:t>
            </w:r>
          </w:p>
        </w:tc>
        <w:tc>
          <w:tcPr>
            <w:tcW w:w="1433" w:type="pct"/>
            <w:gridSpan w:val="2"/>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mg/kg</w:t>
            </w:r>
          </w:p>
        </w:tc>
        <w:tc>
          <w:tcPr>
            <w:tcW w:w="2295" w:type="pct"/>
            <w:gridSpan w:val="3"/>
            <w:shd w:val="clear" w:color="auto" w:fill="auto"/>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μg/L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56</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硝基苯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硝基苯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76</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57</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苯胺</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苯胺</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260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58</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2-氯酚</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2-氯酚</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2256</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59</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苯并（a）蒽</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苯并（a）蒽</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15</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60</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苯并（a）芘</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苯并（a）芘</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1.5</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苯并（a）芘</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0.01</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61</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苯并（a）菲</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62</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苯并（b）荧蒽</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苯并（b）荧蒽</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15</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63</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苯并（k）荧蒽</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苯并（k）荧蒽</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151</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64</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微软雅黑"/>
                <w:color w:val="000000"/>
                <w:kern w:val="0"/>
                <w:sz w:val="21"/>
                <w:szCs w:val="21"/>
              </w:rPr>
              <w:t>䓛</w:t>
            </w:r>
          </w:p>
        </w:tc>
        <w:tc>
          <w:tcPr>
            <w:tcW w:w="636" w:type="pct"/>
            <w:vAlign w:val="center"/>
          </w:tcPr>
          <w:p>
            <w:pPr>
              <w:widowControl/>
              <w:spacing w:line="320" w:lineRule="exact"/>
              <w:jc w:val="center"/>
              <w:rPr>
                <w:rFonts w:eastAsia="楷体_GB2312"/>
                <w:color w:val="000000"/>
                <w:kern w:val="0"/>
                <w:sz w:val="21"/>
                <w:szCs w:val="21"/>
              </w:rPr>
            </w:pPr>
            <w:r>
              <w:rPr>
                <w:rFonts w:eastAsia="微软雅黑"/>
                <w:color w:val="000000"/>
                <w:kern w:val="0"/>
                <w:sz w:val="21"/>
                <w:szCs w:val="21"/>
              </w:rPr>
              <w:t>䓛</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1293</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65</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二苯并（a,h）蒽</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二苯并（a,h）蒽</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1.5</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66</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蒽</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蒽</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1800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67</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茚并（1,2,3-cd）芘</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茚并（1,2,3-cd）芘</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15</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68</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萘</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萘</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萘</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69</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六氯环戊二烯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六氯环戊二烯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5.2</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70</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2,4-二硝基甲苯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2,4-二硝基甲苯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5.2</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71</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2,4-二氯酚</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2,4-二氯酚</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843</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72</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2,4,6-三氯酚</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2,4,6-三氯酚</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137</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73</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2,4-二硝基酚</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2,4-二硝基酚</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562</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74</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五氯酚</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五氯酚</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2.7</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五氯酚</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75</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邻苯二甲酸二（2-乙基己基）酯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邻苯二甲酸二（2-乙基己基）酯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121</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邻苯二甲酸二（2-乙基己基）酯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76</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邻苯二甲酸丁基</w:t>
            </w:r>
            <w:r>
              <w:rPr>
                <w:rFonts w:eastAsia="微软雅黑"/>
                <w:color w:val="000000"/>
                <w:kern w:val="0"/>
                <w:sz w:val="21"/>
                <w:szCs w:val="21"/>
              </w:rPr>
              <w:t>芐</w:t>
            </w:r>
            <w:r>
              <w:rPr>
                <w:rFonts w:eastAsia="楷体_GB2312"/>
                <w:color w:val="000000"/>
                <w:kern w:val="0"/>
                <w:sz w:val="21"/>
                <w:szCs w:val="21"/>
              </w:rPr>
              <w:t>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邻苯二甲酸丁基</w:t>
            </w:r>
            <w:r>
              <w:rPr>
                <w:rFonts w:eastAsia="微软雅黑"/>
                <w:color w:val="000000"/>
                <w:kern w:val="0"/>
                <w:sz w:val="21"/>
                <w:szCs w:val="21"/>
              </w:rPr>
              <w:t>芐</w:t>
            </w:r>
            <w:r>
              <w:rPr>
                <w:rFonts w:eastAsia="楷体_GB2312"/>
                <w:color w:val="000000"/>
                <w:kern w:val="0"/>
                <w:sz w:val="21"/>
                <w:szCs w:val="21"/>
              </w:rPr>
              <w:t>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900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77</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邻苯二甲酸二正辛酯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邻苯二甲酸二正辛酯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2812</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78</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3,3’-二氯联苯胺</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3,3’-二氯联苯胺</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3.6</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79</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5-叔丁基-2,4,6-三硝基间二甲苯（二甲苯麝香）</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80</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N,N'-二甲苯基-对苯二胺</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81</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短链氯化石蜡</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82</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六氯代-1,3-环戊二烯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83</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六溴环十二烷</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84</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全氟辛基磺酸及其盐类和全氟辛基磺酰氟</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85</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壬基酚及壬基酚聚氧乙烯醚</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86</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十溴二苯醚</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87</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2,4,6-三叔丁基苯酚</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88</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邻甲苯胺</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89</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磷酸三(2-氯乙基)酯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90</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全氟辛酸（PFOA）及其盐类和相关化合物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91</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五氯苯酚及其盐类和酯类</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92</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五氯苯硫酚</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93</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异丙基苯酚磷酸酯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2" w:type="pct"/>
            <w:gridSpan w:val="2"/>
            <w:shd w:val="clear" w:color="auto" w:fill="auto"/>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有机农药类</w:t>
            </w:r>
          </w:p>
        </w:tc>
        <w:tc>
          <w:tcPr>
            <w:tcW w:w="1433" w:type="pct"/>
            <w:gridSpan w:val="2"/>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mg/kg</w:t>
            </w:r>
          </w:p>
        </w:tc>
        <w:tc>
          <w:tcPr>
            <w:tcW w:w="2295" w:type="pct"/>
            <w:gridSpan w:val="3"/>
            <w:shd w:val="clear" w:color="auto" w:fill="auto"/>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μg/L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94</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阿特拉津</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阿特拉津</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7.4</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莠去津</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95</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氯丹</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氯丹</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6.2</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96</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p,p’-滴滴滴</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p,p’-滴滴滴</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7.1</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97</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p,p’-滴滴伊</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p,p’-滴滴伊</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98</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滴滴涕</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滴滴涕</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6.7</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滴滴涕（总量）</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99</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敌敌畏</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敌敌畏</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敌敌畏</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100</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乐果</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乐果</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619</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乐果</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101</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硫丹</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硫丹</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1687</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102</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七氯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七氯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0.37</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七氯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0.40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103</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α-六六六</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α-六六六</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0.3</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六六六（总量）</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104</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β-六六六</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β-六六六</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0.92</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六六六（总量）</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105</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γ-六六六</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γ-六六六</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1.9</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γ-六六六</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106</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六氯苯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六氯苯</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六氯苯</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107</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灭蚁灵</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灭蚁灵</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0.09</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108</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五氯苯</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2" w:type="pct"/>
            <w:gridSpan w:val="2"/>
            <w:shd w:val="clear" w:color="auto" w:fill="auto"/>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多氯联苯、多溴联苯和二</w:t>
            </w:r>
            <w:r>
              <w:rPr>
                <w:rFonts w:eastAsia="微软雅黑"/>
                <w:b/>
                <w:bCs/>
                <w:color w:val="000000"/>
                <w:kern w:val="0"/>
                <w:sz w:val="21"/>
                <w:szCs w:val="21"/>
              </w:rPr>
              <w:t>噁</w:t>
            </w:r>
            <w:r>
              <w:rPr>
                <w:rFonts w:eastAsia="楷体_GB2312"/>
                <w:b/>
                <w:bCs/>
                <w:color w:val="000000"/>
                <w:kern w:val="0"/>
                <w:sz w:val="21"/>
                <w:szCs w:val="21"/>
              </w:rPr>
              <w:t>英类</w:t>
            </w:r>
          </w:p>
        </w:tc>
        <w:tc>
          <w:tcPr>
            <w:tcW w:w="1433" w:type="pct"/>
            <w:gridSpan w:val="2"/>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mg/kg</w:t>
            </w:r>
          </w:p>
        </w:tc>
        <w:tc>
          <w:tcPr>
            <w:tcW w:w="2295" w:type="pct"/>
            <w:gridSpan w:val="3"/>
            <w:shd w:val="clear" w:color="auto" w:fill="auto"/>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μg/L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109</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多氯联苯（总量）</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多氯联苯（总量）</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0.38</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多氯联苯（总量）</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0.50</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110</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3,3’,4,4’5-五氯联苯（PCB126）</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3,3’,4,4’5-五氯联苯（PCB126）</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1×10</w:t>
            </w:r>
            <w:r>
              <w:rPr>
                <w:rFonts w:eastAsia="楷体_GB2312"/>
                <w:color w:val="000000"/>
                <w:kern w:val="0"/>
                <w:sz w:val="21"/>
                <w:szCs w:val="21"/>
                <w:vertAlign w:val="superscript"/>
              </w:rPr>
              <w:t>-4</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111</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3,3’,4,4’5,5’-六氯联苯（PCB169）</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3,3’,4,4’5,5’-六氯联苯（PCB169）</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4×10</w:t>
            </w:r>
            <w:r>
              <w:rPr>
                <w:rFonts w:eastAsia="楷体_GB2312"/>
                <w:color w:val="000000"/>
                <w:kern w:val="0"/>
                <w:sz w:val="21"/>
                <w:szCs w:val="21"/>
                <w:vertAlign w:val="superscript"/>
              </w:rPr>
              <w:t>-4</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112</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二</w:t>
            </w:r>
            <w:r>
              <w:rPr>
                <w:rFonts w:eastAsia="微软雅黑"/>
                <w:color w:val="000000"/>
                <w:kern w:val="0"/>
                <w:sz w:val="21"/>
                <w:szCs w:val="21"/>
              </w:rPr>
              <w:t>噁</w:t>
            </w:r>
            <w:r>
              <w:rPr>
                <w:rFonts w:eastAsia="楷体_GB2312"/>
                <w:color w:val="000000"/>
                <w:kern w:val="0"/>
                <w:sz w:val="21"/>
                <w:szCs w:val="21"/>
              </w:rPr>
              <w:t>英类（总毒性当量）（多氯二苯并对二</w:t>
            </w:r>
            <w:r>
              <w:rPr>
                <w:rFonts w:eastAsia="微软雅黑"/>
                <w:color w:val="000000"/>
                <w:kern w:val="0"/>
                <w:sz w:val="21"/>
                <w:szCs w:val="21"/>
              </w:rPr>
              <w:t>噁</w:t>
            </w:r>
            <w:r>
              <w:rPr>
                <w:rFonts w:eastAsia="楷体_GB2312"/>
                <w:color w:val="000000"/>
                <w:kern w:val="0"/>
                <w:sz w:val="21"/>
                <w:szCs w:val="21"/>
              </w:rPr>
              <w:t>英和多氯二苯并呋喃）</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二</w:t>
            </w:r>
            <w:r>
              <w:rPr>
                <w:rFonts w:eastAsia="微软雅黑"/>
                <w:color w:val="000000"/>
                <w:kern w:val="0"/>
                <w:sz w:val="21"/>
                <w:szCs w:val="21"/>
              </w:rPr>
              <w:t>噁</w:t>
            </w:r>
            <w:r>
              <w:rPr>
                <w:rFonts w:eastAsia="楷体_GB2312"/>
                <w:color w:val="000000"/>
                <w:kern w:val="0"/>
                <w:sz w:val="21"/>
                <w:szCs w:val="21"/>
              </w:rPr>
              <w:t>英类（总毒性当量）</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4×10</w:t>
            </w:r>
            <w:r>
              <w:rPr>
                <w:rFonts w:eastAsia="楷体_GB2312"/>
                <w:color w:val="000000"/>
                <w:kern w:val="0"/>
                <w:sz w:val="21"/>
                <w:szCs w:val="21"/>
                <w:vertAlign w:val="superscript"/>
              </w:rPr>
              <w:t>-5</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113</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多溴联苯（总量）</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多溴联苯（总量）</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0.06</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2" w:type="pct"/>
            <w:gridSpan w:val="2"/>
            <w:shd w:val="clear" w:color="auto" w:fill="auto"/>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其他</w:t>
            </w:r>
          </w:p>
        </w:tc>
        <w:tc>
          <w:tcPr>
            <w:tcW w:w="1433" w:type="pct"/>
            <w:gridSpan w:val="2"/>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mg/kg</w:t>
            </w:r>
          </w:p>
        </w:tc>
        <w:tc>
          <w:tcPr>
            <w:tcW w:w="2295" w:type="pct"/>
            <w:gridSpan w:val="3"/>
            <w:shd w:val="clear" w:color="auto" w:fill="auto"/>
            <w:vAlign w:val="center"/>
          </w:tcPr>
          <w:p>
            <w:pPr>
              <w:widowControl/>
              <w:spacing w:line="320" w:lineRule="exact"/>
              <w:jc w:val="center"/>
              <w:rPr>
                <w:rFonts w:eastAsia="楷体_GB2312"/>
                <w:color w:val="000000"/>
                <w:kern w:val="0"/>
                <w:sz w:val="21"/>
                <w:szCs w:val="21"/>
              </w:rPr>
            </w:pPr>
            <w:r>
              <w:rPr>
                <w:rFonts w:eastAsia="楷体_GB2312"/>
                <w:b/>
                <w:bCs/>
                <w:color w:val="000000"/>
                <w:kern w:val="0"/>
                <w:sz w:val="21"/>
                <w:szCs w:val="21"/>
              </w:rPr>
              <w:t>μg/L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114</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石油烃（C</w:t>
            </w:r>
            <w:r>
              <w:rPr>
                <w:rFonts w:eastAsia="楷体_GB2312"/>
                <w:color w:val="000000"/>
                <w:kern w:val="0"/>
                <w:sz w:val="21"/>
                <w:szCs w:val="21"/>
                <w:vertAlign w:val="subscript"/>
              </w:rPr>
              <w:t>10</w:t>
            </w:r>
            <w:r>
              <w:rPr>
                <w:rFonts w:eastAsia="楷体_GB2312"/>
                <w:color w:val="000000"/>
                <w:kern w:val="0"/>
                <w:sz w:val="21"/>
                <w:szCs w:val="21"/>
              </w:rPr>
              <w:t>-C</w:t>
            </w:r>
            <w:r>
              <w:rPr>
                <w:rFonts w:eastAsia="楷体_GB2312"/>
                <w:color w:val="000000"/>
                <w:kern w:val="0"/>
                <w:sz w:val="21"/>
                <w:szCs w:val="21"/>
                <w:vertAlign w:val="subscript"/>
              </w:rPr>
              <w:t>40</w:t>
            </w:r>
            <w:r>
              <w:rPr>
                <w:rFonts w:eastAsia="楷体_GB2312"/>
                <w:color w:val="000000"/>
                <w:kern w:val="0"/>
                <w:sz w:val="21"/>
                <w:szCs w:val="21"/>
              </w:rPr>
              <w:t>）</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石油烃（C</w:t>
            </w:r>
            <w:r>
              <w:rPr>
                <w:rFonts w:eastAsia="楷体_GB2312"/>
                <w:color w:val="000000"/>
                <w:kern w:val="0"/>
                <w:sz w:val="21"/>
                <w:szCs w:val="21"/>
                <w:vertAlign w:val="subscript"/>
              </w:rPr>
              <w:t>10</w:t>
            </w:r>
            <w:r>
              <w:rPr>
                <w:rFonts w:eastAsia="楷体_GB2312"/>
                <w:color w:val="000000"/>
                <w:kern w:val="0"/>
                <w:sz w:val="21"/>
                <w:szCs w:val="21"/>
              </w:rPr>
              <w:t>-C</w:t>
            </w:r>
            <w:r>
              <w:rPr>
                <w:rFonts w:eastAsia="楷体_GB2312"/>
                <w:color w:val="000000"/>
                <w:kern w:val="0"/>
                <w:sz w:val="21"/>
                <w:szCs w:val="21"/>
                <w:vertAlign w:val="subscript"/>
              </w:rPr>
              <w:t>40</w:t>
            </w: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4500</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115</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石棉（石棉废物）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116</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国家危险废物名录中的其他危险废物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117</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根据国家规定的危险废物鉴别标准和鉴别方法认定的具有危险特性的固体废物</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118</w:t>
            </w:r>
          </w:p>
        </w:tc>
        <w:tc>
          <w:tcPr>
            <w:tcW w:w="992"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其他根据国家法律有关规定应当纳入有毒有害物质管理的物质</w:t>
            </w:r>
          </w:p>
        </w:tc>
        <w:tc>
          <w:tcPr>
            <w:tcW w:w="636"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97"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646"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770"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c>
          <w:tcPr>
            <w:tcW w:w="880" w:type="pct"/>
            <w:shd w:val="clear" w:color="auto" w:fill="auto"/>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w:t>
            </w:r>
          </w:p>
        </w:tc>
      </w:tr>
    </w:tbl>
    <w:p>
      <w:pPr>
        <w:rPr>
          <w:sz w:val="24"/>
          <w:szCs w:val="21"/>
        </w:rPr>
      </w:pPr>
      <w:r>
        <w:rPr>
          <w:sz w:val="24"/>
          <w:szCs w:val="21"/>
        </w:rPr>
        <w:t>备注：</w:t>
      </w:r>
    </w:p>
    <w:p>
      <w:pPr>
        <w:rPr>
          <w:sz w:val="24"/>
          <w:szCs w:val="21"/>
        </w:rPr>
      </w:pPr>
      <w:r>
        <w:rPr>
          <w:sz w:val="24"/>
          <w:szCs w:val="21"/>
        </w:rPr>
        <w:t>1.列入《中华人民共和国水污染防治法》规定的有毒有害水污染物名录的污染物（《有毒有害水污染物名录(第一批)》）；</w:t>
      </w:r>
    </w:p>
    <w:p>
      <w:pPr>
        <w:rPr>
          <w:sz w:val="24"/>
          <w:szCs w:val="21"/>
        </w:rPr>
      </w:pPr>
      <w:r>
        <w:rPr>
          <w:sz w:val="24"/>
          <w:szCs w:val="21"/>
        </w:rPr>
        <w:t>2.列入《中华人民共和国大气污染防治法》规定的有毒有害大气污染物名录的污染物（《有毒有害大气污染物名录(2018年)》）；</w:t>
      </w:r>
    </w:p>
    <w:p>
      <w:pPr>
        <w:rPr>
          <w:sz w:val="24"/>
          <w:szCs w:val="21"/>
        </w:rPr>
      </w:pPr>
      <w:r>
        <w:rPr>
          <w:sz w:val="24"/>
          <w:szCs w:val="21"/>
        </w:rPr>
        <w:t>3.《中华人民共和国固体废物污染环境防治法》规定的危险废物（《国家危险废物名录(20</w:t>
      </w:r>
      <w:r>
        <w:rPr>
          <w:rFonts w:hint="eastAsia"/>
          <w:sz w:val="24"/>
          <w:szCs w:val="21"/>
          <w:lang w:val="en-US" w:eastAsia="zh-CN"/>
        </w:rPr>
        <w:t>21年版</w:t>
      </w:r>
      <w:r>
        <w:rPr>
          <w:sz w:val="24"/>
          <w:szCs w:val="21"/>
        </w:rPr>
        <w:t>)》及根据国家规定的危险废物鉴别标准和鉴别方法认定的具有危险特性的固体废物）；</w:t>
      </w:r>
    </w:p>
    <w:p>
      <w:pPr>
        <w:rPr>
          <w:sz w:val="24"/>
          <w:szCs w:val="21"/>
        </w:rPr>
      </w:pPr>
      <w:r>
        <w:rPr>
          <w:sz w:val="24"/>
          <w:szCs w:val="21"/>
        </w:rPr>
        <w:t>4.国家和地方建设用地土壤污染风险管控标准管控的污染物（《土壤环境质量建设用地土壤污染风险管控标准GB36600-2018》）；</w:t>
      </w:r>
    </w:p>
    <w:p>
      <w:pPr>
        <w:rPr>
          <w:sz w:val="24"/>
          <w:szCs w:val="21"/>
        </w:rPr>
      </w:pPr>
      <w:r>
        <w:rPr>
          <w:sz w:val="24"/>
          <w:szCs w:val="21"/>
        </w:rPr>
        <w:t>5.列入优先控制化学品名录内的物质（《优先控制化学品名录（第一批）》、《优先控制化学品名录（第二批）》）；</w:t>
      </w:r>
    </w:p>
    <w:p>
      <w:pPr>
        <w:rPr>
          <w:sz w:val="24"/>
          <w:szCs w:val="21"/>
        </w:rPr>
      </w:pPr>
      <w:r>
        <w:rPr>
          <w:sz w:val="24"/>
          <w:szCs w:val="21"/>
        </w:rPr>
        <w:t>6.其他根据国家法律有关规定应当纳入有毒有害物质管理的物质。</w:t>
      </w:r>
    </w:p>
    <w:p/>
    <w:p>
      <w:pPr>
        <w:pStyle w:val="26"/>
        <w:ind w:firstLine="0" w:firstLineChars="0"/>
        <w:jc w:val="center"/>
        <w:outlineLvl w:val="1"/>
        <w:rPr>
          <w:rFonts w:cs="Times New Roman"/>
          <w:b/>
          <w:bCs/>
          <w:szCs w:val="32"/>
          <w:lang w:bidi="ar"/>
        </w:rPr>
        <w:sectPr>
          <w:pgSz w:w="16838" w:h="11906" w:orient="landscape"/>
          <w:pgMar w:top="1800" w:right="1440" w:bottom="1800" w:left="1440" w:header="851" w:footer="992" w:gutter="0"/>
          <w:cols w:space="425" w:num="1"/>
          <w:docGrid w:type="lines" w:linePitch="435" w:charSpace="0"/>
        </w:sectPr>
      </w:pPr>
    </w:p>
    <w:p>
      <w:pPr>
        <w:pStyle w:val="26"/>
        <w:ind w:firstLine="0" w:firstLineChars="0"/>
        <w:jc w:val="center"/>
        <w:outlineLvl w:val="1"/>
        <w:rPr>
          <w:rFonts w:cs="Times New Roman"/>
          <w:b/>
          <w:bCs/>
          <w:szCs w:val="32"/>
          <w:lang w:bidi="ar"/>
        </w:rPr>
      </w:pPr>
      <w:bookmarkStart w:id="32" w:name="_Toc118208084"/>
      <w:r>
        <w:rPr>
          <w:rFonts w:cs="Times New Roman"/>
          <w:b/>
          <w:bCs/>
          <w:szCs w:val="32"/>
          <w:lang w:bidi="ar"/>
        </w:rPr>
        <w:t>3 重点监管单位土壤和地下水关注污染物参考</w:t>
      </w:r>
      <w:bookmarkEnd w:id="32"/>
    </w:p>
    <w:p>
      <w:pPr>
        <w:ind w:firstLine="480" w:firstLineChars="200"/>
        <w:rPr>
          <w:sz w:val="24"/>
          <w:szCs w:val="21"/>
        </w:rPr>
      </w:pPr>
      <w:r>
        <w:rPr>
          <w:sz w:val="24"/>
          <w:szCs w:val="21"/>
        </w:rPr>
        <w:t>针对湛江市钢铁、石化、特种纸以及生物医药四大支柱产业以及湛江市现有土壤污染重点监管单位行业分布情况，提出相对应行业的关注污染物如下。</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996"/>
        <w:gridCol w:w="1573"/>
        <w:gridCol w:w="2288"/>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913" w:type="pct"/>
            <w:gridSpan w:val="2"/>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国民经济行业分类（GB/T4754）</w:t>
            </w:r>
          </w:p>
        </w:tc>
        <w:tc>
          <w:tcPr>
            <w:tcW w:w="813" w:type="pct"/>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重点关注污染物</w:t>
            </w:r>
          </w:p>
        </w:tc>
        <w:tc>
          <w:tcPr>
            <w:tcW w:w="3274" w:type="pct"/>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其他关注污染物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913" w:type="pct"/>
            <w:gridSpan w:val="2"/>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22造纸和纸制品业</w:t>
            </w:r>
          </w:p>
        </w:tc>
        <w:tc>
          <w:tcPr>
            <w:tcW w:w="813"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汞、镉、砷、铅、铬、二氯甲烷、二氯乙烷</w:t>
            </w:r>
          </w:p>
        </w:tc>
        <w:tc>
          <w:tcPr>
            <w:tcW w:w="3274"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铜、锌、二氯乙烯、氯仿、三氯乙烷、四氯化碳、二氯丙烷、三氯乙烯、三氯乙烷、四氯乙烯、四氯乙烷、二溴氯甲烷、溴仿、三氯丙烷、六氯丁二烯、六氯乙烷、二</w:t>
            </w:r>
            <w:r>
              <w:rPr>
                <w:rFonts w:eastAsia="微软雅黑"/>
                <w:color w:val="000000"/>
                <w:kern w:val="0"/>
                <w:sz w:val="21"/>
                <w:szCs w:val="21"/>
              </w:rPr>
              <w:t>噁</w:t>
            </w:r>
            <w:r>
              <w:rPr>
                <w:rFonts w:eastAsia="楷体_GB2312"/>
                <w:color w:val="000000"/>
                <w:kern w:val="0"/>
                <w:sz w:val="21"/>
                <w:szCs w:val="21"/>
              </w:rPr>
              <w:t>英类（具有毒性当量组分，不含共平面多氯联苯）、可吸附有机卤素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913" w:type="pct"/>
            <w:gridSpan w:val="2"/>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25石油、煤炭及其他燃料加工业</w:t>
            </w:r>
          </w:p>
        </w:tc>
        <w:tc>
          <w:tcPr>
            <w:tcW w:w="813" w:type="pct"/>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镉、汞、C</w:t>
            </w:r>
            <w:r>
              <w:rPr>
                <w:rFonts w:eastAsia="楷体_GB2312"/>
                <w:color w:val="000000"/>
                <w:kern w:val="0"/>
                <w:sz w:val="21"/>
                <w:szCs w:val="21"/>
                <w:vertAlign w:val="subscript"/>
              </w:rPr>
              <w:t>10</w:t>
            </w:r>
            <w:r>
              <w:rPr>
                <w:rFonts w:eastAsia="楷体_GB2312"/>
                <w:color w:val="000000"/>
                <w:kern w:val="0"/>
                <w:sz w:val="21"/>
                <w:szCs w:val="21"/>
              </w:rPr>
              <w:t>-C</w:t>
            </w:r>
            <w:r>
              <w:rPr>
                <w:rFonts w:eastAsia="楷体_GB2312"/>
                <w:color w:val="000000"/>
                <w:kern w:val="0"/>
                <w:sz w:val="21"/>
                <w:szCs w:val="21"/>
                <w:vertAlign w:val="subscript"/>
              </w:rPr>
              <w:t>40</w:t>
            </w:r>
            <w:r>
              <w:rPr>
                <w:rFonts w:eastAsia="楷体_GB2312"/>
                <w:color w:val="000000"/>
                <w:kern w:val="0"/>
                <w:sz w:val="21"/>
                <w:szCs w:val="21"/>
              </w:rPr>
              <w:t>总量、苯、甲苯、乙苯、二氯乙烷、苯并[a]芘</w:t>
            </w:r>
          </w:p>
        </w:tc>
        <w:tc>
          <w:tcPr>
            <w:tcW w:w="3274"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铅、铬、铜、锌、镍、砷、锰、钴、硒、钒、锑、铊、铍、钼、氰化物、氟化物、氯苯、二甲苯、苯乙烯、三甲苯、二氯苯、三氯苯、苯酚、硝基酚、二甲基酚、二氯酚、苊烯、苊、芴、菲、蒽、荧蒽、芘、苯并[a]蒽、屈、苯并[b]荧蒽、苯并[k]荧蒽、茚并[1,2,3-c,d]芘、二苯并[a,h]蒽、苯并[g,h,i]</w:t>
            </w:r>
            <w:r>
              <w:rPr>
                <w:rFonts w:eastAsia="微软雅黑"/>
                <w:color w:val="000000"/>
                <w:kern w:val="0"/>
                <w:sz w:val="21"/>
                <w:szCs w:val="21"/>
              </w:rPr>
              <w:t>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913" w:type="pct"/>
            <w:gridSpan w:val="2"/>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26化学原料和化学制品制造业</w:t>
            </w:r>
          </w:p>
        </w:tc>
        <w:tc>
          <w:tcPr>
            <w:tcW w:w="813" w:type="pct"/>
            <w:vMerge w:val="continue"/>
            <w:vAlign w:val="center"/>
          </w:tcPr>
          <w:p>
            <w:pPr>
              <w:widowControl/>
              <w:spacing w:line="320" w:lineRule="exact"/>
              <w:jc w:val="center"/>
              <w:rPr>
                <w:rFonts w:eastAsia="楷体_GB2312"/>
                <w:color w:val="000000"/>
                <w:kern w:val="0"/>
                <w:sz w:val="21"/>
                <w:szCs w:val="21"/>
              </w:rPr>
            </w:pPr>
          </w:p>
        </w:tc>
        <w:tc>
          <w:tcPr>
            <w:tcW w:w="3274"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铅、铬、铜、锌、镍、砷、锰、钴、硒、钒、锑、铊、铍、钼-、氰化物、氟化物、二氯乙烯、二氯甲烷、氯仿、三氯乙烷、四氯化碳、二氯丙烷、三氯乙烯、三氯乙烷、四氯乙烯、四氯乙烷、二溴氯甲烷、溴仿、三氯丙烷、六氯丁二烯、六氯乙烷、氯苯、二甲苯、苯乙烯、三甲苯、二氯苯、三氯苯、硝基苯、苯酚、硝基酚、二甲基酚、二氯酚、苊烯、苊、芴、菲、蒽、荧蒽、芘、苯并[a]蒽、屈、苯并[b]荧蒽、苯并[k]荧蒽、茚并[1,2,3-c,d]芘、二苯并[a,h]蒽、苯并[g,h,i]</w:t>
            </w:r>
            <w:r>
              <w:rPr>
                <w:rFonts w:eastAsia="微软雅黑"/>
                <w:color w:val="000000"/>
                <w:kern w:val="0"/>
                <w:sz w:val="21"/>
                <w:szCs w:val="21"/>
              </w:rPr>
              <w:t>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913" w:type="pct"/>
            <w:gridSpan w:val="2"/>
            <w:vAlign w:val="center"/>
          </w:tcPr>
          <w:p>
            <w:pPr>
              <w:widowControl/>
              <w:snapToGrid w:val="0"/>
              <w:spacing w:line="320" w:lineRule="exact"/>
              <w:jc w:val="center"/>
              <w:rPr>
                <w:rFonts w:eastAsia="楷体_GB2312"/>
                <w:color w:val="000000"/>
                <w:kern w:val="0"/>
                <w:sz w:val="21"/>
                <w:szCs w:val="21"/>
              </w:rPr>
            </w:pPr>
            <w:r>
              <w:rPr>
                <w:rFonts w:eastAsia="楷体_GB2312"/>
                <w:color w:val="000000"/>
                <w:kern w:val="0"/>
                <w:sz w:val="21"/>
                <w:szCs w:val="21"/>
              </w:rPr>
              <w:t>27医药制造业</w:t>
            </w:r>
          </w:p>
        </w:tc>
        <w:tc>
          <w:tcPr>
            <w:tcW w:w="813"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锌、苯、甲醛、苯酚、乙腈、C</w:t>
            </w:r>
            <w:r>
              <w:rPr>
                <w:rFonts w:eastAsia="楷体_GB2312"/>
                <w:color w:val="000000"/>
                <w:kern w:val="0"/>
                <w:sz w:val="21"/>
                <w:szCs w:val="21"/>
                <w:vertAlign w:val="subscript"/>
              </w:rPr>
              <w:t>10</w:t>
            </w:r>
            <w:r>
              <w:rPr>
                <w:rFonts w:eastAsia="楷体_GB2312"/>
                <w:color w:val="000000"/>
                <w:kern w:val="0"/>
                <w:sz w:val="21"/>
                <w:szCs w:val="21"/>
              </w:rPr>
              <w:t>-C</w:t>
            </w:r>
            <w:r>
              <w:rPr>
                <w:rFonts w:eastAsia="楷体_GB2312"/>
                <w:color w:val="000000"/>
                <w:kern w:val="0"/>
                <w:sz w:val="21"/>
                <w:szCs w:val="21"/>
                <w:vertAlign w:val="subscript"/>
              </w:rPr>
              <w:t>40</w:t>
            </w:r>
            <w:r>
              <w:rPr>
                <w:rFonts w:eastAsia="楷体_GB2312"/>
                <w:color w:val="000000"/>
                <w:kern w:val="0"/>
                <w:sz w:val="21"/>
                <w:szCs w:val="21"/>
              </w:rPr>
              <w:t>总量</w:t>
            </w:r>
          </w:p>
        </w:tc>
        <w:tc>
          <w:tcPr>
            <w:tcW w:w="3274"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镉、铅、铬、铜、镍、汞、砷、氰化物、氟化物、二氯乙烯、二氯甲烷、二氯乙烷、氯仿、三氯乙烷、四氯化碳、二氯丙烷、三氯乙烯、三氯乙烷、四氯乙烯、四氯乙烷、二溴氯甲烷、溴仿、三氯丙烷、六氯丁二烯、六氯乙烷、甲苯、氯苯、乙苯、二甲苯、苯乙烯、三甲苯、二氯苯、三氯苯、硝基苯、硝基酚、二甲基酚、二氯酚、苊烯、苊、芴、菲、蒽、荧蒽、芘、苯并[a]蒽、屈、苯并[b]荧蒽、苯并[k]荧蒽、苯并[a]芘、茚并[1,2,3-c,d]芘、二苯并[a,h]蒽、苯并[g,h,i]</w:t>
            </w:r>
            <w:r>
              <w:rPr>
                <w:rFonts w:eastAsia="微软雅黑"/>
                <w:color w:val="000000"/>
                <w:kern w:val="0"/>
                <w:sz w:val="21"/>
                <w:szCs w:val="21"/>
              </w:rPr>
              <w:t>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354" w:type="pct"/>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31黑色金属冶炼和压延加工业</w:t>
            </w:r>
          </w:p>
        </w:tc>
        <w:tc>
          <w:tcPr>
            <w:tcW w:w="559" w:type="pct"/>
            <w:vAlign w:val="center"/>
          </w:tcPr>
          <w:p>
            <w:pPr>
              <w:autoSpaceDE w:val="0"/>
              <w:autoSpaceDN w:val="0"/>
              <w:adjustRightInd w:val="0"/>
              <w:snapToGrid w:val="0"/>
              <w:spacing w:line="320" w:lineRule="exact"/>
              <w:jc w:val="center"/>
              <w:rPr>
                <w:rFonts w:eastAsia="楷体_GB2312"/>
                <w:color w:val="000000"/>
                <w:kern w:val="0"/>
                <w:sz w:val="21"/>
                <w:szCs w:val="21"/>
              </w:rPr>
            </w:pPr>
            <w:r>
              <w:rPr>
                <w:rFonts w:eastAsia="楷体_GB2312"/>
                <w:color w:val="000000"/>
                <w:kern w:val="0"/>
                <w:sz w:val="21"/>
                <w:szCs w:val="21"/>
              </w:rPr>
              <w:t>311炼铁</w:t>
            </w:r>
          </w:p>
        </w:tc>
        <w:tc>
          <w:tcPr>
            <w:tcW w:w="813" w:type="pct"/>
            <w:vMerge w:val="restart"/>
            <w:vAlign w:val="center"/>
          </w:tcPr>
          <w:p>
            <w:pPr>
              <w:autoSpaceDE w:val="0"/>
              <w:autoSpaceDN w:val="0"/>
              <w:adjustRightInd w:val="0"/>
              <w:spacing w:line="320" w:lineRule="exact"/>
              <w:jc w:val="center"/>
              <w:rPr>
                <w:rFonts w:eastAsia="楷体_GB2312"/>
                <w:color w:val="000000"/>
                <w:kern w:val="0"/>
                <w:sz w:val="21"/>
                <w:szCs w:val="21"/>
              </w:rPr>
            </w:pPr>
            <w:r>
              <w:rPr>
                <w:rFonts w:eastAsia="楷体_GB2312"/>
                <w:color w:val="000000"/>
                <w:kern w:val="0"/>
                <w:sz w:val="21"/>
                <w:szCs w:val="21"/>
              </w:rPr>
              <w:t>锰、铅、锌、钒、砷、铬、C</w:t>
            </w:r>
            <w:r>
              <w:rPr>
                <w:rFonts w:eastAsia="楷体_GB2312"/>
                <w:color w:val="000000"/>
                <w:kern w:val="0"/>
                <w:sz w:val="21"/>
                <w:szCs w:val="21"/>
                <w:vertAlign w:val="subscript"/>
              </w:rPr>
              <w:t>10</w:t>
            </w:r>
            <w:r>
              <w:rPr>
                <w:rFonts w:eastAsia="楷体_GB2312"/>
                <w:color w:val="000000"/>
                <w:kern w:val="0"/>
                <w:sz w:val="21"/>
                <w:szCs w:val="21"/>
              </w:rPr>
              <w:t>-C</w:t>
            </w:r>
            <w:r>
              <w:rPr>
                <w:rFonts w:eastAsia="楷体_GB2312"/>
                <w:color w:val="000000"/>
                <w:kern w:val="0"/>
                <w:sz w:val="21"/>
                <w:szCs w:val="21"/>
                <w:vertAlign w:val="subscript"/>
              </w:rPr>
              <w:t>40</w:t>
            </w:r>
            <w:r>
              <w:rPr>
                <w:rFonts w:eastAsia="楷体_GB2312"/>
                <w:color w:val="000000"/>
                <w:kern w:val="0"/>
                <w:sz w:val="21"/>
                <w:szCs w:val="21"/>
              </w:rPr>
              <w:t>总量、</w:t>
            </w:r>
            <w:r>
              <w:rPr>
                <w:sz w:val="21"/>
                <w:szCs w:val="21"/>
              </w:rPr>
              <w:t>苯并(a)芘</w:t>
            </w:r>
          </w:p>
        </w:tc>
        <w:tc>
          <w:tcPr>
            <w:tcW w:w="3274" w:type="pct"/>
            <w:vMerge w:val="restart"/>
            <w:vAlign w:val="center"/>
          </w:tcPr>
          <w:p>
            <w:pPr>
              <w:autoSpaceDE w:val="0"/>
              <w:autoSpaceDN w:val="0"/>
              <w:adjustRightInd w:val="0"/>
              <w:spacing w:line="320" w:lineRule="exact"/>
              <w:jc w:val="center"/>
              <w:rPr>
                <w:rFonts w:eastAsia="楷体_GB2312"/>
                <w:color w:val="000000"/>
                <w:kern w:val="0"/>
                <w:sz w:val="21"/>
                <w:szCs w:val="21"/>
              </w:rPr>
            </w:pPr>
            <w:r>
              <w:rPr>
                <w:rFonts w:eastAsia="楷体_GB2312"/>
                <w:color w:val="000000"/>
                <w:kern w:val="0"/>
                <w:sz w:val="21"/>
                <w:szCs w:val="21"/>
              </w:rPr>
              <w:t>镉、铜、镍、汞、钴、硒、锑、铊、铍、钼、苊烯、苊、芴、菲、蒽、荧蒽、芘、苯并[a]蒽、屈、苯并[b]荧蒽、苯并[k]荧蒽、茚并[1,2,3-c,d]芘、二苯并[a,h]蒽、苯并[g,h,i]</w:t>
            </w:r>
            <w:r>
              <w:rPr>
                <w:rFonts w:eastAsia="微软雅黑"/>
                <w:color w:val="000000"/>
                <w:kern w:val="0"/>
                <w:sz w:val="21"/>
                <w:szCs w:val="21"/>
              </w:rPr>
              <w:t>苝</w:t>
            </w:r>
            <w:r>
              <w:rPr>
                <w:rFonts w:eastAsia="楷体_GB2312"/>
                <w:color w:val="000000"/>
                <w:kern w:val="0"/>
                <w:sz w:val="21"/>
                <w:szCs w:val="21"/>
              </w:rPr>
              <w:t>、二</w:t>
            </w:r>
            <w:r>
              <w:rPr>
                <w:rFonts w:eastAsia="微软雅黑"/>
                <w:color w:val="000000"/>
                <w:kern w:val="0"/>
                <w:sz w:val="21"/>
                <w:szCs w:val="21"/>
              </w:rPr>
              <w:t>噁</w:t>
            </w:r>
            <w:r>
              <w:rPr>
                <w:rFonts w:eastAsia="楷体_GB2312"/>
                <w:color w:val="000000"/>
                <w:kern w:val="0"/>
                <w:sz w:val="21"/>
                <w:szCs w:val="21"/>
              </w:rPr>
              <w:t>英类（具有毒性当量组分，不含共平面多氯联苯）、pH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354" w:type="pct"/>
            <w:vMerge w:val="continue"/>
            <w:vAlign w:val="center"/>
          </w:tcPr>
          <w:p>
            <w:pPr>
              <w:widowControl/>
              <w:spacing w:line="320" w:lineRule="exact"/>
              <w:jc w:val="center"/>
              <w:rPr>
                <w:rFonts w:eastAsia="楷体_GB2312"/>
                <w:color w:val="000000"/>
                <w:kern w:val="0"/>
                <w:sz w:val="21"/>
                <w:szCs w:val="21"/>
              </w:rPr>
            </w:pPr>
          </w:p>
        </w:tc>
        <w:tc>
          <w:tcPr>
            <w:tcW w:w="559" w:type="pct"/>
            <w:vAlign w:val="center"/>
          </w:tcPr>
          <w:p>
            <w:pPr>
              <w:autoSpaceDE w:val="0"/>
              <w:autoSpaceDN w:val="0"/>
              <w:adjustRightInd w:val="0"/>
              <w:snapToGrid w:val="0"/>
              <w:spacing w:line="320" w:lineRule="exact"/>
              <w:jc w:val="center"/>
              <w:rPr>
                <w:rFonts w:eastAsia="楷体_GB2312"/>
                <w:color w:val="000000"/>
                <w:kern w:val="0"/>
                <w:sz w:val="21"/>
                <w:szCs w:val="21"/>
              </w:rPr>
            </w:pPr>
            <w:r>
              <w:rPr>
                <w:rFonts w:eastAsia="楷体_GB2312"/>
                <w:color w:val="000000"/>
                <w:kern w:val="0"/>
                <w:sz w:val="21"/>
                <w:szCs w:val="21"/>
              </w:rPr>
              <w:t>312炼钢</w:t>
            </w:r>
          </w:p>
        </w:tc>
        <w:tc>
          <w:tcPr>
            <w:tcW w:w="813" w:type="pct"/>
            <w:vMerge w:val="continue"/>
            <w:vAlign w:val="center"/>
          </w:tcPr>
          <w:p>
            <w:pPr>
              <w:autoSpaceDE w:val="0"/>
              <w:autoSpaceDN w:val="0"/>
              <w:adjustRightInd w:val="0"/>
              <w:spacing w:line="320" w:lineRule="exact"/>
              <w:jc w:val="center"/>
              <w:rPr>
                <w:rFonts w:eastAsia="楷体_GB2312"/>
                <w:color w:val="000000"/>
                <w:kern w:val="0"/>
                <w:sz w:val="21"/>
                <w:szCs w:val="21"/>
              </w:rPr>
            </w:pPr>
          </w:p>
        </w:tc>
        <w:tc>
          <w:tcPr>
            <w:tcW w:w="3274" w:type="pct"/>
            <w:vMerge w:val="continue"/>
            <w:vAlign w:val="center"/>
          </w:tcPr>
          <w:p>
            <w:pPr>
              <w:autoSpaceDE w:val="0"/>
              <w:autoSpaceDN w:val="0"/>
              <w:adjustRightInd w:val="0"/>
              <w:spacing w:line="320" w:lineRule="exact"/>
              <w:jc w:val="center"/>
              <w:rPr>
                <w:rFonts w:eastAsia="楷体_GB2312"/>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354" w:type="pct"/>
            <w:vMerge w:val="continue"/>
            <w:vAlign w:val="center"/>
          </w:tcPr>
          <w:p>
            <w:pPr>
              <w:widowControl/>
              <w:spacing w:line="320" w:lineRule="exact"/>
              <w:jc w:val="center"/>
              <w:rPr>
                <w:rFonts w:eastAsia="楷体_GB2312"/>
                <w:color w:val="000000"/>
                <w:kern w:val="0"/>
                <w:sz w:val="21"/>
                <w:szCs w:val="21"/>
              </w:rPr>
            </w:pPr>
          </w:p>
        </w:tc>
        <w:tc>
          <w:tcPr>
            <w:tcW w:w="559" w:type="pct"/>
            <w:vAlign w:val="center"/>
          </w:tcPr>
          <w:p>
            <w:pPr>
              <w:autoSpaceDE w:val="0"/>
              <w:autoSpaceDN w:val="0"/>
              <w:adjustRightInd w:val="0"/>
              <w:snapToGrid w:val="0"/>
              <w:spacing w:line="320" w:lineRule="exact"/>
              <w:jc w:val="center"/>
              <w:rPr>
                <w:rFonts w:eastAsia="楷体_GB2312"/>
                <w:color w:val="000000"/>
                <w:kern w:val="0"/>
                <w:sz w:val="21"/>
                <w:szCs w:val="21"/>
              </w:rPr>
            </w:pPr>
            <w:r>
              <w:rPr>
                <w:rFonts w:eastAsia="楷体_GB2312"/>
                <w:color w:val="000000"/>
                <w:kern w:val="0"/>
                <w:sz w:val="21"/>
                <w:szCs w:val="21"/>
              </w:rPr>
              <w:t>314铁合金冶炼</w:t>
            </w:r>
          </w:p>
        </w:tc>
        <w:tc>
          <w:tcPr>
            <w:tcW w:w="813" w:type="pct"/>
            <w:vMerge w:val="continue"/>
            <w:vAlign w:val="center"/>
          </w:tcPr>
          <w:p>
            <w:pPr>
              <w:autoSpaceDE w:val="0"/>
              <w:autoSpaceDN w:val="0"/>
              <w:adjustRightInd w:val="0"/>
              <w:spacing w:line="320" w:lineRule="exact"/>
              <w:jc w:val="center"/>
              <w:rPr>
                <w:rFonts w:eastAsia="楷体_GB2312"/>
                <w:color w:val="000000"/>
                <w:kern w:val="0"/>
                <w:sz w:val="21"/>
                <w:szCs w:val="21"/>
              </w:rPr>
            </w:pPr>
          </w:p>
        </w:tc>
        <w:tc>
          <w:tcPr>
            <w:tcW w:w="3274" w:type="pct"/>
            <w:vMerge w:val="continue"/>
            <w:vAlign w:val="center"/>
          </w:tcPr>
          <w:p>
            <w:pPr>
              <w:autoSpaceDE w:val="0"/>
              <w:autoSpaceDN w:val="0"/>
              <w:adjustRightInd w:val="0"/>
              <w:spacing w:line="320" w:lineRule="exact"/>
              <w:jc w:val="center"/>
              <w:rPr>
                <w:rFonts w:eastAsia="楷体_GB2312"/>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354"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59装卸搬运和仓储业</w:t>
            </w:r>
          </w:p>
        </w:tc>
        <w:tc>
          <w:tcPr>
            <w:tcW w:w="559" w:type="pct"/>
            <w:vAlign w:val="center"/>
          </w:tcPr>
          <w:p>
            <w:pPr>
              <w:autoSpaceDE w:val="0"/>
              <w:autoSpaceDN w:val="0"/>
              <w:adjustRightInd w:val="0"/>
              <w:snapToGrid w:val="0"/>
              <w:spacing w:line="320" w:lineRule="exact"/>
              <w:jc w:val="center"/>
              <w:rPr>
                <w:rFonts w:eastAsia="楷体_GB2312"/>
                <w:color w:val="000000"/>
                <w:kern w:val="0"/>
                <w:sz w:val="21"/>
                <w:szCs w:val="21"/>
              </w:rPr>
            </w:pPr>
            <w:r>
              <w:rPr>
                <w:rFonts w:eastAsia="楷体_GB2312"/>
                <w:color w:val="000000"/>
                <w:kern w:val="0"/>
                <w:sz w:val="21"/>
                <w:szCs w:val="21"/>
              </w:rPr>
              <w:t>599其他仓储业</w:t>
            </w:r>
          </w:p>
        </w:tc>
        <w:tc>
          <w:tcPr>
            <w:tcW w:w="813" w:type="pct"/>
            <w:vAlign w:val="center"/>
          </w:tcPr>
          <w:p>
            <w:pPr>
              <w:autoSpaceDE w:val="0"/>
              <w:autoSpaceDN w:val="0"/>
              <w:adjustRightInd w:val="0"/>
              <w:spacing w:line="320" w:lineRule="exact"/>
              <w:jc w:val="center"/>
              <w:rPr>
                <w:rFonts w:eastAsia="楷体_GB2312"/>
                <w:color w:val="000000"/>
                <w:kern w:val="0"/>
                <w:sz w:val="21"/>
                <w:szCs w:val="21"/>
              </w:rPr>
            </w:pPr>
            <w:r>
              <w:rPr>
                <w:rFonts w:eastAsia="楷体_GB2312"/>
                <w:color w:val="000000"/>
                <w:kern w:val="0"/>
                <w:sz w:val="21"/>
                <w:szCs w:val="21"/>
              </w:rPr>
              <w:t>砷、C</w:t>
            </w:r>
            <w:r>
              <w:rPr>
                <w:rFonts w:eastAsia="楷体_GB2312"/>
                <w:color w:val="000000"/>
                <w:kern w:val="0"/>
                <w:sz w:val="21"/>
                <w:szCs w:val="21"/>
                <w:vertAlign w:val="subscript"/>
              </w:rPr>
              <w:t>10</w:t>
            </w:r>
            <w:r>
              <w:rPr>
                <w:rFonts w:eastAsia="楷体_GB2312"/>
                <w:color w:val="000000"/>
                <w:kern w:val="0"/>
                <w:sz w:val="21"/>
                <w:szCs w:val="21"/>
              </w:rPr>
              <w:t>-C</w:t>
            </w:r>
            <w:r>
              <w:rPr>
                <w:rFonts w:eastAsia="楷体_GB2312"/>
                <w:color w:val="000000"/>
                <w:kern w:val="0"/>
                <w:sz w:val="21"/>
                <w:szCs w:val="21"/>
                <w:vertAlign w:val="subscript"/>
              </w:rPr>
              <w:t>40</w:t>
            </w:r>
            <w:r>
              <w:rPr>
                <w:rFonts w:eastAsia="楷体_GB2312"/>
                <w:color w:val="000000"/>
                <w:kern w:val="0"/>
                <w:sz w:val="21"/>
                <w:szCs w:val="21"/>
              </w:rPr>
              <w:t>总量</w:t>
            </w:r>
          </w:p>
        </w:tc>
        <w:tc>
          <w:tcPr>
            <w:tcW w:w="3274" w:type="pct"/>
            <w:vAlign w:val="center"/>
          </w:tcPr>
          <w:p>
            <w:pPr>
              <w:autoSpaceDE w:val="0"/>
              <w:autoSpaceDN w:val="0"/>
              <w:adjustRightInd w:val="0"/>
              <w:spacing w:line="320" w:lineRule="exact"/>
              <w:jc w:val="center"/>
              <w:rPr>
                <w:rFonts w:eastAsia="楷体_GB2312"/>
                <w:color w:val="000000"/>
                <w:kern w:val="0"/>
                <w:sz w:val="21"/>
                <w:szCs w:val="21"/>
              </w:rPr>
            </w:pPr>
            <w:r>
              <w:rPr>
                <w:rFonts w:eastAsia="楷体_GB2312"/>
                <w:color w:val="000000"/>
                <w:kern w:val="0"/>
                <w:sz w:val="21"/>
                <w:szCs w:val="21"/>
              </w:rPr>
              <w:t>镉、铅、铬、铜、锌、镍、汞、苯、甲苯、氯苯、乙苯、二甲苯、苯乙烯、三甲苯、二氯苯、三氯苯、硝基苯、苯酚、硝基酚、二甲基酚、二氯酚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354"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77生态保护和环境治理业</w:t>
            </w:r>
          </w:p>
        </w:tc>
        <w:tc>
          <w:tcPr>
            <w:tcW w:w="559" w:type="pct"/>
            <w:vAlign w:val="center"/>
          </w:tcPr>
          <w:p>
            <w:pPr>
              <w:autoSpaceDE w:val="0"/>
              <w:autoSpaceDN w:val="0"/>
              <w:adjustRightInd w:val="0"/>
              <w:snapToGrid w:val="0"/>
              <w:spacing w:line="320" w:lineRule="exact"/>
              <w:jc w:val="center"/>
              <w:rPr>
                <w:rFonts w:eastAsia="楷体_GB2312"/>
                <w:color w:val="000000"/>
                <w:kern w:val="0"/>
                <w:sz w:val="21"/>
                <w:szCs w:val="21"/>
              </w:rPr>
            </w:pPr>
            <w:r>
              <w:rPr>
                <w:rFonts w:eastAsia="楷体_GB2312"/>
                <w:color w:val="000000"/>
                <w:kern w:val="0"/>
                <w:sz w:val="21"/>
                <w:szCs w:val="21"/>
              </w:rPr>
              <w:t>772环境治理业（危废、医废处置）</w:t>
            </w:r>
          </w:p>
        </w:tc>
        <w:tc>
          <w:tcPr>
            <w:tcW w:w="813" w:type="pct"/>
            <w:vMerge w:val="restart"/>
            <w:vAlign w:val="center"/>
          </w:tcPr>
          <w:p>
            <w:pPr>
              <w:autoSpaceDE w:val="0"/>
              <w:autoSpaceDN w:val="0"/>
              <w:adjustRightInd w:val="0"/>
              <w:spacing w:line="320" w:lineRule="exact"/>
              <w:jc w:val="center"/>
              <w:rPr>
                <w:rFonts w:eastAsia="楷体_GB2312"/>
                <w:color w:val="000000"/>
                <w:kern w:val="0"/>
                <w:sz w:val="21"/>
                <w:szCs w:val="21"/>
              </w:rPr>
            </w:pPr>
            <w:r>
              <w:rPr>
                <w:rFonts w:eastAsia="楷体_GB2312"/>
                <w:color w:val="000000"/>
                <w:kern w:val="0"/>
                <w:sz w:val="21"/>
                <w:szCs w:val="21"/>
              </w:rPr>
              <w:t>铅、镉、铜、汞、二</w:t>
            </w:r>
            <w:r>
              <w:rPr>
                <w:rFonts w:eastAsia="微软雅黑"/>
                <w:color w:val="000000"/>
                <w:kern w:val="0"/>
                <w:sz w:val="21"/>
                <w:szCs w:val="21"/>
              </w:rPr>
              <w:t>噁</w:t>
            </w:r>
            <w:r>
              <w:rPr>
                <w:rFonts w:eastAsia="楷体_GB2312"/>
                <w:color w:val="000000"/>
                <w:kern w:val="0"/>
                <w:sz w:val="21"/>
                <w:szCs w:val="21"/>
              </w:rPr>
              <w:t>英类</w:t>
            </w:r>
          </w:p>
        </w:tc>
        <w:tc>
          <w:tcPr>
            <w:tcW w:w="3274" w:type="pct"/>
            <w:vMerge w:val="restart"/>
            <w:vAlign w:val="center"/>
          </w:tcPr>
          <w:p>
            <w:pPr>
              <w:autoSpaceDE w:val="0"/>
              <w:autoSpaceDN w:val="0"/>
              <w:adjustRightInd w:val="0"/>
              <w:spacing w:line="320" w:lineRule="exact"/>
              <w:jc w:val="center"/>
              <w:rPr>
                <w:rFonts w:eastAsia="楷体_GB2312"/>
                <w:color w:val="000000"/>
                <w:kern w:val="0"/>
                <w:sz w:val="21"/>
                <w:szCs w:val="21"/>
              </w:rPr>
            </w:pPr>
            <w:r>
              <w:rPr>
                <w:rFonts w:eastAsia="楷体_GB2312"/>
                <w:color w:val="000000"/>
                <w:kern w:val="0"/>
                <w:sz w:val="21"/>
                <w:szCs w:val="21"/>
              </w:rPr>
              <w:t>铬、锌、镍、砷、锰、钴、硒、钒、锑、铊、铍、钼、氰化物、氟化物、pH、二氯乙烯、二氯甲烷、二氯乙烷、氯仿、三氯乙烷、四氯化碳、二氯丙烷、三氯乙烯、三氯乙烷、四氯乙烯、四氯乙烷、二溴氯甲烷、溴仿、三氯丙烷、六氯丁二烯、六氯乙烷、苯、甲苯、氯苯、乙苯、二甲苯、苯乙烯、三甲苯、二氯苯、三氯苯、硝基苯、苯酚、硝基酚、二甲基酚、二氯酚、苊烯、苊、芴、菲、蒽、荧蒽、芘、苯并[a]蒽、屈、苯并[b]荧蒽、苯并[k]荧蒽、苯并[a]芘、茚并[1,2,3-c,d]芘、二苯并[a,h]蒽、苯并[g,h,i]</w:t>
            </w:r>
            <w:r>
              <w:rPr>
                <w:rFonts w:eastAsia="微软雅黑"/>
                <w:color w:val="000000"/>
                <w:kern w:val="0"/>
                <w:sz w:val="21"/>
                <w:szCs w:val="21"/>
              </w:rPr>
              <w:t>苝</w:t>
            </w:r>
            <w:r>
              <w:rPr>
                <w:rFonts w:eastAsia="楷体_GB2312"/>
                <w:color w:val="000000"/>
                <w:kern w:val="0"/>
                <w:sz w:val="21"/>
                <w:szCs w:val="21"/>
              </w:rPr>
              <w:t>、石油烃（C10-C40总量）、2,3,3',4,4',5,5'-七氯联苯（PCB189）、2,3',4,4',5,5'-六氯联苯（PCB167）、2,3,3',4,4',5'-六氯联苯（PCB157）、2,3,3',4,4',5-六氯联苯（PCB156）、3,3',4,4',5,5'-六氯联苯（PCB169）、2',3,4,4',5-五氯联苯（PCB123）、2,3',4,4',5-五氯联苯（PCB118）、2,3,3',4,4'-五氯联苯（PCB105）、2,3,4,4',5-五氯联苯（PCB114）、3,3',4,4',5-五氯联苯（PCB126）、3,3',4,4'-四氯联苯（PCB77）、3,4,4',5-四氯联苯（PCB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354" w:type="pc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78公共设施管理业</w:t>
            </w:r>
          </w:p>
        </w:tc>
        <w:tc>
          <w:tcPr>
            <w:tcW w:w="559" w:type="pct"/>
            <w:vAlign w:val="center"/>
          </w:tcPr>
          <w:p>
            <w:pPr>
              <w:autoSpaceDE w:val="0"/>
              <w:autoSpaceDN w:val="0"/>
              <w:adjustRightInd w:val="0"/>
              <w:snapToGrid w:val="0"/>
              <w:spacing w:line="320" w:lineRule="exact"/>
              <w:jc w:val="center"/>
              <w:rPr>
                <w:rFonts w:eastAsia="楷体_GB2312"/>
                <w:color w:val="000000"/>
                <w:kern w:val="0"/>
                <w:sz w:val="21"/>
                <w:szCs w:val="21"/>
              </w:rPr>
            </w:pPr>
            <w:r>
              <w:rPr>
                <w:rFonts w:eastAsia="楷体_GB2312"/>
                <w:color w:val="000000"/>
                <w:kern w:val="0"/>
                <w:sz w:val="21"/>
                <w:szCs w:val="21"/>
              </w:rPr>
              <w:t>782环境卫生管理（生活垃圾处置）</w:t>
            </w:r>
          </w:p>
        </w:tc>
        <w:tc>
          <w:tcPr>
            <w:tcW w:w="813" w:type="pct"/>
            <w:vMerge w:val="continue"/>
            <w:vAlign w:val="center"/>
          </w:tcPr>
          <w:p>
            <w:pPr>
              <w:autoSpaceDE w:val="0"/>
              <w:autoSpaceDN w:val="0"/>
              <w:adjustRightInd w:val="0"/>
              <w:spacing w:line="320" w:lineRule="exact"/>
              <w:jc w:val="center"/>
              <w:rPr>
                <w:rFonts w:eastAsia="楷体_GB2312"/>
                <w:color w:val="000000"/>
                <w:kern w:val="0"/>
                <w:sz w:val="21"/>
                <w:szCs w:val="21"/>
              </w:rPr>
            </w:pPr>
          </w:p>
        </w:tc>
        <w:tc>
          <w:tcPr>
            <w:tcW w:w="3274" w:type="pct"/>
            <w:vMerge w:val="continue"/>
            <w:vAlign w:val="center"/>
          </w:tcPr>
          <w:p>
            <w:pPr>
              <w:autoSpaceDE w:val="0"/>
              <w:autoSpaceDN w:val="0"/>
              <w:adjustRightInd w:val="0"/>
              <w:spacing w:line="320" w:lineRule="exact"/>
              <w:jc w:val="center"/>
              <w:rPr>
                <w:rFonts w:eastAsia="楷体_GB2312"/>
                <w:color w:val="000000"/>
                <w:kern w:val="0"/>
                <w:sz w:val="21"/>
                <w:szCs w:val="21"/>
              </w:rPr>
            </w:pPr>
          </w:p>
        </w:tc>
      </w:tr>
    </w:tbl>
    <w:p>
      <w:pPr>
        <w:pStyle w:val="26"/>
        <w:ind w:firstLine="0" w:firstLineChars="0"/>
        <w:jc w:val="center"/>
        <w:outlineLvl w:val="1"/>
        <w:rPr>
          <w:rFonts w:cs="Times New Roman"/>
          <w:b/>
          <w:bCs/>
          <w:szCs w:val="32"/>
          <w:lang w:bidi="ar"/>
        </w:rPr>
        <w:sectPr>
          <w:pgSz w:w="16838" w:h="11906" w:orient="landscape"/>
          <w:pgMar w:top="1800" w:right="1440" w:bottom="1800" w:left="1440" w:header="851" w:footer="992" w:gutter="0"/>
          <w:cols w:space="425" w:num="1"/>
          <w:docGrid w:type="lines" w:linePitch="435" w:charSpace="0"/>
        </w:sectPr>
      </w:pPr>
    </w:p>
    <w:p>
      <w:pPr>
        <w:pStyle w:val="26"/>
        <w:ind w:firstLine="0" w:firstLineChars="0"/>
        <w:jc w:val="center"/>
        <w:outlineLvl w:val="1"/>
        <w:rPr>
          <w:rFonts w:cs="Times New Roman"/>
          <w:b/>
          <w:bCs/>
          <w:szCs w:val="32"/>
          <w:lang w:bidi="ar"/>
        </w:rPr>
      </w:pPr>
      <w:bookmarkStart w:id="33" w:name="_Toc118208085"/>
      <w:r>
        <w:rPr>
          <w:rFonts w:cs="Times New Roman"/>
          <w:b/>
          <w:bCs/>
          <w:szCs w:val="32"/>
          <w:lang w:bidi="ar"/>
        </w:rPr>
        <w:t>4 重点监测单元清单</w:t>
      </w:r>
      <w:bookmarkEnd w:id="33"/>
    </w:p>
    <w:tbl>
      <w:tblPr>
        <w:tblStyle w:val="21"/>
        <w:tblW w:w="0" w:type="auto"/>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84"/>
        <w:gridCol w:w="1579"/>
        <w:gridCol w:w="2126"/>
        <w:gridCol w:w="1220"/>
        <w:gridCol w:w="1126"/>
        <w:gridCol w:w="1910"/>
        <w:gridCol w:w="1213"/>
        <w:gridCol w:w="1339"/>
        <w:gridCol w:w="785"/>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企业名称</w:t>
            </w:r>
          </w:p>
        </w:tc>
        <w:tc>
          <w:tcPr>
            <w:tcW w:w="6051" w:type="dxa"/>
            <w:gridSpan w:val="4"/>
            <w:vAlign w:val="center"/>
          </w:tcPr>
          <w:p>
            <w:pPr>
              <w:widowControl/>
              <w:autoSpaceDE w:val="0"/>
              <w:autoSpaceDN w:val="0"/>
              <w:adjustRightInd w:val="0"/>
              <w:snapToGrid w:val="0"/>
              <w:jc w:val="center"/>
              <w:rPr>
                <w:rFonts w:eastAsia="楷体_GB2312"/>
                <w:color w:val="000000"/>
                <w:kern w:val="0"/>
                <w:sz w:val="21"/>
                <w:szCs w:val="21"/>
                <w:lang w:eastAsia="zh-CN"/>
              </w:rPr>
            </w:pPr>
          </w:p>
        </w:tc>
        <w:tc>
          <w:tcPr>
            <w:tcW w:w="1910"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所属行业</w:t>
            </w:r>
          </w:p>
        </w:tc>
        <w:tc>
          <w:tcPr>
            <w:tcW w:w="4696" w:type="dxa"/>
            <w:gridSpan w:val="4"/>
            <w:vAlign w:val="center"/>
          </w:tcPr>
          <w:p>
            <w:pPr>
              <w:widowControl/>
              <w:autoSpaceDE w:val="0"/>
              <w:autoSpaceDN w:val="0"/>
              <w:adjustRightInd w:val="0"/>
              <w:snapToGrid w:val="0"/>
              <w:jc w:val="center"/>
              <w:rPr>
                <w:rFonts w:eastAsia="楷体_GB2312"/>
                <w:color w:val="000000"/>
                <w:kern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填写日期</w:t>
            </w:r>
          </w:p>
        </w:tc>
        <w:tc>
          <w:tcPr>
            <w:tcW w:w="4925" w:type="dxa"/>
            <w:gridSpan w:val="3"/>
            <w:vAlign w:val="center"/>
          </w:tcPr>
          <w:p>
            <w:pPr>
              <w:widowControl/>
              <w:autoSpaceDE w:val="0"/>
              <w:autoSpaceDN w:val="0"/>
              <w:adjustRightInd w:val="0"/>
              <w:snapToGrid w:val="0"/>
              <w:jc w:val="center"/>
              <w:rPr>
                <w:rFonts w:eastAsia="楷体_GB2312"/>
                <w:color w:val="000000"/>
                <w:kern w:val="0"/>
                <w:sz w:val="21"/>
                <w:szCs w:val="21"/>
                <w:lang w:eastAsia="zh-CN"/>
              </w:rPr>
            </w:pPr>
          </w:p>
        </w:tc>
        <w:tc>
          <w:tcPr>
            <w:tcW w:w="1126"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填报人员</w:t>
            </w:r>
          </w:p>
        </w:tc>
        <w:tc>
          <w:tcPr>
            <w:tcW w:w="1910" w:type="dxa"/>
            <w:vAlign w:val="center"/>
          </w:tcPr>
          <w:p>
            <w:pPr>
              <w:widowControl/>
              <w:autoSpaceDE w:val="0"/>
              <w:autoSpaceDN w:val="0"/>
              <w:adjustRightInd w:val="0"/>
              <w:snapToGrid w:val="0"/>
              <w:jc w:val="center"/>
              <w:rPr>
                <w:rFonts w:eastAsia="楷体_GB2312"/>
                <w:color w:val="000000"/>
                <w:kern w:val="0"/>
                <w:sz w:val="21"/>
                <w:szCs w:val="21"/>
                <w:lang w:eastAsia="zh-CN"/>
              </w:rPr>
            </w:pPr>
          </w:p>
        </w:tc>
        <w:tc>
          <w:tcPr>
            <w:tcW w:w="1213"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联系方式</w:t>
            </w:r>
          </w:p>
        </w:tc>
        <w:tc>
          <w:tcPr>
            <w:tcW w:w="3483" w:type="dxa"/>
            <w:gridSpan w:val="3"/>
            <w:vAlign w:val="center"/>
          </w:tcPr>
          <w:p>
            <w:pPr>
              <w:widowControl/>
              <w:autoSpaceDE w:val="0"/>
              <w:autoSpaceDN w:val="0"/>
              <w:adjustRightInd w:val="0"/>
              <w:snapToGrid w:val="0"/>
              <w:jc w:val="center"/>
              <w:rPr>
                <w:rFonts w:eastAsia="楷体_GB2312"/>
                <w:color w:val="000000"/>
                <w:kern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序号</w:t>
            </w:r>
          </w:p>
        </w:tc>
        <w:tc>
          <w:tcPr>
            <w:tcW w:w="1579"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单元内需要监测的重点场所/设施/设备名称</w:t>
            </w:r>
          </w:p>
        </w:tc>
        <w:tc>
          <w:tcPr>
            <w:tcW w:w="2126"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功能（即该重点场所/设施/设备涉及的生产活动）</w:t>
            </w:r>
          </w:p>
        </w:tc>
        <w:tc>
          <w:tcPr>
            <w:tcW w:w="1220"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涉及有毒有害物质清单</w:t>
            </w:r>
          </w:p>
        </w:tc>
        <w:tc>
          <w:tcPr>
            <w:tcW w:w="1126"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关注污染物</w:t>
            </w:r>
          </w:p>
        </w:tc>
        <w:tc>
          <w:tcPr>
            <w:tcW w:w="1910"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设施坐标</w:t>
            </w:r>
          </w:p>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（中心点坐标）</w:t>
            </w:r>
          </w:p>
        </w:tc>
        <w:tc>
          <w:tcPr>
            <w:tcW w:w="1213"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是否为隐蔽性设施</w:t>
            </w:r>
          </w:p>
        </w:tc>
        <w:tc>
          <w:tcPr>
            <w:tcW w:w="1339"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单元类别</w:t>
            </w:r>
          </w:p>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（一类/二类）</w:t>
            </w:r>
          </w:p>
        </w:tc>
        <w:tc>
          <w:tcPr>
            <w:tcW w:w="2144" w:type="dxa"/>
            <w:gridSpan w:val="2"/>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该单元对应的监测点位编号及坐标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Merge w:val="restart"/>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单元A</w:t>
            </w:r>
          </w:p>
        </w:tc>
        <w:tc>
          <w:tcPr>
            <w:tcW w:w="1579" w:type="dxa"/>
            <w:vMerge w:val="restart"/>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1、XXX</w:t>
            </w:r>
          </w:p>
        </w:tc>
        <w:tc>
          <w:tcPr>
            <w:tcW w:w="2126" w:type="dxa"/>
            <w:vMerge w:val="restart"/>
            <w:vAlign w:val="center"/>
          </w:tcPr>
          <w:p>
            <w:pPr>
              <w:widowControl/>
              <w:autoSpaceDE w:val="0"/>
              <w:autoSpaceDN w:val="0"/>
              <w:adjustRightInd w:val="0"/>
              <w:snapToGrid w:val="0"/>
              <w:jc w:val="center"/>
              <w:rPr>
                <w:rFonts w:eastAsia="楷体_GB2312"/>
                <w:color w:val="000000"/>
                <w:kern w:val="0"/>
                <w:sz w:val="21"/>
                <w:szCs w:val="21"/>
                <w:lang w:eastAsia="zh-CN"/>
              </w:rPr>
            </w:pPr>
          </w:p>
        </w:tc>
        <w:tc>
          <w:tcPr>
            <w:tcW w:w="1220" w:type="dxa"/>
            <w:vAlign w:val="center"/>
          </w:tcPr>
          <w:p>
            <w:pPr>
              <w:widowControl/>
              <w:autoSpaceDE w:val="0"/>
              <w:autoSpaceDN w:val="0"/>
              <w:adjustRightInd w:val="0"/>
              <w:snapToGrid w:val="0"/>
              <w:rPr>
                <w:rFonts w:eastAsia="楷体_GB2312"/>
                <w:color w:val="000000"/>
                <w:kern w:val="0"/>
                <w:sz w:val="21"/>
                <w:szCs w:val="21"/>
                <w:lang w:eastAsia="zh-CN"/>
              </w:rPr>
            </w:pPr>
            <w:r>
              <w:rPr>
                <w:rFonts w:hint="eastAsia" w:ascii="宋体" w:hAnsi="宋体" w:eastAsia="宋体" w:cs="宋体"/>
                <w:color w:val="000000"/>
                <w:kern w:val="0"/>
                <w:sz w:val="21"/>
                <w:szCs w:val="21"/>
                <w:lang w:eastAsia="zh-CN"/>
              </w:rPr>
              <w:t>①</w:t>
            </w:r>
          </w:p>
        </w:tc>
        <w:tc>
          <w:tcPr>
            <w:tcW w:w="1126" w:type="dxa"/>
            <w:vMerge w:val="restart"/>
            <w:vAlign w:val="center"/>
          </w:tcPr>
          <w:p>
            <w:pPr>
              <w:widowControl/>
              <w:autoSpaceDE w:val="0"/>
              <w:autoSpaceDN w:val="0"/>
              <w:adjustRightInd w:val="0"/>
              <w:snapToGrid w:val="0"/>
              <w:jc w:val="center"/>
              <w:rPr>
                <w:rFonts w:eastAsia="楷体_GB2312"/>
                <w:color w:val="000000"/>
                <w:kern w:val="0"/>
                <w:sz w:val="21"/>
                <w:szCs w:val="21"/>
                <w:lang w:eastAsia="zh-CN"/>
              </w:rPr>
            </w:pPr>
          </w:p>
        </w:tc>
        <w:tc>
          <w:tcPr>
            <w:tcW w:w="1910" w:type="dxa"/>
            <w:vMerge w:val="restart"/>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XX.XXX°N</w:t>
            </w:r>
          </w:p>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XX.XXX°E</w:t>
            </w:r>
          </w:p>
        </w:tc>
        <w:tc>
          <w:tcPr>
            <w:tcW w:w="1213" w:type="dxa"/>
            <w:vMerge w:val="restart"/>
            <w:vAlign w:val="center"/>
          </w:tcPr>
          <w:p>
            <w:pPr>
              <w:widowControl/>
              <w:autoSpaceDE w:val="0"/>
              <w:autoSpaceDN w:val="0"/>
              <w:adjustRightInd w:val="0"/>
              <w:snapToGrid w:val="0"/>
              <w:jc w:val="center"/>
              <w:rPr>
                <w:rFonts w:eastAsia="楷体_GB2312"/>
                <w:color w:val="000000"/>
                <w:kern w:val="0"/>
                <w:sz w:val="21"/>
                <w:szCs w:val="21"/>
                <w:lang w:eastAsia="zh-CN"/>
              </w:rPr>
            </w:pPr>
          </w:p>
        </w:tc>
        <w:tc>
          <w:tcPr>
            <w:tcW w:w="1339" w:type="dxa"/>
            <w:vMerge w:val="restart"/>
            <w:vAlign w:val="center"/>
          </w:tcPr>
          <w:p>
            <w:pPr>
              <w:widowControl/>
              <w:autoSpaceDE w:val="0"/>
              <w:autoSpaceDN w:val="0"/>
              <w:adjustRightInd w:val="0"/>
              <w:snapToGrid w:val="0"/>
              <w:jc w:val="center"/>
              <w:rPr>
                <w:rFonts w:eastAsia="楷体_GB2312"/>
                <w:color w:val="000000"/>
                <w:kern w:val="0"/>
                <w:sz w:val="21"/>
                <w:szCs w:val="21"/>
                <w:lang w:eastAsia="zh-CN"/>
              </w:rPr>
            </w:pPr>
          </w:p>
        </w:tc>
        <w:tc>
          <w:tcPr>
            <w:tcW w:w="785" w:type="dxa"/>
            <w:vMerge w:val="restart"/>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土壤</w:t>
            </w:r>
          </w:p>
        </w:tc>
        <w:tc>
          <w:tcPr>
            <w:tcW w:w="1359" w:type="dxa"/>
            <w:vMerge w:val="restart"/>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AT1</w:t>
            </w:r>
          </w:p>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XX.XXX°N</w:t>
            </w:r>
          </w:p>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XX.XXX°E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57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2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20" w:type="dxa"/>
            <w:vAlign w:val="center"/>
          </w:tcPr>
          <w:p>
            <w:pPr>
              <w:pStyle w:val="24"/>
              <w:widowControl/>
              <w:autoSpaceDE/>
              <w:autoSpaceDN/>
              <w:adjustRightInd w:val="0"/>
              <w:snapToGrid w:val="0"/>
              <w:jc w:val="both"/>
              <w:rPr>
                <w:rFonts w:ascii="Times New Roman" w:hAnsi="Times New Roman" w:eastAsia="楷体_GB2312" w:cs="Times New Roman"/>
                <w:color w:val="000000"/>
                <w:sz w:val="21"/>
                <w:szCs w:val="21"/>
                <w:lang w:eastAsia="zh-CN"/>
              </w:rPr>
            </w:pPr>
            <w:r>
              <w:rPr>
                <w:rFonts w:hint="eastAsia"/>
                <w:color w:val="000000"/>
                <w:sz w:val="21"/>
                <w:szCs w:val="21"/>
                <w:lang w:eastAsia="zh-CN"/>
              </w:rPr>
              <w:t>②</w:t>
            </w:r>
          </w:p>
        </w:tc>
        <w:tc>
          <w:tcPr>
            <w:tcW w:w="1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910"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13"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3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785"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5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57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2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20" w:type="dxa"/>
            <w:vAlign w:val="center"/>
          </w:tcPr>
          <w:p>
            <w:pPr>
              <w:pStyle w:val="24"/>
              <w:widowControl/>
              <w:autoSpaceDE/>
              <w:autoSpaceDN/>
              <w:adjustRightInd w:val="0"/>
              <w:snapToGrid w:val="0"/>
              <w:jc w:val="both"/>
              <w:rPr>
                <w:rFonts w:ascii="Times New Roman" w:hAnsi="Times New Roman" w:eastAsia="楷体_GB2312" w:cs="Times New Roman"/>
                <w:color w:val="000000"/>
                <w:sz w:val="21"/>
                <w:szCs w:val="21"/>
                <w:lang w:eastAsia="zh-CN"/>
              </w:rPr>
            </w:pPr>
            <w:r>
              <w:rPr>
                <w:rFonts w:hint="eastAsia"/>
                <w:color w:val="000000"/>
                <w:sz w:val="21"/>
                <w:szCs w:val="21"/>
                <w:lang w:eastAsia="zh-CN"/>
              </w:rPr>
              <w:t>③</w:t>
            </w:r>
          </w:p>
        </w:tc>
        <w:tc>
          <w:tcPr>
            <w:tcW w:w="1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910"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13"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3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785"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5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57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2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20" w:type="dxa"/>
            <w:vAlign w:val="center"/>
          </w:tcPr>
          <w:p>
            <w:pPr>
              <w:pStyle w:val="24"/>
              <w:widowControl/>
              <w:autoSpaceDE/>
              <w:autoSpaceDN/>
              <w:adjustRightInd w:val="0"/>
              <w:snapToGrid w:val="0"/>
              <w:jc w:val="both"/>
              <w:rPr>
                <w:rFonts w:ascii="Times New Roman" w:hAnsi="Times New Roman" w:eastAsia="楷体_GB2312" w:cs="Times New Roman"/>
                <w:color w:val="000000"/>
                <w:sz w:val="21"/>
                <w:szCs w:val="21"/>
                <w:lang w:eastAsia="zh-CN"/>
              </w:rPr>
            </w:pPr>
            <w:r>
              <w:rPr>
                <w:rFonts w:hint="eastAsia"/>
                <w:color w:val="000000"/>
                <w:sz w:val="21"/>
                <w:szCs w:val="21"/>
                <w:lang w:eastAsia="zh-CN"/>
              </w:rPr>
              <w:t>④</w:t>
            </w:r>
          </w:p>
        </w:tc>
        <w:tc>
          <w:tcPr>
            <w:tcW w:w="1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910"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13"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3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785"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59" w:type="dxa"/>
            <w:vMerge w:val="restart"/>
            <w:vAlign w:val="center"/>
          </w:tcPr>
          <w:p>
            <w:pPr>
              <w:pStyle w:val="24"/>
              <w:widowControl/>
              <w:autoSpaceDE/>
              <w:autoSpaceDN/>
              <w:adjustRightInd w:val="0"/>
              <w:snapToGrid w:val="0"/>
              <w:jc w:val="center"/>
              <w:rPr>
                <w:rFonts w:ascii="Times New Roman" w:hAnsi="Times New Roman" w:eastAsia="楷体_GB2312" w:cs="Times New Roman"/>
                <w:color w:val="000000"/>
                <w:sz w:val="21"/>
                <w:szCs w:val="21"/>
                <w:lang w:eastAsia="zh-CN"/>
              </w:rPr>
            </w:pPr>
            <w:r>
              <w:rPr>
                <w:rFonts w:ascii="Times New Roman" w:hAnsi="Times New Roman" w:eastAsia="楷体_GB2312" w:cs="Times New Roman"/>
                <w:color w:val="000000"/>
                <w:sz w:val="21"/>
                <w:szCs w:val="21"/>
                <w:lang w:eastAsia="zh-CN"/>
              </w:rPr>
              <w:t>AT2</w:t>
            </w:r>
          </w:p>
          <w:p>
            <w:pPr>
              <w:pStyle w:val="24"/>
              <w:widowControl/>
              <w:autoSpaceDE/>
              <w:autoSpaceDN/>
              <w:adjustRightInd w:val="0"/>
              <w:snapToGrid w:val="0"/>
              <w:jc w:val="center"/>
              <w:rPr>
                <w:rFonts w:ascii="Times New Roman" w:hAnsi="Times New Roman" w:eastAsia="楷体_GB2312" w:cs="Times New Roman"/>
                <w:color w:val="000000"/>
                <w:sz w:val="21"/>
                <w:szCs w:val="21"/>
                <w:lang w:eastAsia="zh-CN"/>
              </w:rPr>
            </w:pPr>
            <w:r>
              <w:rPr>
                <w:rFonts w:ascii="Times New Roman" w:hAnsi="Times New Roman" w:eastAsia="楷体_GB2312" w:cs="Times New Roman"/>
                <w:color w:val="000000"/>
                <w:sz w:val="21"/>
                <w:szCs w:val="21"/>
                <w:lang w:eastAsia="zh-CN"/>
              </w:rPr>
              <w:t>XX.XXX°N</w:t>
            </w:r>
          </w:p>
          <w:p>
            <w:pPr>
              <w:pStyle w:val="24"/>
              <w:widowControl/>
              <w:autoSpaceDE/>
              <w:autoSpaceDN/>
              <w:adjustRightInd w:val="0"/>
              <w:snapToGrid w:val="0"/>
              <w:jc w:val="center"/>
              <w:rPr>
                <w:rFonts w:ascii="Times New Roman" w:hAnsi="Times New Roman" w:eastAsia="楷体_GB2312" w:cs="Times New Roman"/>
                <w:color w:val="000000"/>
                <w:sz w:val="21"/>
                <w:szCs w:val="21"/>
                <w:lang w:eastAsia="zh-CN"/>
              </w:rPr>
            </w:pPr>
            <w:r>
              <w:rPr>
                <w:rFonts w:ascii="Times New Roman" w:hAnsi="Times New Roman" w:eastAsia="楷体_GB2312" w:cs="Times New Roman"/>
                <w:color w:val="000000"/>
                <w:sz w:val="21"/>
                <w:szCs w:val="21"/>
                <w:lang w:eastAsia="zh-CN"/>
              </w:rPr>
              <w:t>XX.XXX°E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57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2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20" w:type="dxa"/>
            <w:vAlign w:val="center"/>
          </w:tcPr>
          <w:p>
            <w:pPr>
              <w:pStyle w:val="24"/>
              <w:widowControl/>
              <w:autoSpaceDE/>
              <w:autoSpaceDN/>
              <w:adjustRightInd w:val="0"/>
              <w:snapToGrid w:val="0"/>
              <w:jc w:val="both"/>
              <w:rPr>
                <w:rFonts w:ascii="Times New Roman" w:hAnsi="Times New Roman" w:eastAsia="楷体_GB2312" w:cs="Times New Roman"/>
                <w:color w:val="000000"/>
                <w:sz w:val="21"/>
                <w:szCs w:val="21"/>
                <w:lang w:eastAsia="zh-CN"/>
              </w:rPr>
            </w:pPr>
            <w:r>
              <w:rPr>
                <w:rFonts w:hint="eastAsia"/>
                <w:color w:val="000000"/>
                <w:sz w:val="21"/>
                <w:szCs w:val="21"/>
                <w:lang w:eastAsia="zh-CN"/>
              </w:rPr>
              <w:t>⑤</w:t>
            </w:r>
          </w:p>
        </w:tc>
        <w:tc>
          <w:tcPr>
            <w:tcW w:w="1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910"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13"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3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785"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5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579" w:type="dxa"/>
            <w:vMerge w:val="restart"/>
            <w:vAlign w:val="center"/>
          </w:tcPr>
          <w:p>
            <w:pPr>
              <w:pStyle w:val="24"/>
              <w:widowControl/>
              <w:autoSpaceDE/>
              <w:autoSpaceDN/>
              <w:adjustRightInd w:val="0"/>
              <w:snapToGrid w:val="0"/>
              <w:jc w:val="center"/>
              <w:rPr>
                <w:rFonts w:ascii="Times New Roman" w:hAnsi="Times New Roman" w:eastAsia="楷体_GB2312" w:cs="Times New Roman"/>
                <w:color w:val="000000"/>
                <w:sz w:val="21"/>
                <w:szCs w:val="21"/>
                <w:lang w:eastAsia="zh-CN"/>
              </w:rPr>
            </w:pPr>
            <w:r>
              <w:rPr>
                <w:rFonts w:ascii="Times New Roman" w:hAnsi="Times New Roman" w:eastAsia="楷体_GB2312" w:cs="Times New Roman"/>
                <w:color w:val="000000"/>
                <w:sz w:val="21"/>
                <w:szCs w:val="21"/>
                <w:lang w:eastAsia="zh-CN"/>
              </w:rPr>
              <w:t>2、</w:t>
            </w:r>
          </w:p>
        </w:tc>
        <w:tc>
          <w:tcPr>
            <w:tcW w:w="2126" w:type="dxa"/>
            <w:vMerge w:val="restart"/>
            <w:vAlign w:val="center"/>
          </w:tcPr>
          <w:p>
            <w:pPr>
              <w:widowControl/>
              <w:autoSpaceDE/>
              <w:autoSpaceDN/>
              <w:adjustRightInd w:val="0"/>
              <w:snapToGrid w:val="0"/>
              <w:jc w:val="center"/>
              <w:rPr>
                <w:rFonts w:eastAsia="楷体_GB2312"/>
                <w:color w:val="000000"/>
                <w:kern w:val="0"/>
                <w:sz w:val="21"/>
                <w:szCs w:val="21"/>
                <w:lang w:eastAsia="en-US"/>
              </w:rPr>
            </w:pPr>
          </w:p>
        </w:tc>
        <w:tc>
          <w:tcPr>
            <w:tcW w:w="1220" w:type="dxa"/>
            <w:vAlign w:val="center"/>
          </w:tcPr>
          <w:p>
            <w:pPr>
              <w:pStyle w:val="24"/>
              <w:widowControl/>
              <w:autoSpaceDE/>
              <w:autoSpaceDN/>
              <w:adjustRightInd w:val="0"/>
              <w:snapToGrid w:val="0"/>
              <w:jc w:val="both"/>
              <w:rPr>
                <w:rFonts w:ascii="Times New Roman" w:hAnsi="Times New Roman" w:eastAsia="楷体_GB2312" w:cs="Times New Roman"/>
                <w:color w:val="000000"/>
                <w:sz w:val="21"/>
                <w:szCs w:val="21"/>
                <w:lang w:eastAsia="zh-CN"/>
              </w:rPr>
            </w:pPr>
            <w:r>
              <w:rPr>
                <w:rFonts w:hint="eastAsia"/>
                <w:color w:val="000000"/>
                <w:sz w:val="21"/>
                <w:szCs w:val="21"/>
                <w:lang w:eastAsia="zh-CN"/>
              </w:rPr>
              <w:t>①</w:t>
            </w:r>
          </w:p>
        </w:tc>
        <w:tc>
          <w:tcPr>
            <w:tcW w:w="1126" w:type="dxa"/>
            <w:vMerge w:val="restart"/>
            <w:vAlign w:val="center"/>
          </w:tcPr>
          <w:p>
            <w:pPr>
              <w:widowControl/>
              <w:autoSpaceDE/>
              <w:autoSpaceDN/>
              <w:adjustRightInd w:val="0"/>
              <w:snapToGrid w:val="0"/>
              <w:jc w:val="center"/>
              <w:rPr>
                <w:rFonts w:eastAsia="楷体_GB2312"/>
                <w:color w:val="000000"/>
                <w:kern w:val="0"/>
                <w:sz w:val="21"/>
                <w:szCs w:val="21"/>
                <w:lang w:eastAsia="en-US"/>
              </w:rPr>
            </w:pPr>
          </w:p>
        </w:tc>
        <w:tc>
          <w:tcPr>
            <w:tcW w:w="1910" w:type="dxa"/>
            <w:vMerge w:val="restart"/>
            <w:vAlign w:val="center"/>
          </w:tcPr>
          <w:p>
            <w:pPr>
              <w:widowControl/>
              <w:autoSpaceDE/>
              <w:autoSpaceDN/>
              <w:adjustRightInd w:val="0"/>
              <w:snapToGrid w:val="0"/>
              <w:jc w:val="center"/>
              <w:rPr>
                <w:rFonts w:eastAsia="楷体_GB2312"/>
                <w:color w:val="000000"/>
                <w:kern w:val="0"/>
                <w:sz w:val="21"/>
                <w:szCs w:val="21"/>
                <w:lang w:eastAsia="en-US"/>
              </w:rPr>
            </w:pPr>
          </w:p>
        </w:tc>
        <w:tc>
          <w:tcPr>
            <w:tcW w:w="1213" w:type="dxa"/>
            <w:vMerge w:val="restart"/>
            <w:vAlign w:val="center"/>
          </w:tcPr>
          <w:p>
            <w:pPr>
              <w:widowControl/>
              <w:autoSpaceDE/>
              <w:autoSpaceDN/>
              <w:adjustRightInd w:val="0"/>
              <w:snapToGrid w:val="0"/>
              <w:jc w:val="center"/>
              <w:rPr>
                <w:rFonts w:eastAsia="楷体_GB2312"/>
                <w:color w:val="000000"/>
                <w:kern w:val="0"/>
                <w:sz w:val="21"/>
                <w:szCs w:val="21"/>
                <w:lang w:eastAsia="en-US"/>
              </w:rPr>
            </w:pPr>
          </w:p>
        </w:tc>
        <w:tc>
          <w:tcPr>
            <w:tcW w:w="133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785"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5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57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2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20" w:type="dxa"/>
            <w:vAlign w:val="center"/>
          </w:tcPr>
          <w:p>
            <w:pPr>
              <w:pStyle w:val="24"/>
              <w:widowControl/>
              <w:autoSpaceDE/>
              <w:autoSpaceDN/>
              <w:adjustRightInd w:val="0"/>
              <w:snapToGrid w:val="0"/>
              <w:jc w:val="both"/>
              <w:rPr>
                <w:rFonts w:ascii="Times New Roman" w:hAnsi="Times New Roman" w:eastAsia="楷体_GB2312" w:cs="Times New Roman"/>
                <w:color w:val="000000"/>
                <w:sz w:val="21"/>
                <w:szCs w:val="21"/>
                <w:lang w:eastAsia="zh-CN"/>
              </w:rPr>
            </w:pPr>
            <w:r>
              <w:rPr>
                <w:rFonts w:hint="eastAsia"/>
                <w:color w:val="000000"/>
                <w:sz w:val="21"/>
                <w:szCs w:val="21"/>
                <w:lang w:eastAsia="zh-CN"/>
              </w:rPr>
              <w:t>②</w:t>
            </w:r>
          </w:p>
        </w:tc>
        <w:tc>
          <w:tcPr>
            <w:tcW w:w="1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910"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13"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3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785" w:type="dxa"/>
            <w:vMerge w:val="restart"/>
            <w:vAlign w:val="center"/>
          </w:tcPr>
          <w:p>
            <w:pPr>
              <w:pStyle w:val="24"/>
              <w:widowControl/>
              <w:autoSpaceDE/>
              <w:autoSpaceDN/>
              <w:adjustRightInd w:val="0"/>
              <w:snapToGrid w:val="0"/>
              <w:jc w:val="center"/>
              <w:rPr>
                <w:rFonts w:ascii="Times New Roman" w:hAnsi="Times New Roman" w:eastAsia="楷体_GB2312" w:cs="Times New Roman"/>
                <w:color w:val="000000"/>
                <w:sz w:val="21"/>
                <w:szCs w:val="21"/>
                <w:lang w:eastAsia="zh-CN"/>
              </w:rPr>
            </w:pPr>
            <w:r>
              <w:rPr>
                <w:rFonts w:ascii="Times New Roman" w:hAnsi="Times New Roman" w:eastAsia="楷体_GB2312" w:cs="Times New Roman"/>
                <w:color w:val="000000"/>
                <w:sz w:val="21"/>
                <w:szCs w:val="21"/>
                <w:lang w:eastAsia="zh-CN"/>
              </w:rPr>
              <w:t>地下水</w:t>
            </w:r>
          </w:p>
        </w:tc>
        <w:tc>
          <w:tcPr>
            <w:tcW w:w="1359" w:type="dxa"/>
            <w:vMerge w:val="restart"/>
            <w:vAlign w:val="center"/>
          </w:tcPr>
          <w:p>
            <w:pPr>
              <w:pStyle w:val="24"/>
              <w:widowControl/>
              <w:autoSpaceDE/>
              <w:autoSpaceDN/>
              <w:adjustRightInd w:val="0"/>
              <w:snapToGrid w:val="0"/>
              <w:jc w:val="center"/>
              <w:rPr>
                <w:rFonts w:ascii="Times New Roman" w:hAnsi="Times New Roman" w:eastAsia="楷体_GB2312" w:cs="Times New Roman"/>
                <w:color w:val="000000"/>
                <w:sz w:val="21"/>
                <w:szCs w:val="21"/>
                <w:lang w:eastAsia="zh-CN"/>
              </w:rPr>
            </w:pPr>
            <w:r>
              <w:rPr>
                <w:rFonts w:ascii="Times New Roman" w:hAnsi="Times New Roman" w:eastAsia="楷体_GB2312" w:cs="Times New Roman"/>
                <w:color w:val="000000"/>
                <w:sz w:val="21"/>
                <w:szCs w:val="21"/>
                <w:lang w:eastAsia="zh-CN"/>
              </w:rPr>
              <w:t>AS1</w:t>
            </w:r>
          </w:p>
          <w:p>
            <w:pPr>
              <w:pStyle w:val="24"/>
              <w:widowControl/>
              <w:autoSpaceDE/>
              <w:autoSpaceDN/>
              <w:adjustRightInd w:val="0"/>
              <w:snapToGrid w:val="0"/>
              <w:jc w:val="center"/>
              <w:rPr>
                <w:rFonts w:ascii="Times New Roman" w:hAnsi="Times New Roman" w:eastAsia="楷体_GB2312" w:cs="Times New Roman"/>
                <w:color w:val="000000"/>
                <w:sz w:val="21"/>
                <w:szCs w:val="21"/>
                <w:lang w:eastAsia="zh-CN"/>
              </w:rPr>
            </w:pPr>
            <w:r>
              <w:rPr>
                <w:rFonts w:ascii="Times New Roman" w:hAnsi="Times New Roman" w:eastAsia="楷体_GB2312" w:cs="Times New Roman"/>
                <w:color w:val="000000"/>
                <w:sz w:val="21"/>
                <w:szCs w:val="21"/>
                <w:lang w:eastAsia="zh-CN"/>
              </w:rPr>
              <w:t>XX.XXX°N</w:t>
            </w:r>
          </w:p>
          <w:p>
            <w:pPr>
              <w:pStyle w:val="24"/>
              <w:widowControl/>
              <w:autoSpaceDE/>
              <w:autoSpaceDN/>
              <w:adjustRightInd w:val="0"/>
              <w:snapToGrid w:val="0"/>
              <w:jc w:val="center"/>
              <w:rPr>
                <w:rFonts w:ascii="Times New Roman" w:hAnsi="Times New Roman" w:eastAsia="楷体_GB2312" w:cs="Times New Roman"/>
                <w:color w:val="000000"/>
                <w:sz w:val="21"/>
                <w:szCs w:val="21"/>
                <w:lang w:eastAsia="zh-CN"/>
              </w:rPr>
            </w:pPr>
            <w:r>
              <w:rPr>
                <w:rFonts w:ascii="Times New Roman" w:hAnsi="Times New Roman" w:eastAsia="楷体_GB2312" w:cs="Times New Roman"/>
                <w:color w:val="000000"/>
                <w:sz w:val="21"/>
                <w:szCs w:val="21"/>
                <w:lang w:eastAsia="zh-CN"/>
              </w:rPr>
              <w:t>XX.XXX°E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57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2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20" w:type="dxa"/>
            <w:vAlign w:val="center"/>
          </w:tcPr>
          <w:p>
            <w:pPr>
              <w:pStyle w:val="24"/>
              <w:widowControl/>
              <w:autoSpaceDE/>
              <w:autoSpaceDN/>
              <w:adjustRightInd w:val="0"/>
              <w:snapToGrid w:val="0"/>
              <w:jc w:val="both"/>
              <w:rPr>
                <w:rFonts w:ascii="Times New Roman" w:hAnsi="Times New Roman" w:eastAsia="楷体_GB2312" w:cs="Times New Roman"/>
                <w:color w:val="000000"/>
                <w:sz w:val="21"/>
                <w:szCs w:val="21"/>
                <w:lang w:eastAsia="zh-CN"/>
              </w:rPr>
            </w:pPr>
            <w:r>
              <w:rPr>
                <w:rFonts w:hint="eastAsia"/>
                <w:color w:val="000000"/>
                <w:sz w:val="21"/>
                <w:szCs w:val="21"/>
                <w:lang w:eastAsia="zh-CN"/>
              </w:rPr>
              <w:t>③</w:t>
            </w:r>
          </w:p>
        </w:tc>
        <w:tc>
          <w:tcPr>
            <w:tcW w:w="1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910"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13"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3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785"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5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579" w:type="dxa"/>
            <w:vMerge w:val="restart"/>
            <w:vAlign w:val="center"/>
          </w:tcPr>
          <w:p>
            <w:pPr>
              <w:pStyle w:val="24"/>
              <w:widowControl/>
              <w:autoSpaceDE/>
              <w:autoSpaceDN/>
              <w:adjustRightInd w:val="0"/>
              <w:snapToGrid w:val="0"/>
              <w:jc w:val="center"/>
              <w:rPr>
                <w:rFonts w:ascii="Times New Roman" w:hAnsi="Times New Roman" w:eastAsia="楷体_GB2312" w:cs="Times New Roman"/>
                <w:color w:val="000000"/>
                <w:sz w:val="21"/>
                <w:szCs w:val="21"/>
                <w:lang w:eastAsia="zh-CN"/>
              </w:rPr>
            </w:pPr>
            <w:r>
              <w:rPr>
                <w:rFonts w:ascii="Times New Roman" w:hAnsi="Times New Roman" w:eastAsia="楷体_GB2312" w:cs="Times New Roman"/>
                <w:color w:val="000000"/>
                <w:sz w:val="21"/>
                <w:szCs w:val="21"/>
                <w:lang w:eastAsia="zh-CN"/>
              </w:rPr>
              <w:t>3、</w:t>
            </w:r>
          </w:p>
        </w:tc>
        <w:tc>
          <w:tcPr>
            <w:tcW w:w="2126" w:type="dxa"/>
            <w:vMerge w:val="restart"/>
            <w:vAlign w:val="center"/>
          </w:tcPr>
          <w:p>
            <w:pPr>
              <w:widowControl/>
              <w:autoSpaceDE/>
              <w:autoSpaceDN/>
              <w:adjustRightInd w:val="0"/>
              <w:snapToGrid w:val="0"/>
              <w:jc w:val="center"/>
              <w:rPr>
                <w:rFonts w:eastAsia="楷体_GB2312"/>
                <w:color w:val="000000"/>
                <w:kern w:val="0"/>
                <w:sz w:val="21"/>
                <w:szCs w:val="21"/>
                <w:lang w:eastAsia="en-US"/>
              </w:rPr>
            </w:pPr>
          </w:p>
        </w:tc>
        <w:tc>
          <w:tcPr>
            <w:tcW w:w="1220" w:type="dxa"/>
            <w:vAlign w:val="center"/>
          </w:tcPr>
          <w:p>
            <w:pPr>
              <w:pStyle w:val="24"/>
              <w:widowControl/>
              <w:autoSpaceDE/>
              <w:autoSpaceDN/>
              <w:adjustRightInd w:val="0"/>
              <w:snapToGrid w:val="0"/>
              <w:jc w:val="both"/>
              <w:rPr>
                <w:rFonts w:ascii="Times New Roman" w:hAnsi="Times New Roman" w:eastAsia="楷体_GB2312" w:cs="Times New Roman"/>
                <w:color w:val="000000"/>
                <w:sz w:val="21"/>
                <w:szCs w:val="21"/>
                <w:lang w:eastAsia="zh-CN"/>
              </w:rPr>
            </w:pPr>
            <w:r>
              <w:rPr>
                <w:rFonts w:hint="eastAsia"/>
                <w:color w:val="000000"/>
                <w:sz w:val="21"/>
                <w:szCs w:val="21"/>
                <w:lang w:eastAsia="zh-CN"/>
              </w:rPr>
              <w:t>①</w:t>
            </w:r>
          </w:p>
        </w:tc>
        <w:tc>
          <w:tcPr>
            <w:tcW w:w="1126" w:type="dxa"/>
            <w:vMerge w:val="restart"/>
            <w:vAlign w:val="center"/>
          </w:tcPr>
          <w:p>
            <w:pPr>
              <w:widowControl/>
              <w:autoSpaceDE/>
              <w:autoSpaceDN/>
              <w:adjustRightInd w:val="0"/>
              <w:snapToGrid w:val="0"/>
              <w:jc w:val="center"/>
              <w:rPr>
                <w:rFonts w:eastAsia="楷体_GB2312"/>
                <w:color w:val="000000"/>
                <w:kern w:val="0"/>
                <w:sz w:val="21"/>
                <w:szCs w:val="21"/>
                <w:lang w:eastAsia="en-US"/>
              </w:rPr>
            </w:pPr>
          </w:p>
        </w:tc>
        <w:tc>
          <w:tcPr>
            <w:tcW w:w="1910" w:type="dxa"/>
            <w:vMerge w:val="restart"/>
            <w:vAlign w:val="center"/>
          </w:tcPr>
          <w:p>
            <w:pPr>
              <w:widowControl/>
              <w:autoSpaceDE/>
              <w:autoSpaceDN/>
              <w:adjustRightInd w:val="0"/>
              <w:snapToGrid w:val="0"/>
              <w:jc w:val="center"/>
              <w:rPr>
                <w:rFonts w:eastAsia="楷体_GB2312"/>
                <w:color w:val="000000"/>
                <w:kern w:val="0"/>
                <w:sz w:val="21"/>
                <w:szCs w:val="21"/>
                <w:lang w:eastAsia="en-US"/>
              </w:rPr>
            </w:pPr>
          </w:p>
        </w:tc>
        <w:tc>
          <w:tcPr>
            <w:tcW w:w="1213" w:type="dxa"/>
            <w:vMerge w:val="restart"/>
            <w:vAlign w:val="center"/>
          </w:tcPr>
          <w:p>
            <w:pPr>
              <w:widowControl/>
              <w:autoSpaceDE/>
              <w:autoSpaceDN/>
              <w:adjustRightInd w:val="0"/>
              <w:snapToGrid w:val="0"/>
              <w:jc w:val="center"/>
              <w:rPr>
                <w:rFonts w:eastAsia="楷体_GB2312"/>
                <w:color w:val="000000"/>
                <w:kern w:val="0"/>
                <w:sz w:val="21"/>
                <w:szCs w:val="21"/>
                <w:lang w:eastAsia="en-US"/>
              </w:rPr>
            </w:pPr>
          </w:p>
        </w:tc>
        <w:tc>
          <w:tcPr>
            <w:tcW w:w="133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785"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59" w:type="dxa"/>
            <w:vMerge w:val="restart"/>
            <w:vAlign w:val="center"/>
          </w:tcPr>
          <w:p>
            <w:pPr>
              <w:pStyle w:val="24"/>
              <w:widowControl/>
              <w:autoSpaceDE/>
              <w:autoSpaceDN/>
              <w:adjustRightInd w:val="0"/>
              <w:snapToGrid w:val="0"/>
              <w:jc w:val="center"/>
              <w:rPr>
                <w:rFonts w:ascii="Times New Roman" w:hAnsi="Times New Roman" w:eastAsia="楷体_GB2312" w:cs="Times New Roman"/>
                <w:color w:val="000000"/>
                <w:sz w:val="21"/>
                <w:szCs w:val="21"/>
                <w:lang w:eastAsia="zh-CN"/>
              </w:rPr>
            </w:pPr>
            <w:r>
              <w:rPr>
                <w:rFonts w:ascii="Times New Roman" w:hAnsi="Times New Roman" w:eastAsia="楷体_GB2312" w:cs="Times New Roman"/>
                <w:color w:val="000000"/>
                <w:sz w:val="21"/>
                <w:szCs w:val="21"/>
                <w:lang w:eastAsia="zh-CN"/>
              </w:rPr>
              <w:t>AS2</w:t>
            </w:r>
          </w:p>
          <w:p>
            <w:pPr>
              <w:pStyle w:val="24"/>
              <w:widowControl/>
              <w:autoSpaceDE/>
              <w:autoSpaceDN/>
              <w:adjustRightInd w:val="0"/>
              <w:snapToGrid w:val="0"/>
              <w:jc w:val="center"/>
              <w:rPr>
                <w:rFonts w:ascii="Times New Roman" w:hAnsi="Times New Roman" w:eastAsia="楷体_GB2312" w:cs="Times New Roman"/>
                <w:color w:val="000000"/>
                <w:sz w:val="21"/>
                <w:szCs w:val="21"/>
                <w:lang w:eastAsia="zh-CN"/>
              </w:rPr>
            </w:pPr>
            <w:r>
              <w:rPr>
                <w:rFonts w:ascii="Times New Roman" w:hAnsi="Times New Roman" w:eastAsia="楷体_GB2312" w:cs="Times New Roman"/>
                <w:color w:val="000000"/>
                <w:sz w:val="21"/>
                <w:szCs w:val="21"/>
                <w:lang w:eastAsia="zh-CN"/>
              </w:rPr>
              <w:t>XX.XXX°N</w:t>
            </w:r>
          </w:p>
          <w:p>
            <w:pPr>
              <w:pStyle w:val="24"/>
              <w:widowControl/>
              <w:autoSpaceDE/>
              <w:autoSpaceDN/>
              <w:adjustRightInd w:val="0"/>
              <w:snapToGrid w:val="0"/>
              <w:jc w:val="center"/>
              <w:rPr>
                <w:rFonts w:ascii="Times New Roman" w:hAnsi="Times New Roman" w:eastAsia="楷体_GB2312" w:cs="Times New Roman"/>
                <w:color w:val="000000"/>
                <w:sz w:val="21"/>
                <w:szCs w:val="21"/>
                <w:lang w:eastAsia="zh-CN"/>
              </w:rPr>
            </w:pPr>
            <w:r>
              <w:rPr>
                <w:rFonts w:ascii="Times New Roman" w:hAnsi="Times New Roman" w:eastAsia="楷体_GB2312" w:cs="Times New Roman"/>
                <w:color w:val="000000"/>
                <w:sz w:val="21"/>
                <w:szCs w:val="21"/>
                <w:lang w:eastAsia="zh-CN"/>
              </w:rPr>
              <w:t>XX.XXX°E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57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2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20" w:type="dxa"/>
            <w:vAlign w:val="center"/>
          </w:tcPr>
          <w:p>
            <w:pPr>
              <w:pStyle w:val="24"/>
              <w:widowControl/>
              <w:autoSpaceDE/>
              <w:autoSpaceDN/>
              <w:adjustRightInd w:val="0"/>
              <w:snapToGrid w:val="0"/>
              <w:jc w:val="both"/>
              <w:rPr>
                <w:rFonts w:ascii="Times New Roman" w:hAnsi="Times New Roman" w:eastAsia="楷体_GB2312" w:cs="Times New Roman"/>
                <w:color w:val="000000"/>
                <w:sz w:val="21"/>
                <w:szCs w:val="21"/>
                <w:lang w:eastAsia="zh-CN"/>
              </w:rPr>
            </w:pPr>
            <w:r>
              <w:rPr>
                <w:rFonts w:hint="eastAsia"/>
                <w:color w:val="000000"/>
                <w:sz w:val="21"/>
                <w:szCs w:val="21"/>
                <w:lang w:eastAsia="zh-CN"/>
              </w:rPr>
              <w:t>②</w:t>
            </w:r>
          </w:p>
        </w:tc>
        <w:tc>
          <w:tcPr>
            <w:tcW w:w="1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910"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13"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3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785"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5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57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2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20" w:type="dxa"/>
            <w:vAlign w:val="center"/>
          </w:tcPr>
          <w:p>
            <w:pPr>
              <w:pStyle w:val="24"/>
              <w:widowControl/>
              <w:autoSpaceDE/>
              <w:autoSpaceDN/>
              <w:adjustRightInd w:val="0"/>
              <w:snapToGrid w:val="0"/>
              <w:jc w:val="both"/>
              <w:rPr>
                <w:rFonts w:ascii="Times New Roman" w:hAnsi="Times New Roman" w:eastAsia="楷体_GB2312" w:cs="Times New Roman"/>
                <w:color w:val="000000"/>
                <w:sz w:val="21"/>
                <w:szCs w:val="21"/>
                <w:lang w:eastAsia="zh-CN"/>
              </w:rPr>
            </w:pPr>
            <w:r>
              <w:rPr>
                <w:rFonts w:hint="eastAsia"/>
                <w:color w:val="000000"/>
                <w:sz w:val="21"/>
                <w:szCs w:val="21"/>
                <w:lang w:eastAsia="zh-CN"/>
              </w:rPr>
              <w:t>③</w:t>
            </w:r>
          </w:p>
        </w:tc>
        <w:tc>
          <w:tcPr>
            <w:tcW w:w="1126"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910"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213"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39"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785" w:type="dxa"/>
            <w:vMerge w:val="continue"/>
            <w:vAlign w:val="center"/>
          </w:tcPr>
          <w:p>
            <w:pPr>
              <w:widowControl/>
              <w:autoSpaceDE/>
              <w:autoSpaceDN/>
              <w:adjustRightInd w:val="0"/>
              <w:snapToGrid w:val="0"/>
              <w:jc w:val="center"/>
              <w:rPr>
                <w:rFonts w:eastAsia="楷体_GB2312"/>
                <w:color w:val="000000"/>
                <w:kern w:val="0"/>
                <w:sz w:val="21"/>
                <w:szCs w:val="21"/>
                <w:lang w:eastAsia="en-US"/>
              </w:rPr>
            </w:pPr>
          </w:p>
        </w:tc>
        <w:tc>
          <w:tcPr>
            <w:tcW w:w="1359" w:type="dxa"/>
            <w:vAlign w:val="center"/>
          </w:tcPr>
          <w:p>
            <w:pPr>
              <w:pStyle w:val="24"/>
              <w:widowControl/>
              <w:autoSpaceDE/>
              <w:autoSpaceDN/>
              <w:adjustRightInd w:val="0"/>
              <w:snapToGrid w:val="0"/>
              <w:jc w:val="center"/>
              <w:rPr>
                <w:rFonts w:ascii="Times New Roman" w:hAnsi="Times New Roman" w:eastAsia="楷体_GB2312" w:cs="Times New Roman"/>
                <w:color w:val="000000"/>
                <w:sz w:val="21"/>
                <w:szCs w:val="21"/>
                <w:lang w:eastAsia="zh-CN"/>
              </w:rPr>
            </w:pPr>
            <w:r>
              <w:rPr>
                <w:rFonts w:ascii="Times New Roman" w:hAnsi="Times New Roman" w:eastAsia="楷体_GB2312" w:cs="Times New Roman"/>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84" w:type="dxa"/>
            <w:vAlign w:val="center"/>
          </w:tcPr>
          <w:p>
            <w:pPr>
              <w:widowControl/>
              <w:autoSpaceDE w:val="0"/>
              <w:autoSpaceDN w:val="0"/>
              <w:adjustRightInd w:val="0"/>
              <w:snapToGrid w:val="0"/>
              <w:jc w:val="center"/>
              <w:rPr>
                <w:rFonts w:eastAsia="楷体_GB2312"/>
                <w:color w:val="000000"/>
                <w:kern w:val="0"/>
                <w:sz w:val="21"/>
                <w:szCs w:val="21"/>
                <w:lang w:eastAsia="zh-CN"/>
              </w:rPr>
            </w:pPr>
            <w:r>
              <w:rPr>
                <w:rFonts w:eastAsia="楷体_GB2312"/>
                <w:color w:val="000000"/>
                <w:kern w:val="0"/>
                <w:sz w:val="21"/>
                <w:szCs w:val="21"/>
                <w:lang w:eastAsia="zh-CN"/>
              </w:rPr>
              <w:t>单元B</w:t>
            </w:r>
          </w:p>
        </w:tc>
        <w:tc>
          <w:tcPr>
            <w:tcW w:w="1579" w:type="dxa"/>
            <w:vAlign w:val="center"/>
          </w:tcPr>
          <w:p>
            <w:pPr>
              <w:widowControl/>
              <w:autoSpaceDE w:val="0"/>
              <w:autoSpaceDN w:val="0"/>
              <w:adjustRightInd w:val="0"/>
              <w:snapToGrid w:val="0"/>
              <w:jc w:val="center"/>
              <w:rPr>
                <w:rFonts w:eastAsia="楷体_GB2312"/>
                <w:color w:val="000000"/>
                <w:kern w:val="0"/>
                <w:sz w:val="21"/>
                <w:szCs w:val="21"/>
                <w:lang w:eastAsia="zh-CN"/>
              </w:rPr>
            </w:pPr>
          </w:p>
        </w:tc>
        <w:tc>
          <w:tcPr>
            <w:tcW w:w="2126" w:type="dxa"/>
            <w:vAlign w:val="center"/>
          </w:tcPr>
          <w:p>
            <w:pPr>
              <w:widowControl/>
              <w:autoSpaceDE w:val="0"/>
              <w:autoSpaceDN w:val="0"/>
              <w:adjustRightInd w:val="0"/>
              <w:snapToGrid w:val="0"/>
              <w:jc w:val="center"/>
              <w:rPr>
                <w:rFonts w:eastAsia="楷体_GB2312"/>
                <w:color w:val="000000"/>
                <w:kern w:val="0"/>
                <w:sz w:val="21"/>
                <w:szCs w:val="21"/>
                <w:lang w:eastAsia="zh-CN"/>
              </w:rPr>
            </w:pPr>
          </w:p>
        </w:tc>
        <w:tc>
          <w:tcPr>
            <w:tcW w:w="1220" w:type="dxa"/>
            <w:vAlign w:val="center"/>
          </w:tcPr>
          <w:p>
            <w:pPr>
              <w:widowControl/>
              <w:autoSpaceDE w:val="0"/>
              <w:autoSpaceDN w:val="0"/>
              <w:adjustRightInd w:val="0"/>
              <w:snapToGrid w:val="0"/>
              <w:rPr>
                <w:rFonts w:eastAsia="楷体_GB2312"/>
                <w:color w:val="000000"/>
                <w:kern w:val="0"/>
                <w:sz w:val="21"/>
                <w:szCs w:val="21"/>
                <w:lang w:eastAsia="zh-CN"/>
              </w:rPr>
            </w:pPr>
            <w:r>
              <w:rPr>
                <w:rFonts w:hint="eastAsia" w:ascii="宋体" w:hAnsi="宋体" w:eastAsia="宋体" w:cs="宋体"/>
                <w:color w:val="000000"/>
                <w:kern w:val="0"/>
                <w:sz w:val="21"/>
                <w:szCs w:val="21"/>
                <w:lang w:eastAsia="zh-CN"/>
              </w:rPr>
              <w:t>①</w:t>
            </w:r>
          </w:p>
        </w:tc>
        <w:tc>
          <w:tcPr>
            <w:tcW w:w="1126" w:type="dxa"/>
            <w:vAlign w:val="center"/>
          </w:tcPr>
          <w:p>
            <w:pPr>
              <w:widowControl/>
              <w:autoSpaceDE w:val="0"/>
              <w:autoSpaceDN w:val="0"/>
              <w:adjustRightInd w:val="0"/>
              <w:snapToGrid w:val="0"/>
              <w:jc w:val="center"/>
              <w:rPr>
                <w:rFonts w:eastAsia="楷体_GB2312"/>
                <w:color w:val="000000"/>
                <w:kern w:val="0"/>
                <w:sz w:val="21"/>
                <w:szCs w:val="21"/>
                <w:lang w:eastAsia="zh-CN"/>
              </w:rPr>
            </w:pPr>
          </w:p>
        </w:tc>
        <w:tc>
          <w:tcPr>
            <w:tcW w:w="1910" w:type="dxa"/>
            <w:vAlign w:val="center"/>
          </w:tcPr>
          <w:p>
            <w:pPr>
              <w:widowControl/>
              <w:autoSpaceDE w:val="0"/>
              <w:autoSpaceDN w:val="0"/>
              <w:adjustRightInd w:val="0"/>
              <w:snapToGrid w:val="0"/>
              <w:jc w:val="center"/>
              <w:rPr>
                <w:rFonts w:eastAsia="楷体_GB2312"/>
                <w:color w:val="000000"/>
                <w:kern w:val="0"/>
                <w:sz w:val="21"/>
                <w:szCs w:val="21"/>
                <w:lang w:eastAsia="zh-CN"/>
              </w:rPr>
            </w:pPr>
          </w:p>
        </w:tc>
        <w:tc>
          <w:tcPr>
            <w:tcW w:w="1213" w:type="dxa"/>
            <w:vAlign w:val="center"/>
          </w:tcPr>
          <w:p>
            <w:pPr>
              <w:widowControl/>
              <w:autoSpaceDE w:val="0"/>
              <w:autoSpaceDN w:val="0"/>
              <w:adjustRightInd w:val="0"/>
              <w:snapToGrid w:val="0"/>
              <w:jc w:val="center"/>
              <w:rPr>
                <w:rFonts w:eastAsia="楷体_GB2312"/>
                <w:color w:val="000000"/>
                <w:kern w:val="0"/>
                <w:sz w:val="21"/>
                <w:szCs w:val="21"/>
                <w:lang w:eastAsia="zh-CN"/>
              </w:rPr>
            </w:pPr>
          </w:p>
        </w:tc>
        <w:tc>
          <w:tcPr>
            <w:tcW w:w="1339" w:type="dxa"/>
            <w:vAlign w:val="center"/>
          </w:tcPr>
          <w:p>
            <w:pPr>
              <w:widowControl/>
              <w:autoSpaceDE w:val="0"/>
              <w:autoSpaceDN w:val="0"/>
              <w:adjustRightInd w:val="0"/>
              <w:snapToGrid w:val="0"/>
              <w:jc w:val="center"/>
              <w:rPr>
                <w:rFonts w:eastAsia="楷体_GB2312"/>
                <w:color w:val="000000"/>
                <w:kern w:val="0"/>
                <w:sz w:val="21"/>
                <w:szCs w:val="21"/>
                <w:lang w:eastAsia="zh-CN"/>
              </w:rPr>
            </w:pPr>
          </w:p>
        </w:tc>
        <w:tc>
          <w:tcPr>
            <w:tcW w:w="2144" w:type="dxa"/>
            <w:gridSpan w:val="2"/>
            <w:vAlign w:val="center"/>
          </w:tcPr>
          <w:p>
            <w:pPr>
              <w:widowControl/>
              <w:autoSpaceDE w:val="0"/>
              <w:autoSpaceDN w:val="0"/>
              <w:adjustRightInd w:val="0"/>
              <w:snapToGrid w:val="0"/>
              <w:jc w:val="center"/>
              <w:rPr>
                <w:rFonts w:eastAsia="楷体_GB2312"/>
                <w:color w:val="000000"/>
                <w:kern w:val="0"/>
                <w:sz w:val="21"/>
                <w:szCs w:val="21"/>
                <w:lang w:eastAsia="zh-CN"/>
              </w:rPr>
            </w:pPr>
          </w:p>
        </w:tc>
      </w:tr>
    </w:tbl>
    <w:p>
      <w:pPr>
        <w:pStyle w:val="26"/>
        <w:ind w:firstLine="0" w:firstLineChars="0"/>
        <w:jc w:val="center"/>
        <w:outlineLvl w:val="1"/>
        <w:rPr>
          <w:rFonts w:cs="Times New Roman"/>
          <w:b/>
          <w:bCs/>
          <w:szCs w:val="32"/>
          <w:lang w:bidi="ar"/>
        </w:rPr>
        <w:sectPr>
          <w:pgSz w:w="16838" w:h="11906" w:orient="landscape"/>
          <w:pgMar w:top="1800" w:right="1440" w:bottom="1800" w:left="1440" w:header="851" w:footer="992" w:gutter="0"/>
          <w:cols w:space="425" w:num="1"/>
          <w:docGrid w:type="lines" w:linePitch="435" w:charSpace="0"/>
        </w:sectPr>
      </w:pPr>
      <w:bookmarkStart w:id="34" w:name="_Hlk35866135"/>
    </w:p>
    <w:p>
      <w:pPr>
        <w:pStyle w:val="26"/>
        <w:ind w:firstLine="0" w:firstLineChars="0"/>
        <w:jc w:val="center"/>
        <w:outlineLvl w:val="1"/>
        <w:rPr>
          <w:rFonts w:cs="Times New Roman"/>
          <w:b/>
          <w:bCs/>
          <w:szCs w:val="32"/>
          <w:lang w:bidi="ar"/>
        </w:rPr>
      </w:pPr>
      <w:bookmarkStart w:id="35" w:name="_Toc118208086"/>
      <w:r>
        <w:rPr>
          <w:rFonts w:cs="Times New Roman"/>
          <w:b/>
          <w:bCs/>
          <w:szCs w:val="32"/>
          <w:lang w:bidi="ar"/>
        </w:rPr>
        <w:t>5 土壤污染重点监管单位自行监测报告自查表</w:t>
      </w:r>
      <w:bookmarkEnd w:id="34"/>
      <w:bookmarkEnd w:id="35"/>
    </w:p>
    <w:tbl>
      <w:tblPr>
        <w:tblStyle w:val="11"/>
        <w:tblW w:w="14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567"/>
        <w:gridCol w:w="998"/>
        <w:gridCol w:w="1682"/>
        <w:gridCol w:w="2423"/>
        <w:gridCol w:w="3119"/>
        <w:gridCol w:w="1984"/>
        <w:gridCol w:w="1910"/>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71" w:type="dxa"/>
            <w:gridSpan w:val="2"/>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单位名称</w:t>
            </w:r>
          </w:p>
        </w:tc>
        <w:tc>
          <w:tcPr>
            <w:tcW w:w="2680" w:type="dxa"/>
            <w:gridSpan w:val="2"/>
            <w:vAlign w:val="center"/>
          </w:tcPr>
          <w:p>
            <w:pPr>
              <w:widowControl/>
              <w:spacing w:line="320" w:lineRule="exact"/>
              <w:jc w:val="center"/>
              <w:rPr>
                <w:rFonts w:eastAsia="楷体_GB2312"/>
                <w:b/>
                <w:bCs/>
                <w:color w:val="000000"/>
                <w:kern w:val="0"/>
                <w:sz w:val="21"/>
                <w:szCs w:val="21"/>
              </w:rPr>
            </w:pPr>
          </w:p>
        </w:tc>
        <w:tc>
          <w:tcPr>
            <w:tcW w:w="2423" w:type="dxa"/>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自查人员</w:t>
            </w:r>
          </w:p>
        </w:tc>
        <w:tc>
          <w:tcPr>
            <w:tcW w:w="3119" w:type="dxa"/>
            <w:vAlign w:val="center"/>
          </w:tcPr>
          <w:p>
            <w:pPr>
              <w:widowControl/>
              <w:spacing w:line="320" w:lineRule="exact"/>
              <w:jc w:val="center"/>
              <w:rPr>
                <w:rFonts w:eastAsia="楷体_GB2312"/>
                <w:b/>
                <w:bCs/>
                <w:color w:val="000000"/>
                <w:kern w:val="0"/>
                <w:sz w:val="21"/>
                <w:szCs w:val="21"/>
              </w:rPr>
            </w:pPr>
          </w:p>
        </w:tc>
        <w:tc>
          <w:tcPr>
            <w:tcW w:w="1984" w:type="dxa"/>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自查时间</w:t>
            </w:r>
          </w:p>
        </w:tc>
        <w:tc>
          <w:tcPr>
            <w:tcW w:w="3141" w:type="dxa"/>
            <w:gridSpan w:val="2"/>
            <w:vAlign w:val="center"/>
          </w:tcPr>
          <w:p>
            <w:pPr>
              <w:widowControl/>
              <w:spacing w:line="320" w:lineRule="exact"/>
              <w:jc w:val="center"/>
              <w:rPr>
                <w:rFonts w:eastAsia="楷体_GB2312"/>
                <w:b/>
                <w:bCs/>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序号</w:t>
            </w:r>
          </w:p>
        </w:tc>
        <w:tc>
          <w:tcPr>
            <w:tcW w:w="1565" w:type="dxa"/>
            <w:gridSpan w:val="2"/>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主要项目</w:t>
            </w:r>
          </w:p>
        </w:tc>
        <w:tc>
          <w:tcPr>
            <w:tcW w:w="1682" w:type="dxa"/>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撰写内容</w:t>
            </w:r>
          </w:p>
        </w:tc>
        <w:tc>
          <w:tcPr>
            <w:tcW w:w="9436" w:type="dxa"/>
            <w:gridSpan w:val="4"/>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自   查   要   点</w:t>
            </w:r>
          </w:p>
        </w:tc>
        <w:tc>
          <w:tcPr>
            <w:tcW w:w="1231" w:type="dxa"/>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rPr>
              <w:t>是否符合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1</w:t>
            </w:r>
          </w:p>
        </w:tc>
        <w:tc>
          <w:tcPr>
            <w:tcW w:w="1565" w:type="dxa"/>
            <w:gridSpan w:val="2"/>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形式审查</w:t>
            </w:r>
          </w:p>
        </w:tc>
        <w:tc>
          <w:tcPr>
            <w:tcW w:w="11118" w:type="dxa"/>
            <w:gridSpan w:val="5"/>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报告是否加盖重点监管单位和委托的第三方机构（若有）的公章</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1118" w:type="dxa"/>
            <w:gridSpan w:val="5"/>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报告是否明确项目负责人和从业人员信息</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1118" w:type="dxa"/>
            <w:gridSpan w:val="5"/>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报告是否包含（1）企业执行的自行监测方案描述；（2）监测结果及分析，包括各监测指标选取的分析方法及检出限；（3）质量保证与质量控制；（4）企业针对监测结果拟采取的主要措施等关键内容</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2</w:t>
            </w:r>
          </w:p>
        </w:tc>
        <w:tc>
          <w:tcPr>
            <w:tcW w:w="1565" w:type="dxa"/>
            <w:gridSpan w:val="2"/>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重点监测单元</w:t>
            </w:r>
          </w:p>
        </w:tc>
        <w:tc>
          <w:tcPr>
            <w:tcW w:w="1682" w:type="dxa"/>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资料收集</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企业资料收集是否齐全</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现场踏勘</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踏勘过程是否重点核实（1）各场所、设施、设备分布；（2）各场所、设施、设备的功能/工艺/原辅料及有毒有害物质/三废排放等情况；（3）地面覆盖、硬化或其他防渗设施情况等内容</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重点监测单元的识别与分类</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重点单元的识别与分类依据是否充分</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continue"/>
            <w:vAlign w:val="center"/>
          </w:tcPr>
          <w:p>
            <w:pPr>
              <w:widowControl/>
              <w:spacing w:line="320" w:lineRule="exact"/>
              <w:jc w:val="center"/>
              <w:rPr>
                <w:rFonts w:eastAsia="楷体_GB2312"/>
                <w:color w:val="000000"/>
                <w:kern w:val="0"/>
                <w:sz w:val="21"/>
                <w:szCs w:val="21"/>
              </w:rPr>
            </w:pP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是否提供了重点监测单元清单</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continue"/>
            <w:vAlign w:val="center"/>
          </w:tcPr>
          <w:p>
            <w:pPr>
              <w:widowControl/>
              <w:spacing w:line="320" w:lineRule="exact"/>
              <w:jc w:val="center"/>
              <w:rPr>
                <w:rFonts w:eastAsia="楷体_GB2312"/>
                <w:color w:val="000000"/>
                <w:kern w:val="0"/>
                <w:sz w:val="21"/>
                <w:szCs w:val="21"/>
              </w:rPr>
            </w:pP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是否提供了标记有重点单元及监测点/监测井位置的企业总平面布置图</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3</w:t>
            </w:r>
          </w:p>
        </w:tc>
        <w:tc>
          <w:tcPr>
            <w:tcW w:w="1565" w:type="dxa"/>
            <w:gridSpan w:val="2"/>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监测点位</w:t>
            </w:r>
          </w:p>
        </w:tc>
        <w:tc>
          <w:tcPr>
            <w:tcW w:w="1682"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位置、数量</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监测点/监测井的位置、数量是否符合监测点位布设的要求</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continue"/>
            <w:vAlign w:val="center"/>
          </w:tcPr>
          <w:p>
            <w:pPr>
              <w:widowControl/>
              <w:spacing w:line="320" w:lineRule="exact"/>
              <w:jc w:val="center"/>
              <w:rPr>
                <w:rFonts w:eastAsia="楷体_GB2312"/>
                <w:color w:val="000000"/>
                <w:kern w:val="0"/>
                <w:sz w:val="21"/>
                <w:szCs w:val="21"/>
              </w:rPr>
            </w:pP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是否设置了地下水对照点</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深度</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监测点/监测井的采样深度是否符合监测点位布设的要求</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监测指标</w:t>
            </w:r>
          </w:p>
          <w:p>
            <w:pPr>
              <w:widowControl/>
              <w:spacing w:line="320" w:lineRule="exact"/>
              <w:jc w:val="center"/>
              <w:rPr>
                <w:rFonts w:eastAsia="楷体_GB2312"/>
                <w:color w:val="000000"/>
                <w:kern w:val="0"/>
                <w:sz w:val="21"/>
                <w:szCs w:val="21"/>
              </w:rPr>
            </w:pPr>
            <w:r>
              <w:rPr>
                <w:rFonts w:eastAsia="楷体_GB2312"/>
                <w:color w:val="000000"/>
                <w:kern w:val="0"/>
                <w:sz w:val="21"/>
                <w:szCs w:val="21"/>
              </w:rPr>
              <w:t>（初次监测）</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土壤监测指标是否包括《土壤环境质量建设用地土壤污染风险管控标准》（GB 36600）中的45项基本项目和所有重点监测单元涉及的所有关注污染物</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continue"/>
            <w:vAlign w:val="center"/>
          </w:tcPr>
          <w:p>
            <w:pPr>
              <w:widowControl/>
              <w:spacing w:line="320" w:lineRule="exact"/>
              <w:jc w:val="center"/>
              <w:rPr>
                <w:rFonts w:eastAsia="楷体_GB2312"/>
                <w:color w:val="000000"/>
                <w:kern w:val="0"/>
                <w:sz w:val="21"/>
                <w:szCs w:val="21"/>
              </w:rPr>
            </w:pP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地下水监测指标是否包括《地下水质量标准》（GB/T 14848）35项常规指标（微生物指标、放射性指标除外）和所有重点监测单元涉及的所有关注污染物</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监测指标</w:t>
            </w:r>
          </w:p>
          <w:p>
            <w:pPr>
              <w:widowControl/>
              <w:spacing w:line="320" w:lineRule="exact"/>
              <w:jc w:val="center"/>
              <w:rPr>
                <w:rFonts w:eastAsia="楷体_GB2312"/>
                <w:color w:val="000000"/>
                <w:kern w:val="0"/>
                <w:sz w:val="21"/>
                <w:szCs w:val="21"/>
              </w:rPr>
            </w:pPr>
            <w:r>
              <w:rPr>
                <w:rFonts w:eastAsia="楷体_GB2312"/>
                <w:color w:val="000000"/>
                <w:kern w:val="0"/>
                <w:sz w:val="21"/>
                <w:szCs w:val="21"/>
              </w:rPr>
              <w:t>（后续监测）</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对于每个重点监测单元，监测指标是否包括该重点监测单元内任一土壤或地下水点位前期监测结果异常以及该单元涉及的所有关注污染物</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监测频次</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是否满足最低频次要求</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continue"/>
            <w:vAlign w:val="center"/>
          </w:tcPr>
          <w:p>
            <w:pPr>
              <w:widowControl/>
              <w:spacing w:line="320" w:lineRule="exact"/>
              <w:jc w:val="center"/>
              <w:rPr>
                <w:rFonts w:eastAsia="楷体_GB2312"/>
                <w:color w:val="000000"/>
                <w:kern w:val="0"/>
                <w:sz w:val="21"/>
                <w:szCs w:val="21"/>
              </w:rPr>
            </w:pP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若上一年度监测结果异常，本年度监测频次是否按要求进行调整</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采样条件</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所有监测点位是否已核实具备采样条件</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4</w:t>
            </w:r>
          </w:p>
        </w:tc>
        <w:tc>
          <w:tcPr>
            <w:tcW w:w="1565" w:type="dxa"/>
            <w:gridSpan w:val="2"/>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地下水监测井建设或筛选</w:t>
            </w:r>
          </w:p>
        </w:tc>
        <w:tc>
          <w:tcPr>
            <w:tcW w:w="11118" w:type="dxa"/>
            <w:gridSpan w:val="5"/>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地下水监测井建设及归档资料是否符合HJ 164的要求</w:t>
            </w:r>
          </w:p>
        </w:tc>
        <w:tc>
          <w:tcPr>
            <w:tcW w:w="1231" w:type="dxa"/>
            <w:vAlign w:val="center"/>
          </w:tcPr>
          <w:p>
            <w:pPr>
              <w:widowControl/>
              <w:spacing w:line="320" w:lineRule="exact"/>
              <w:rPr>
                <w:rFonts w:eastAsia="楷体_GB2312"/>
                <w:bCs/>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1118" w:type="dxa"/>
            <w:gridSpan w:val="5"/>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若选用现有地下水监测井，是否符合HJ 164的筛选要求</w:t>
            </w:r>
          </w:p>
        </w:tc>
        <w:tc>
          <w:tcPr>
            <w:tcW w:w="1231" w:type="dxa"/>
            <w:vAlign w:val="center"/>
          </w:tcPr>
          <w:p>
            <w:pPr>
              <w:widowControl/>
              <w:spacing w:line="320" w:lineRule="exact"/>
              <w:rPr>
                <w:rFonts w:eastAsia="楷体_GB2312"/>
                <w:bCs/>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5</w:t>
            </w:r>
          </w:p>
        </w:tc>
        <w:tc>
          <w:tcPr>
            <w:tcW w:w="1565" w:type="dxa"/>
            <w:gridSpan w:val="2"/>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样品采集、保存、流转、制备与分析</w:t>
            </w:r>
          </w:p>
        </w:tc>
        <w:tc>
          <w:tcPr>
            <w:tcW w:w="1682" w:type="dxa"/>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采集位置、数量和深度</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采集位置、数量和深度是否与监测方案一致，若有调整是否说明调整内容并提供依据</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样品保存、流转、制备与分析</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样品保存、流转、制备过程是否规范</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continue"/>
            <w:vAlign w:val="center"/>
          </w:tcPr>
          <w:p>
            <w:pPr>
              <w:widowControl/>
              <w:spacing w:line="320" w:lineRule="exact"/>
              <w:jc w:val="center"/>
              <w:rPr>
                <w:rFonts w:eastAsia="楷体_GB2312"/>
                <w:color w:val="000000"/>
                <w:kern w:val="0"/>
                <w:sz w:val="21"/>
                <w:szCs w:val="21"/>
              </w:rPr>
            </w:pP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监测分析方法是否选用所执行的标准中规定的方法，或选用其他标准方法是否符合相关要求；或选用非标准方法是否进行方法验证和对比实验</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6</w:t>
            </w:r>
          </w:p>
        </w:tc>
        <w:tc>
          <w:tcPr>
            <w:tcW w:w="1565" w:type="dxa"/>
            <w:gridSpan w:val="2"/>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监测结果分析</w:t>
            </w:r>
          </w:p>
        </w:tc>
        <w:tc>
          <w:tcPr>
            <w:tcW w:w="1682"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土壤监测结果分析</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是否包括土壤污染物浓度与GB36600中第二类用地筛选值、土壤环境背景值或地方土壤污染风险管控标准对比分析</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continue"/>
            <w:vAlign w:val="center"/>
          </w:tcPr>
          <w:p>
            <w:pPr>
              <w:widowControl/>
              <w:spacing w:line="320" w:lineRule="exact"/>
              <w:jc w:val="center"/>
              <w:rPr>
                <w:rFonts w:eastAsia="楷体_GB2312"/>
                <w:color w:val="000000"/>
                <w:kern w:val="0"/>
                <w:sz w:val="21"/>
                <w:szCs w:val="21"/>
              </w:rPr>
            </w:pP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是否包括土壤中关注污染物的检出情况分析</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地下水监测结果分析</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是否包括地下水污染物浓度与该地区地下水功能区划在GB/T 14848中对应的限值或地方生态环境部门判定的该地区地下水环境本底值对比分析</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continue"/>
            <w:vAlign w:val="center"/>
          </w:tcPr>
          <w:p>
            <w:pPr>
              <w:widowControl/>
              <w:spacing w:line="320" w:lineRule="exact"/>
              <w:jc w:val="center"/>
              <w:rPr>
                <w:rFonts w:eastAsia="楷体_GB2312"/>
                <w:color w:val="000000"/>
                <w:kern w:val="0"/>
                <w:sz w:val="21"/>
                <w:szCs w:val="21"/>
              </w:rPr>
            </w:pP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是否包括地下水各点位污染物监测值与该点位前次监测值的对比分析</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continue"/>
            <w:vAlign w:val="center"/>
          </w:tcPr>
          <w:p>
            <w:pPr>
              <w:widowControl/>
              <w:spacing w:line="320" w:lineRule="exact"/>
              <w:jc w:val="center"/>
              <w:rPr>
                <w:rFonts w:eastAsia="楷体_GB2312"/>
                <w:color w:val="000000"/>
                <w:kern w:val="0"/>
                <w:sz w:val="21"/>
                <w:szCs w:val="21"/>
              </w:rPr>
            </w:pP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是否进行地下水各点位污染物监测值趋势分析</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continue"/>
            <w:vAlign w:val="center"/>
          </w:tcPr>
          <w:p>
            <w:pPr>
              <w:widowControl/>
              <w:spacing w:line="320" w:lineRule="exact"/>
              <w:jc w:val="center"/>
              <w:rPr>
                <w:rFonts w:eastAsia="楷体_GB2312"/>
                <w:color w:val="000000"/>
                <w:kern w:val="0"/>
                <w:sz w:val="21"/>
                <w:szCs w:val="21"/>
              </w:rPr>
            </w:pP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是否包括地下水中关注污染物的检出情况分析</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监测结果异常判定</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是否对照判定方法进行监测结果异常判定，若结果异常是否提出后续监测频次的调整要求</w:t>
            </w:r>
          </w:p>
        </w:tc>
        <w:tc>
          <w:tcPr>
            <w:tcW w:w="1231" w:type="dxa"/>
            <w:vAlign w:val="center"/>
          </w:tcPr>
          <w:p>
            <w:pPr>
              <w:widowControl/>
              <w:spacing w:line="320" w:lineRule="exact"/>
              <w:rPr>
                <w:rFonts w:eastAsia="楷体_GB2312"/>
                <w:bCs/>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7</w:t>
            </w:r>
          </w:p>
        </w:tc>
        <w:tc>
          <w:tcPr>
            <w:tcW w:w="1565" w:type="dxa"/>
            <w:gridSpan w:val="2"/>
            <w:vMerge w:val="restart"/>
            <w:vAlign w:val="center"/>
          </w:tcPr>
          <w:p>
            <w:pPr>
              <w:spacing w:line="320" w:lineRule="exact"/>
              <w:jc w:val="center"/>
              <w:rPr>
                <w:rFonts w:eastAsia="楷体_GB2312"/>
                <w:color w:val="000000"/>
                <w:kern w:val="0"/>
                <w:sz w:val="21"/>
                <w:szCs w:val="21"/>
              </w:rPr>
            </w:pPr>
            <w:r>
              <w:rPr>
                <w:rFonts w:eastAsia="楷体_GB2312"/>
                <w:color w:val="000000"/>
                <w:kern w:val="0"/>
                <w:sz w:val="21"/>
                <w:szCs w:val="21"/>
              </w:rPr>
              <w:t>质量保证与质量控制</w:t>
            </w:r>
          </w:p>
        </w:tc>
        <w:tc>
          <w:tcPr>
            <w:tcW w:w="1682" w:type="dxa"/>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质量体系</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自行监测的承担单位是否具备与监测任务相适应的工作条件和技术人员，并建有保证监测结果准确可靠的质量体系</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监测方案</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监测方案是否经过专家论证（提供专家论证意见）</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restart"/>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样品采集、保存、流转、制备与分析</w:t>
            </w: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样品采集、保存、流转、制备与分析环节的质量保证与质量控制是否满足GB/T 32722、HJ 164、HJ/T 166、HJ 1019及所选取分析方法的要求</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continue"/>
            <w:vAlign w:val="center"/>
          </w:tcPr>
          <w:p>
            <w:pPr>
              <w:widowControl/>
              <w:spacing w:line="320" w:lineRule="exact"/>
              <w:jc w:val="center"/>
              <w:rPr>
                <w:rFonts w:eastAsia="楷体_GB2312"/>
                <w:color w:val="000000"/>
                <w:kern w:val="0"/>
                <w:sz w:val="21"/>
                <w:szCs w:val="21"/>
              </w:rPr>
            </w:pP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土壤和地下水平行样设置是否符合要求</w:t>
            </w:r>
          </w:p>
        </w:tc>
        <w:tc>
          <w:tcPr>
            <w:tcW w:w="1231" w:type="dxa"/>
            <w:vAlign w:val="center"/>
          </w:tcPr>
          <w:p>
            <w:pPr>
              <w:widowControl/>
              <w:spacing w:line="320" w:lineRule="exact"/>
              <w:rPr>
                <w:rFonts w:eastAsia="楷体_GB2312"/>
                <w:bCs/>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Merge w:val="continue"/>
            <w:vAlign w:val="center"/>
          </w:tcPr>
          <w:p>
            <w:pPr>
              <w:widowControl/>
              <w:spacing w:line="320" w:lineRule="exact"/>
              <w:jc w:val="center"/>
              <w:rPr>
                <w:rFonts w:eastAsia="楷体_GB2312"/>
                <w:color w:val="000000"/>
                <w:kern w:val="0"/>
                <w:sz w:val="21"/>
                <w:szCs w:val="21"/>
              </w:rPr>
            </w:pPr>
          </w:p>
        </w:tc>
        <w:tc>
          <w:tcPr>
            <w:tcW w:w="1565" w:type="dxa"/>
            <w:gridSpan w:val="2"/>
            <w:vMerge w:val="continue"/>
            <w:vAlign w:val="center"/>
          </w:tcPr>
          <w:p>
            <w:pPr>
              <w:widowControl/>
              <w:spacing w:line="320" w:lineRule="exact"/>
              <w:jc w:val="center"/>
              <w:rPr>
                <w:rFonts w:eastAsia="楷体_GB2312"/>
                <w:color w:val="000000"/>
                <w:kern w:val="0"/>
                <w:sz w:val="21"/>
                <w:szCs w:val="21"/>
              </w:rPr>
            </w:pPr>
          </w:p>
        </w:tc>
        <w:tc>
          <w:tcPr>
            <w:tcW w:w="1682" w:type="dxa"/>
            <w:vMerge w:val="continue"/>
            <w:vAlign w:val="center"/>
          </w:tcPr>
          <w:p>
            <w:pPr>
              <w:widowControl/>
              <w:spacing w:line="320" w:lineRule="exact"/>
              <w:jc w:val="center"/>
              <w:rPr>
                <w:rFonts w:eastAsia="楷体_GB2312"/>
                <w:color w:val="000000"/>
                <w:kern w:val="0"/>
                <w:sz w:val="21"/>
                <w:szCs w:val="21"/>
              </w:rPr>
            </w:pPr>
          </w:p>
        </w:tc>
        <w:tc>
          <w:tcPr>
            <w:tcW w:w="9436" w:type="dxa"/>
            <w:gridSpan w:val="4"/>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出具的检测报告是否加盖实验室资质（CMA）认定标识</w:t>
            </w:r>
          </w:p>
        </w:tc>
        <w:tc>
          <w:tcPr>
            <w:tcW w:w="1231" w:type="dxa"/>
            <w:vAlign w:val="center"/>
          </w:tcPr>
          <w:p>
            <w:pPr>
              <w:widowControl/>
              <w:spacing w:line="320" w:lineRule="exact"/>
              <w:rPr>
                <w:rFonts w:eastAsia="楷体_GB2312"/>
                <w:bCs/>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8</w:t>
            </w:r>
          </w:p>
        </w:tc>
        <w:tc>
          <w:tcPr>
            <w:tcW w:w="1565" w:type="dxa"/>
            <w:gridSpan w:val="2"/>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针对监测结果拟采取的主要措施</w:t>
            </w:r>
          </w:p>
        </w:tc>
        <w:tc>
          <w:tcPr>
            <w:tcW w:w="11118" w:type="dxa"/>
            <w:gridSpan w:val="5"/>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若自行监测结果异常，企业拟采取的主要措施是否科学、合理、可行，是否可有效防止污染进一步扩散，是否按照粤环发〔2021〕8号的要求提出补充开展土壤污染隐患排查等措施</w:t>
            </w:r>
          </w:p>
        </w:tc>
        <w:tc>
          <w:tcPr>
            <w:tcW w:w="1231" w:type="dxa"/>
            <w:vAlign w:val="center"/>
          </w:tcPr>
          <w:p>
            <w:pPr>
              <w:widowControl/>
              <w:spacing w:line="320" w:lineRule="exact"/>
              <w:rPr>
                <w:rFonts w:eastAsia="楷体_GB2312"/>
                <w:color w:val="000000"/>
                <w:kern w:val="0"/>
                <w:sz w:val="21"/>
                <w:szCs w:val="21"/>
              </w:rPr>
            </w:pPr>
            <w:r>
              <w:rPr>
                <w:rFonts w:eastAsia="楷体_GB2312"/>
                <w:bCs/>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9</w:t>
            </w:r>
          </w:p>
        </w:tc>
        <w:tc>
          <w:tcPr>
            <w:tcW w:w="1565" w:type="dxa"/>
            <w:gridSpan w:val="2"/>
            <w:vAlign w:val="center"/>
          </w:tcPr>
          <w:p>
            <w:pPr>
              <w:widowControl/>
              <w:spacing w:line="320" w:lineRule="exact"/>
              <w:jc w:val="center"/>
              <w:rPr>
                <w:rFonts w:eastAsia="楷体_GB2312"/>
                <w:color w:val="000000"/>
                <w:kern w:val="0"/>
                <w:sz w:val="21"/>
                <w:szCs w:val="21"/>
              </w:rPr>
            </w:pPr>
            <w:r>
              <w:rPr>
                <w:rFonts w:eastAsia="楷体_GB2312"/>
                <w:color w:val="000000"/>
                <w:kern w:val="0"/>
                <w:sz w:val="21"/>
                <w:szCs w:val="21"/>
              </w:rPr>
              <w:t>附件</w:t>
            </w:r>
          </w:p>
        </w:tc>
        <w:tc>
          <w:tcPr>
            <w:tcW w:w="11118" w:type="dxa"/>
            <w:gridSpan w:val="5"/>
            <w:vAlign w:val="center"/>
          </w:tcPr>
          <w:p>
            <w:pPr>
              <w:widowControl/>
              <w:spacing w:line="320" w:lineRule="exact"/>
              <w:jc w:val="left"/>
              <w:rPr>
                <w:rFonts w:eastAsia="楷体_GB2312"/>
                <w:color w:val="000000"/>
                <w:kern w:val="0"/>
                <w:sz w:val="21"/>
                <w:szCs w:val="21"/>
              </w:rPr>
            </w:pPr>
            <w:r>
              <w:rPr>
                <w:rFonts w:eastAsia="楷体_GB2312"/>
                <w:color w:val="000000"/>
                <w:kern w:val="0"/>
                <w:sz w:val="21"/>
                <w:szCs w:val="21"/>
              </w:rPr>
              <w:t>是否包含重点监测单元清单、实验室样品检测报告、地下水监测井归档资料</w:t>
            </w:r>
          </w:p>
        </w:tc>
        <w:tc>
          <w:tcPr>
            <w:tcW w:w="1231" w:type="dxa"/>
            <w:vAlign w:val="center"/>
          </w:tcPr>
          <w:p>
            <w:pPr>
              <w:widowControl/>
              <w:spacing w:line="320" w:lineRule="exact"/>
              <w:rPr>
                <w:rFonts w:eastAsia="楷体_GB2312"/>
                <w:bCs/>
                <w:sz w:val="21"/>
                <w:szCs w:val="21"/>
              </w:rPr>
            </w:pPr>
            <w:r>
              <w:rPr>
                <w:rFonts w:eastAsia="楷体_GB2312"/>
                <w:bCs/>
                <w:sz w:val="21"/>
                <w:szCs w:val="21"/>
              </w:rPr>
              <w:t>□是 □否</w:t>
            </w:r>
          </w:p>
        </w:tc>
      </w:tr>
    </w:tbl>
    <w:p>
      <w:pPr>
        <w:widowControl/>
        <w:adjustRightInd w:val="0"/>
        <w:snapToGrid w:val="0"/>
        <w:rPr>
          <w:rFonts w:eastAsia="楷体_GB2312"/>
          <w:color w:val="000000"/>
          <w:kern w:val="0"/>
          <w:sz w:val="24"/>
        </w:rPr>
        <w:sectPr>
          <w:pgSz w:w="16838" w:h="11906" w:orient="landscape"/>
          <w:pgMar w:top="1800" w:right="1440" w:bottom="1800" w:left="1440" w:header="851" w:footer="992" w:gutter="0"/>
          <w:cols w:space="425" w:num="1"/>
          <w:docGrid w:type="lines" w:linePitch="435" w:charSpace="0"/>
        </w:sectPr>
      </w:pPr>
    </w:p>
    <w:p>
      <w:pPr>
        <w:pStyle w:val="26"/>
        <w:ind w:firstLine="0" w:firstLineChars="0"/>
        <w:jc w:val="center"/>
        <w:outlineLvl w:val="1"/>
        <w:rPr>
          <w:rFonts w:cs="Times New Roman"/>
          <w:b/>
          <w:bCs/>
          <w:szCs w:val="32"/>
          <w:lang w:bidi="ar"/>
        </w:rPr>
      </w:pPr>
      <w:bookmarkStart w:id="36" w:name="_Toc118208087"/>
      <w:bookmarkStart w:id="37" w:name="_Hlk117071612"/>
      <w:bookmarkStart w:id="38" w:name="_Hlk117081778"/>
      <w:r>
        <w:rPr>
          <w:rFonts w:cs="Times New Roman"/>
          <w:b/>
          <w:bCs/>
          <w:szCs w:val="32"/>
          <w:lang w:bidi="ar"/>
        </w:rPr>
        <w:t>6 湛江市土壤污染重点监管单位名录</w:t>
      </w:r>
      <w:bookmarkEnd w:id="36"/>
    </w:p>
    <w:tbl>
      <w:tblPr>
        <w:tblStyle w:val="11"/>
        <w:tblW w:w="9209" w:type="dxa"/>
        <w:jc w:val="center"/>
        <w:tblLayout w:type="fixed"/>
        <w:tblCellMar>
          <w:top w:w="0" w:type="dxa"/>
          <w:left w:w="108" w:type="dxa"/>
          <w:bottom w:w="0" w:type="dxa"/>
          <w:right w:w="108" w:type="dxa"/>
        </w:tblCellMar>
      </w:tblPr>
      <w:tblGrid>
        <w:gridCol w:w="38"/>
        <w:gridCol w:w="722"/>
        <w:gridCol w:w="4395"/>
        <w:gridCol w:w="1361"/>
        <w:gridCol w:w="1276"/>
        <w:gridCol w:w="1417"/>
      </w:tblGrid>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jc w:val="center"/>
              <w:rPr>
                <w:b/>
                <w:color w:val="000000"/>
                <w:kern w:val="0"/>
                <w:sz w:val="24"/>
              </w:rPr>
            </w:pPr>
            <w:r>
              <w:rPr>
                <w:b/>
                <w:color w:val="000000"/>
                <w:kern w:val="0"/>
                <w:sz w:val="24"/>
              </w:rPr>
              <w:t>序号</w:t>
            </w:r>
          </w:p>
        </w:tc>
        <w:tc>
          <w:tcPr>
            <w:tcW w:w="4395" w:type="dxa"/>
            <w:tcBorders>
              <w:top w:val="single" w:color="auto" w:sz="4" w:space="0"/>
              <w:left w:val="nil"/>
              <w:bottom w:val="single" w:color="auto" w:sz="4" w:space="0"/>
              <w:right w:val="single" w:color="auto" w:sz="4" w:space="0"/>
            </w:tcBorders>
            <w:noWrap/>
            <w:vAlign w:val="center"/>
          </w:tcPr>
          <w:p>
            <w:pPr>
              <w:widowControl/>
              <w:jc w:val="center"/>
              <w:rPr>
                <w:b/>
                <w:color w:val="000000"/>
                <w:kern w:val="0"/>
                <w:sz w:val="24"/>
              </w:rPr>
            </w:pPr>
            <w:r>
              <w:rPr>
                <w:b/>
                <w:color w:val="000000"/>
                <w:kern w:val="0"/>
                <w:sz w:val="24"/>
              </w:rPr>
              <w:t>企业名称</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b/>
                <w:color w:val="000000"/>
                <w:kern w:val="0"/>
                <w:sz w:val="24"/>
              </w:rPr>
            </w:pPr>
            <w:r>
              <w:rPr>
                <w:b/>
                <w:color w:val="000000"/>
                <w:kern w:val="0"/>
                <w:sz w:val="24"/>
              </w:rPr>
              <w:t>县(市、区)</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b/>
                <w:color w:val="000000"/>
                <w:kern w:val="0"/>
                <w:sz w:val="24"/>
              </w:rPr>
            </w:pPr>
            <w:r>
              <w:rPr>
                <w:b/>
                <w:color w:val="000000"/>
                <w:kern w:val="0"/>
                <w:sz w:val="24"/>
              </w:rPr>
              <w:t>纳入年份</w:t>
            </w:r>
          </w:p>
        </w:tc>
        <w:tc>
          <w:tcPr>
            <w:tcW w:w="1417" w:type="dxa"/>
            <w:tcBorders>
              <w:top w:val="single" w:color="auto" w:sz="4" w:space="0"/>
              <w:left w:val="nil"/>
              <w:bottom w:val="single" w:color="auto" w:sz="4" w:space="0"/>
              <w:right w:val="single" w:color="auto" w:sz="4" w:space="0"/>
            </w:tcBorders>
            <w:noWrap/>
            <w:vAlign w:val="center"/>
          </w:tcPr>
          <w:p>
            <w:pPr>
              <w:widowControl/>
              <w:jc w:val="center"/>
              <w:rPr>
                <w:b/>
                <w:color w:val="000000"/>
                <w:kern w:val="0"/>
                <w:sz w:val="24"/>
              </w:rPr>
            </w:pPr>
            <w:r>
              <w:rPr>
                <w:b/>
                <w:color w:val="000000"/>
                <w:kern w:val="0"/>
                <w:sz w:val="24"/>
              </w:rPr>
              <w:t>批次</w:t>
            </w:r>
          </w:p>
        </w:tc>
      </w:tr>
      <w:tr>
        <w:tblPrEx>
          <w:tblCellMar>
            <w:top w:w="0" w:type="dxa"/>
            <w:left w:w="108" w:type="dxa"/>
            <w:bottom w:w="0" w:type="dxa"/>
            <w:right w:w="108" w:type="dxa"/>
          </w:tblCellMar>
        </w:tblPrEx>
        <w:trPr>
          <w:gridBefore w:val="1"/>
          <w:wBefore w:w="38" w:type="dxa"/>
          <w:trHeight w:val="472"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jc w:val="center"/>
              <w:rPr>
                <w:color w:val="000000"/>
                <w:kern w:val="0"/>
                <w:sz w:val="24"/>
              </w:rPr>
            </w:pPr>
            <w:r>
              <w:rPr>
                <w:color w:val="000000"/>
                <w:kern w:val="0"/>
                <w:sz w:val="24"/>
              </w:rPr>
              <w:t>1</w:t>
            </w:r>
          </w:p>
        </w:tc>
        <w:tc>
          <w:tcPr>
            <w:tcW w:w="4395" w:type="dxa"/>
            <w:tcBorders>
              <w:top w:val="nil"/>
              <w:left w:val="nil"/>
              <w:bottom w:val="single" w:color="auto" w:sz="4" w:space="0"/>
              <w:right w:val="single" w:color="auto" w:sz="4" w:space="0"/>
            </w:tcBorders>
            <w:noWrap/>
            <w:vAlign w:val="center"/>
          </w:tcPr>
          <w:p>
            <w:pPr>
              <w:widowControl/>
              <w:rPr>
                <w:color w:val="000000"/>
                <w:kern w:val="0"/>
                <w:sz w:val="24"/>
              </w:rPr>
            </w:pPr>
            <w:r>
              <w:rPr>
                <w:color w:val="000000"/>
                <w:kern w:val="0"/>
                <w:sz w:val="24"/>
              </w:rPr>
              <w:t>湛江市绿城环保再生资源有限公司</w:t>
            </w:r>
          </w:p>
        </w:tc>
        <w:tc>
          <w:tcPr>
            <w:tcW w:w="1361"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坡头区</w:t>
            </w:r>
          </w:p>
        </w:tc>
        <w:tc>
          <w:tcPr>
            <w:tcW w:w="1276"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2019</w:t>
            </w:r>
          </w:p>
        </w:tc>
        <w:tc>
          <w:tcPr>
            <w:tcW w:w="1417"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jc w:val="center"/>
              <w:rPr>
                <w:color w:val="000000"/>
                <w:kern w:val="0"/>
                <w:sz w:val="24"/>
              </w:rPr>
            </w:pPr>
            <w:r>
              <w:rPr>
                <w:color w:val="000000"/>
                <w:kern w:val="0"/>
                <w:sz w:val="24"/>
              </w:rPr>
              <w:t>2</w:t>
            </w:r>
          </w:p>
        </w:tc>
        <w:tc>
          <w:tcPr>
            <w:tcW w:w="4395" w:type="dxa"/>
            <w:tcBorders>
              <w:top w:val="nil"/>
              <w:left w:val="nil"/>
              <w:bottom w:val="single" w:color="auto" w:sz="4" w:space="0"/>
              <w:right w:val="single" w:color="auto" w:sz="4" w:space="0"/>
            </w:tcBorders>
            <w:noWrap/>
            <w:vAlign w:val="center"/>
          </w:tcPr>
          <w:p>
            <w:pPr>
              <w:widowControl/>
              <w:rPr>
                <w:color w:val="000000"/>
                <w:kern w:val="0"/>
                <w:sz w:val="24"/>
              </w:rPr>
            </w:pPr>
            <w:r>
              <w:rPr>
                <w:color w:val="000000"/>
                <w:kern w:val="0"/>
                <w:sz w:val="24"/>
              </w:rPr>
              <w:t>宝钢湛江钢铁有限公司</w:t>
            </w:r>
          </w:p>
        </w:tc>
        <w:tc>
          <w:tcPr>
            <w:tcW w:w="1361" w:type="dxa"/>
            <w:tcBorders>
              <w:top w:val="nil"/>
              <w:left w:val="nil"/>
              <w:bottom w:val="single" w:color="auto" w:sz="4" w:space="0"/>
              <w:right w:val="single" w:color="auto" w:sz="4" w:space="0"/>
            </w:tcBorders>
            <w:noWrap/>
            <w:vAlign w:val="center"/>
          </w:tcPr>
          <w:p>
            <w:pPr>
              <w:widowControl/>
              <w:jc w:val="center"/>
              <w:rPr>
                <w:color w:val="000000"/>
                <w:kern w:val="0"/>
                <w:sz w:val="24"/>
              </w:rPr>
            </w:pPr>
            <w:r>
              <w:rPr>
                <w:kern w:val="0"/>
                <w:sz w:val="24"/>
              </w:rPr>
              <w:t>开发区</w:t>
            </w:r>
          </w:p>
        </w:tc>
        <w:tc>
          <w:tcPr>
            <w:tcW w:w="1276"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2019</w:t>
            </w:r>
          </w:p>
        </w:tc>
        <w:tc>
          <w:tcPr>
            <w:tcW w:w="1417"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第一批</w:t>
            </w:r>
          </w:p>
        </w:tc>
      </w:tr>
      <w:tr>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jc w:val="center"/>
              <w:rPr>
                <w:color w:val="000000"/>
                <w:kern w:val="0"/>
                <w:sz w:val="24"/>
              </w:rPr>
            </w:pPr>
            <w:r>
              <w:rPr>
                <w:color w:val="000000"/>
                <w:kern w:val="0"/>
                <w:sz w:val="24"/>
              </w:rPr>
              <w:t>3</w:t>
            </w:r>
          </w:p>
        </w:tc>
        <w:tc>
          <w:tcPr>
            <w:tcW w:w="4395" w:type="dxa"/>
            <w:tcBorders>
              <w:top w:val="nil"/>
              <w:left w:val="nil"/>
              <w:bottom w:val="single" w:color="auto" w:sz="4" w:space="0"/>
              <w:right w:val="single" w:color="auto" w:sz="4" w:space="0"/>
            </w:tcBorders>
            <w:noWrap/>
            <w:vAlign w:val="center"/>
          </w:tcPr>
          <w:p>
            <w:pPr>
              <w:widowControl/>
              <w:rPr>
                <w:color w:val="000000"/>
                <w:kern w:val="0"/>
                <w:sz w:val="24"/>
              </w:rPr>
            </w:pPr>
            <w:r>
              <w:rPr>
                <w:color w:val="000000"/>
                <w:kern w:val="0"/>
                <w:sz w:val="24"/>
              </w:rPr>
              <w:t>中国石化湛江东兴石油化工有限公司</w:t>
            </w:r>
          </w:p>
        </w:tc>
        <w:tc>
          <w:tcPr>
            <w:tcW w:w="1361"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霞山区</w:t>
            </w:r>
          </w:p>
        </w:tc>
        <w:tc>
          <w:tcPr>
            <w:tcW w:w="1276"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2019</w:t>
            </w:r>
          </w:p>
        </w:tc>
        <w:tc>
          <w:tcPr>
            <w:tcW w:w="1417"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jc w:val="center"/>
              <w:rPr>
                <w:color w:val="000000"/>
                <w:kern w:val="0"/>
                <w:sz w:val="24"/>
              </w:rPr>
            </w:pPr>
            <w:r>
              <w:rPr>
                <w:color w:val="000000"/>
                <w:kern w:val="0"/>
                <w:sz w:val="24"/>
              </w:rPr>
              <w:t>4</w:t>
            </w:r>
          </w:p>
        </w:tc>
        <w:tc>
          <w:tcPr>
            <w:tcW w:w="4395" w:type="dxa"/>
            <w:tcBorders>
              <w:top w:val="nil"/>
              <w:left w:val="nil"/>
              <w:bottom w:val="single" w:color="auto" w:sz="4" w:space="0"/>
              <w:right w:val="single" w:color="auto" w:sz="4" w:space="0"/>
            </w:tcBorders>
            <w:noWrap/>
            <w:vAlign w:val="center"/>
          </w:tcPr>
          <w:p>
            <w:pPr>
              <w:widowControl/>
              <w:rPr>
                <w:color w:val="000000"/>
                <w:kern w:val="0"/>
                <w:sz w:val="24"/>
              </w:rPr>
            </w:pPr>
            <w:r>
              <w:rPr>
                <w:color w:val="000000"/>
                <w:kern w:val="0"/>
                <w:sz w:val="24"/>
              </w:rPr>
              <w:t>湛江新中美化工有限公司</w:t>
            </w:r>
          </w:p>
        </w:tc>
        <w:tc>
          <w:tcPr>
            <w:tcW w:w="1361"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霞山区</w:t>
            </w:r>
          </w:p>
        </w:tc>
        <w:tc>
          <w:tcPr>
            <w:tcW w:w="1276"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2019</w:t>
            </w:r>
          </w:p>
        </w:tc>
        <w:tc>
          <w:tcPr>
            <w:tcW w:w="1417"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第一批</w:t>
            </w:r>
          </w:p>
        </w:tc>
      </w:tr>
      <w:tr>
        <w:tblPrEx>
          <w:tblCellMar>
            <w:top w:w="0" w:type="dxa"/>
            <w:left w:w="108" w:type="dxa"/>
            <w:bottom w:w="0" w:type="dxa"/>
            <w:right w:w="108" w:type="dxa"/>
          </w:tblCellMar>
        </w:tblPrEx>
        <w:trPr>
          <w:gridBefore w:val="1"/>
          <w:wBefore w:w="38" w:type="dxa"/>
          <w:trHeight w:val="115"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jc w:val="center"/>
              <w:rPr>
                <w:color w:val="000000"/>
                <w:kern w:val="0"/>
                <w:sz w:val="24"/>
              </w:rPr>
            </w:pPr>
            <w:r>
              <w:rPr>
                <w:color w:val="000000"/>
                <w:kern w:val="0"/>
                <w:sz w:val="24"/>
              </w:rPr>
              <w:t>5</w:t>
            </w:r>
          </w:p>
        </w:tc>
        <w:tc>
          <w:tcPr>
            <w:tcW w:w="4395" w:type="dxa"/>
            <w:tcBorders>
              <w:top w:val="nil"/>
              <w:left w:val="nil"/>
              <w:bottom w:val="single" w:color="auto" w:sz="4" w:space="0"/>
              <w:right w:val="single" w:color="auto" w:sz="4" w:space="0"/>
            </w:tcBorders>
            <w:noWrap/>
            <w:vAlign w:val="center"/>
          </w:tcPr>
          <w:p>
            <w:pPr>
              <w:widowControl/>
              <w:rPr>
                <w:color w:val="000000"/>
                <w:kern w:val="0"/>
                <w:sz w:val="24"/>
              </w:rPr>
            </w:pPr>
            <w:r>
              <w:rPr>
                <w:color w:val="000000"/>
                <w:kern w:val="0"/>
                <w:sz w:val="24"/>
              </w:rPr>
              <w:t>广东湛化集团有限公司</w:t>
            </w:r>
          </w:p>
        </w:tc>
        <w:tc>
          <w:tcPr>
            <w:tcW w:w="1361"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霞山区</w:t>
            </w:r>
          </w:p>
        </w:tc>
        <w:tc>
          <w:tcPr>
            <w:tcW w:w="1276"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2019</w:t>
            </w:r>
          </w:p>
        </w:tc>
        <w:tc>
          <w:tcPr>
            <w:tcW w:w="1417"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第一批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nil"/>
              <w:left w:val="single" w:color="auto" w:sz="4" w:space="0"/>
              <w:bottom w:val="single" w:color="auto" w:sz="4" w:space="0"/>
              <w:right w:val="single" w:color="auto" w:sz="4" w:space="0"/>
            </w:tcBorders>
            <w:noWrap/>
            <w:vAlign w:val="center"/>
          </w:tcPr>
          <w:p>
            <w:pPr>
              <w:widowControl/>
              <w:jc w:val="center"/>
              <w:rPr>
                <w:color w:val="000000"/>
                <w:kern w:val="0"/>
                <w:sz w:val="24"/>
              </w:rPr>
            </w:pPr>
            <w:r>
              <w:rPr>
                <w:color w:val="000000"/>
                <w:kern w:val="0"/>
                <w:sz w:val="24"/>
              </w:rPr>
              <w:t>6</w:t>
            </w:r>
          </w:p>
        </w:tc>
        <w:tc>
          <w:tcPr>
            <w:tcW w:w="4395" w:type="dxa"/>
            <w:tcBorders>
              <w:top w:val="nil"/>
              <w:left w:val="nil"/>
              <w:bottom w:val="single" w:color="auto" w:sz="4" w:space="0"/>
              <w:right w:val="single" w:color="auto" w:sz="4" w:space="0"/>
            </w:tcBorders>
            <w:noWrap/>
            <w:vAlign w:val="center"/>
          </w:tcPr>
          <w:p>
            <w:pPr>
              <w:widowControl/>
              <w:rPr>
                <w:color w:val="000000"/>
                <w:kern w:val="0"/>
                <w:sz w:val="24"/>
              </w:rPr>
            </w:pPr>
            <w:r>
              <w:rPr>
                <w:color w:val="000000"/>
                <w:kern w:val="0"/>
                <w:sz w:val="24"/>
              </w:rPr>
              <w:t>湛江晨鸣浆纸有限公司</w:t>
            </w:r>
          </w:p>
        </w:tc>
        <w:tc>
          <w:tcPr>
            <w:tcW w:w="1361"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麻章区</w:t>
            </w:r>
          </w:p>
        </w:tc>
        <w:tc>
          <w:tcPr>
            <w:tcW w:w="1276"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2019</w:t>
            </w:r>
          </w:p>
        </w:tc>
        <w:tc>
          <w:tcPr>
            <w:tcW w:w="1417" w:type="dxa"/>
            <w:tcBorders>
              <w:top w:val="nil"/>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第一批</w:t>
            </w:r>
          </w:p>
        </w:tc>
      </w:tr>
      <w:tr>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7</w:t>
            </w:r>
          </w:p>
        </w:tc>
        <w:tc>
          <w:tcPr>
            <w:tcW w:w="4395" w:type="dxa"/>
            <w:tcBorders>
              <w:top w:val="single" w:color="auto" w:sz="4" w:space="0"/>
              <w:left w:val="nil"/>
              <w:bottom w:val="single" w:color="auto" w:sz="4" w:space="0"/>
              <w:right w:val="single" w:color="auto" w:sz="4" w:space="0"/>
            </w:tcBorders>
            <w:noWrap/>
            <w:vAlign w:val="center"/>
          </w:tcPr>
          <w:p>
            <w:pPr>
              <w:widowControl/>
              <w:rPr>
                <w:sz w:val="24"/>
              </w:rPr>
            </w:pPr>
            <w:r>
              <w:rPr>
                <w:sz w:val="24"/>
              </w:rPr>
              <w:t>湛江港石化码头有限责任公司</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sz w:val="24"/>
              </w:rPr>
            </w:pPr>
            <w:r>
              <w:rPr>
                <w:sz w:val="24"/>
              </w:rPr>
              <w:t>霞山区</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第二批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8</w:t>
            </w:r>
          </w:p>
        </w:tc>
        <w:tc>
          <w:tcPr>
            <w:tcW w:w="4395" w:type="dxa"/>
            <w:tcBorders>
              <w:top w:val="single" w:color="auto" w:sz="4" w:space="0"/>
              <w:left w:val="nil"/>
              <w:bottom w:val="single" w:color="auto" w:sz="4" w:space="0"/>
              <w:right w:val="single" w:color="auto" w:sz="4" w:space="0"/>
            </w:tcBorders>
            <w:noWrap/>
            <w:vAlign w:val="center"/>
          </w:tcPr>
          <w:p>
            <w:pPr>
              <w:widowControl/>
              <w:rPr>
                <w:sz w:val="24"/>
              </w:rPr>
            </w:pPr>
            <w:r>
              <w:rPr>
                <w:sz w:val="24"/>
              </w:rPr>
              <w:t>湛江港（集团）股份有限公司第一分公司</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sz w:val="24"/>
              </w:rPr>
            </w:pPr>
            <w:r>
              <w:rPr>
                <w:sz w:val="24"/>
              </w:rPr>
              <w:t>霞山区</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jc w:val="center"/>
              <w:rPr>
                <w:sz w:val="24"/>
              </w:rPr>
            </w:pPr>
            <w:r>
              <w:rPr>
                <w:color w:val="000000"/>
                <w:kern w:val="0"/>
                <w:sz w:val="24"/>
              </w:rPr>
              <w:t>第二批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9</w:t>
            </w:r>
          </w:p>
        </w:tc>
        <w:tc>
          <w:tcPr>
            <w:tcW w:w="4395" w:type="dxa"/>
            <w:tcBorders>
              <w:top w:val="single" w:color="auto" w:sz="4" w:space="0"/>
              <w:left w:val="nil"/>
              <w:bottom w:val="single" w:color="auto" w:sz="4" w:space="0"/>
              <w:right w:val="single" w:color="auto" w:sz="4" w:space="0"/>
            </w:tcBorders>
            <w:noWrap/>
            <w:vAlign w:val="center"/>
          </w:tcPr>
          <w:p>
            <w:pPr>
              <w:widowControl/>
              <w:rPr>
                <w:sz w:val="24"/>
              </w:rPr>
            </w:pPr>
            <w:r>
              <w:rPr>
                <w:sz w:val="24"/>
              </w:rPr>
              <w:t>湛江电力有限公司</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sz w:val="24"/>
              </w:rPr>
            </w:pPr>
            <w:r>
              <w:rPr>
                <w:sz w:val="24"/>
              </w:rPr>
              <w:t>赤坎区</w:t>
            </w:r>
          </w:p>
        </w:tc>
        <w:tc>
          <w:tcPr>
            <w:tcW w:w="1276" w:type="dxa"/>
            <w:tcBorders>
              <w:top w:val="single" w:color="auto" w:sz="4" w:space="0"/>
              <w:left w:val="nil"/>
              <w:bottom w:val="single" w:color="auto" w:sz="4" w:space="0"/>
              <w:right w:val="single" w:color="auto" w:sz="4" w:space="0"/>
            </w:tcBorders>
            <w:noWrap/>
            <w:vAlign w:val="center"/>
          </w:tcPr>
          <w:p>
            <w:pPr>
              <w:jc w:val="center"/>
              <w:rPr>
                <w:sz w:val="24"/>
              </w:rPr>
            </w:pPr>
            <w:r>
              <w:rPr>
                <w:color w:val="000000"/>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jc w:val="center"/>
              <w:rPr>
                <w:sz w:val="24"/>
              </w:rPr>
            </w:pPr>
            <w:r>
              <w:rPr>
                <w:color w:val="000000"/>
                <w:kern w:val="0"/>
                <w:sz w:val="24"/>
              </w:rPr>
              <w:t>第二批</w:t>
            </w:r>
          </w:p>
        </w:tc>
      </w:tr>
      <w:tr>
        <w:tblPrEx>
          <w:tblCellMar>
            <w:top w:w="0" w:type="dxa"/>
            <w:left w:w="108" w:type="dxa"/>
            <w:bottom w:w="0" w:type="dxa"/>
            <w:right w:w="108" w:type="dxa"/>
          </w:tblCellMar>
        </w:tblPrEx>
        <w:trPr>
          <w:gridBefore w:val="1"/>
          <w:wBefore w:w="38" w:type="dxa"/>
          <w:trHeight w:val="356"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10</w:t>
            </w:r>
          </w:p>
        </w:tc>
        <w:tc>
          <w:tcPr>
            <w:tcW w:w="4395" w:type="dxa"/>
            <w:tcBorders>
              <w:top w:val="single" w:color="auto" w:sz="4" w:space="0"/>
              <w:left w:val="nil"/>
              <w:bottom w:val="single" w:color="auto" w:sz="4" w:space="0"/>
              <w:right w:val="single" w:color="auto" w:sz="4" w:space="0"/>
            </w:tcBorders>
            <w:noWrap/>
            <w:vAlign w:val="center"/>
          </w:tcPr>
          <w:p>
            <w:pPr>
              <w:widowControl/>
              <w:rPr>
                <w:sz w:val="24"/>
              </w:rPr>
            </w:pPr>
            <w:r>
              <w:rPr>
                <w:sz w:val="24"/>
              </w:rPr>
              <w:t>湛江港（集团）股份有限公司第三分公司</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sz w:val="24"/>
              </w:rPr>
            </w:pPr>
            <w:r>
              <w:rPr>
                <w:sz w:val="24"/>
              </w:rPr>
              <w:t>赤坎区</w:t>
            </w:r>
          </w:p>
        </w:tc>
        <w:tc>
          <w:tcPr>
            <w:tcW w:w="1276" w:type="dxa"/>
            <w:tcBorders>
              <w:top w:val="single" w:color="auto" w:sz="4" w:space="0"/>
              <w:left w:val="nil"/>
              <w:bottom w:val="single" w:color="auto" w:sz="4" w:space="0"/>
              <w:right w:val="single" w:color="auto" w:sz="4" w:space="0"/>
            </w:tcBorders>
            <w:noWrap/>
            <w:vAlign w:val="center"/>
          </w:tcPr>
          <w:p>
            <w:pPr>
              <w:jc w:val="center"/>
              <w:rPr>
                <w:sz w:val="24"/>
              </w:rPr>
            </w:pPr>
            <w:r>
              <w:rPr>
                <w:color w:val="000000"/>
                <w:kern w:val="0"/>
                <w:sz w:val="24"/>
              </w:rPr>
              <w:t>2021</w:t>
            </w:r>
          </w:p>
        </w:tc>
        <w:tc>
          <w:tcPr>
            <w:tcW w:w="1417" w:type="dxa"/>
            <w:tcBorders>
              <w:top w:val="single" w:color="auto" w:sz="4" w:space="0"/>
              <w:left w:val="nil"/>
              <w:bottom w:val="single" w:color="auto" w:sz="4" w:space="0"/>
              <w:right w:val="single" w:color="auto" w:sz="4" w:space="0"/>
            </w:tcBorders>
            <w:noWrap/>
            <w:vAlign w:val="center"/>
          </w:tcPr>
          <w:p>
            <w:pPr>
              <w:jc w:val="center"/>
              <w:rPr>
                <w:sz w:val="24"/>
              </w:rPr>
            </w:pPr>
            <w:r>
              <w:rPr>
                <w:color w:val="000000"/>
                <w:kern w:val="0"/>
                <w:sz w:val="24"/>
              </w:rPr>
              <w:t>第二批</w:t>
            </w:r>
          </w:p>
        </w:tc>
      </w:tr>
      <w:tr>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11</w:t>
            </w:r>
          </w:p>
        </w:tc>
        <w:tc>
          <w:tcPr>
            <w:tcW w:w="4395" w:type="dxa"/>
            <w:tcBorders>
              <w:top w:val="single" w:color="auto" w:sz="4" w:space="0"/>
              <w:left w:val="nil"/>
              <w:bottom w:val="single" w:color="auto" w:sz="4" w:space="0"/>
              <w:right w:val="single" w:color="auto" w:sz="4" w:space="0"/>
            </w:tcBorders>
            <w:noWrap/>
            <w:vAlign w:val="center"/>
          </w:tcPr>
          <w:p>
            <w:pPr>
              <w:widowControl/>
              <w:rPr>
                <w:color w:val="000000"/>
                <w:kern w:val="0"/>
                <w:sz w:val="24"/>
              </w:rPr>
            </w:pPr>
            <w:r>
              <w:rPr>
                <w:color w:val="000000"/>
                <w:kern w:val="0"/>
                <w:sz w:val="24"/>
              </w:rPr>
              <w:t>湛江中冠石油化工有限公司</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kern w:val="0"/>
                <w:sz w:val="24"/>
              </w:rPr>
            </w:pPr>
            <w:r>
              <w:rPr>
                <w:kern w:val="0"/>
                <w:sz w:val="24"/>
              </w:rPr>
              <w:t>霞山区</w:t>
            </w:r>
          </w:p>
        </w:tc>
        <w:tc>
          <w:tcPr>
            <w:tcW w:w="1276" w:type="dxa"/>
            <w:tcBorders>
              <w:top w:val="single" w:color="auto" w:sz="4" w:space="0"/>
              <w:left w:val="nil"/>
              <w:bottom w:val="single" w:color="auto" w:sz="4" w:space="0"/>
              <w:right w:val="single" w:color="auto" w:sz="4" w:space="0"/>
            </w:tcBorders>
            <w:noWrap/>
            <w:vAlign w:val="center"/>
          </w:tcPr>
          <w:p>
            <w:pPr>
              <w:jc w:val="center"/>
              <w:rPr>
                <w:color w:val="000000"/>
                <w:kern w:val="0"/>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vAlign w:val="center"/>
          </w:tcPr>
          <w:p>
            <w:pPr>
              <w:jc w:val="center"/>
              <w:rPr>
                <w:color w:val="000000"/>
                <w:kern w:val="0"/>
                <w:sz w:val="24"/>
              </w:rPr>
            </w:pPr>
            <w:r>
              <w:rPr>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12</w:t>
            </w:r>
          </w:p>
        </w:tc>
        <w:tc>
          <w:tcPr>
            <w:tcW w:w="4395" w:type="dxa"/>
            <w:tcBorders>
              <w:top w:val="single" w:color="auto" w:sz="4" w:space="0"/>
              <w:left w:val="nil"/>
              <w:bottom w:val="single" w:color="auto" w:sz="4" w:space="0"/>
              <w:right w:val="single" w:color="auto" w:sz="4" w:space="0"/>
            </w:tcBorders>
            <w:noWrap/>
            <w:vAlign w:val="center"/>
          </w:tcPr>
          <w:p>
            <w:pPr>
              <w:widowControl/>
              <w:rPr>
                <w:color w:val="000000"/>
                <w:kern w:val="0"/>
                <w:sz w:val="24"/>
              </w:rPr>
            </w:pPr>
            <w:r>
              <w:rPr>
                <w:color w:val="000000"/>
                <w:kern w:val="0"/>
                <w:sz w:val="24"/>
              </w:rPr>
              <w:t>中科(广东)炼化有限公司</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kern w:val="0"/>
                <w:sz w:val="24"/>
              </w:rPr>
            </w:pPr>
            <w:r>
              <w:rPr>
                <w:kern w:val="0"/>
                <w:sz w:val="24"/>
              </w:rPr>
              <w:t>开发区</w:t>
            </w:r>
          </w:p>
        </w:tc>
        <w:tc>
          <w:tcPr>
            <w:tcW w:w="1276"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13</w:t>
            </w:r>
          </w:p>
        </w:tc>
        <w:tc>
          <w:tcPr>
            <w:tcW w:w="4395" w:type="dxa"/>
            <w:tcBorders>
              <w:top w:val="single" w:color="auto" w:sz="4" w:space="0"/>
              <w:left w:val="nil"/>
              <w:bottom w:val="single" w:color="auto" w:sz="4" w:space="0"/>
              <w:right w:val="single" w:color="auto" w:sz="4" w:space="0"/>
            </w:tcBorders>
            <w:noWrap/>
            <w:vAlign w:val="center"/>
          </w:tcPr>
          <w:p>
            <w:pPr>
              <w:widowControl/>
              <w:rPr>
                <w:color w:val="000000"/>
                <w:kern w:val="0"/>
                <w:sz w:val="24"/>
              </w:rPr>
            </w:pPr>
            <w:r>
              <w:rPr>
                <w:color w:val="000000"/>
                <w:kern w:val="0"/>
                <w:sz w:val="24"/>
              </w:rPr>
              <w:t>宝钢化工湛江有限公司</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kern w:val="0"/>
                <w:sz w:val="24"/>
              </w:rPr>
            </w:pPr>
            <w:r>
              <w:rPr>
                <w:kern w:val="0"/>
                <w:sz w:val="24"/>
              </w:rPr>
              <w:t>开发区</w:t>
            </w:r>
          </w:p>
        </w:tc>
        <w:tc>
          <w:tcPr>
            <w:tcW w:w="1276"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14</w:t>
            </w:r>
          </w:p>
        </w:tc>
        <w:tc>
          <w:tcPr>
            <w:tcW w:w="4395" w:type="dxa"/>
            <w:tcBorders>
              <w:top w:val="single" w:color="auto" w:sz="4" w:space="0"/>
              <w:left w:val="nil"/>
              <w:bottom w:val="single" w:color="auto" w:sz="4" w:space="0"/>
              <w:right w:val="single" w:color="auto" w:sz="4" w:space="0"/>
            </w:tcBorders>
            <w:noWrap/>
            <w:vAlign w:val="center"/>
          </w:tcPr>
          <w:p>
            <w:pPr>
              <w:widowControl/>
              <w:rPr>
                <w:color w:val="000000"/>
                <w:kern w:val="0"/>
                <w:sz w:val="24"/>
              </w:rPr>
            </w:pPr>
            <w:r>
              <w:rPr>
                <w:color w:val="000000"/>
                <w:kern w:val="0"/>
                <w:sz w:val="24"/>
              </w:rPr>
              <w:t>喜利得（中国）有限公司</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kern w:val="0"/>
                <w:sz w:val="24"/>
              </w:rPr>
            </w:pPr>
            <w:r>
              <w:rPr>
                <w:kern w:val="0"/>
                <w:sz w:val="24"/>
              </w:rPr>
              <w:t>开发区</w:t>
            </w:r>
          </w:p>
        </w:tc>
        <w:tc>
          <w:tcPr>
            <w:tcW w:w="1276"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第三批</w:t>
            </w:r>
          </w:p>
        </w:tc>
      </w:tr>
      <w:tr>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15</w:t>
            </w:r>
          </w:p>
        </w:tc>
        <w:tc>
          <w:tcPr>
            <w:tcW w:w="4395" w:type="dxa"/>
            <w:tcBorders>
              <w:top w:val="single" w:color="auto" w:sz="4" w:space="0"/>
              <w:left w:val="nil"/>
              <w:bottom w:val="single" w:color="auto" w:sz="4" w:space="0"/>
              <w:right w:val="single" w:color="auto" w:sz="4" w:space="0"/>
            </w:tcBorders>
            <w:noWrap/>
            <w:vAlign w:val="center"/>
          </w:tcPr>
          <w:p>
            <w:pPr>
              <w:widowControl/>
              <w:rPr>
                <w:color w:val="000000"/>
                <w:kern w:val="0"/>
                <w:sz w:val="24"/>
              </w:rPr>
            </w:pPr>
            <w:r>
              <w:rPr>
                <w:color w:val="000000"/>
                <w:kern w:val="0"/>
                <w:sz w:val="24"/>
              </w:rPr>
              <w:t>湛江实华化工有限公司</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color w:val="000000"/>
                <w:kern w:val="0"/>
                <w:sz w:val="24"/>
              </w:rPr>
            </w:pPr>
            <w:r>
              <w:rPr>
                <w:color w:val="000000"/>
                <w:kern w:val="0"/>
                <w:sz w:val="24"/>
              </w:rPr>
              <w:t>开发区</w:t>
            </w:r>
          </w:p>
        </w:tc>
        <w:tc>
          <w:tcPr>
            <w:tcW w:w="1276"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16</w:t>
            </w:r>
          </w:p>
        </w:tc>
        <w:tc>
          <w:tcPr>
            <w:tcW w:w="4395" w:type="dxa"/>
            <w:tcBorders>
              <w:top w:val="single" w:color="auto" w:sz="4" w:space="0"/>
              <w:left w:val="nil"/>
              <w:bottom w:val="single" w:color="auto" w:sz="4" w:space="0"/>
              <w:right w:val="single" w:color="auto" w:sz="4" w:space="0"/>
            </w:tcBorders>
            <w:noWrap/>
            <w:vAlign w:val="center"/>
          </w:tcPr>
          <w:p>
            <w:pPr>
              <w:widowControl/>
              <w:rPr>
                <w:color w:val="000000"/>
                <w:kern w:val="0"/>
                <w:sz w:val="24"/>
              </w:rPr>
            </w:pPr>
            <w:r>
              <w:rPr>
                <w:color w:val="000000"/>
                <w:kern w:val="0"/>
                <w:sz w:val="24"/>
              </w:rPr>
              <w:t>廉江市美达尔化工有限公司</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kern w:val="0"/>
                <w:sz w:val="24"/>
              </w:rPr>
            </w:pPr>
            <w:r>
              <w:rPr>
                <w:kern w:val="0"/>
                <w:sz w:val="24"/>
              </w:rPr>
              <w:t>廉江市</w:t>
            </w:r>
          </w:p>
        </w:tc>
        <w:tc>
          <w:tcPr>
            <w:tcW w:w="1276"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17</w:t>
            </w:r>
          </w:p>
        </w:tc>
        <w:tc>
          <w:tcPr>
            <w:tcW w:w="4395" w:type="dxa"/>
            <w:tcBorders>
              <w:top w:val="single" w:color="auto" w:sz="4" w:space="0"/>
              <w:left w:val="nil"/>
              <w:bottom w:val="single" w:color="auto" w:sz="4" w:space="0"/>
              <w:right w:val="single" w:color="auto" w:sz="4" w:space="0"/>
            </w:tcBorders>
            <w:noWrap/>
            <w:vAlign w:val="center"/>
          </w:tcPr>
          <w:p>
            <w:pPr>
              <w:widowControl/>
              <w:rPr>
                <w:color w:val="000000"/>
                <w:kern w:val="0"/>
                <w:sz w:val="24"/>
              </w:rPr>
            </w:pPr>
            <w:r>
              <w:rPr>
                <w:color w:val="000000"/>
                <w:kern w:val="0"/>
                <w:sz w:val="24"/>
              </w:rPr>
              <w:t>广东湛美实业有限公司</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kern w:val="0"/>
                <w:sz w:val="24"/>
              </w:rPr>
            </w:pPr>
            <w:r>
              <w:rPr>
                <w:kern w:val="0"/>
                <w:sz w:val="24"/>
              </w:rPr>
              <w:t>廉江市</w:t>
            </w:r>
          </w:p>
        </w:tc>
        <w:tc>
          <w:tcPr>
            <w:tcW w:w="1276"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18</w:t>
            </w:r>
          </w:p>
        </w:tc>
        <w:tc>
          <w:tcPr>
            <w:tcW w:w="4395" w:type="dxa"/>
            <w:tcBorders>
              <w:top w:val="single" w:color="auto" w:sz="4" w:space="0"/>
              <w:left w:val="nil"/>
              <w:bottom w:val="single" w:color="auto" w:sz="4" w:space="0"/>
              <w:right w:val="single" w:color="auto" w:sz="4" w:space="0"/>
            </w:tcBorders>
            <w:noWrap/>
            <w:vAlign w:val="center"/>
          </w:tcPr>
          <w:p>
            <w:pPr>
              <w:widowControl/>
              <w:rPr>
                <w:color w:val="000000"/>
                <w:kern w:val="0"/>
                <w:sz w:val="24"/>
              </w:rPr>
            </w:pPr>
            <w:r>
              <w:rPr>
                <w:color w:val="000000"/>
                <w:kern w:val="0"/>
                <w:sz w:val="24"/>
              </w:rPr>
              <w:t>吴川市新宇航五金加工厂</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kern w:val="0"/>
                <w:sz w:val="24"/>
              </w:rPr>
            </w:pPr>
            <w:r>
              <w:rPr>
                <w:kern w:val="0"/>
                <w:sz w:val="24"/>
              </w:rPr>
              <w:t>吴川市</w:t>
            </w:r>
          </w:p>
        </w:tc>
        <w:tc>
          <w:tcPr>
            <w:tcW w:w="1276"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第三批</w:t>
            </w:r>
          </w:p>
        </w:tc>
      </w:tr>
      <w:tr>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19</w:t>
            </w:r>
          </w:p>
        </w:tc>
        <w:tc>
          <w:tcPr>
            <w:tcW w:w="4395" w:type="dxa"/>
            <w:tcBorders>
              <w:top w:val="single" w:color="auto" w:sz="4" w:space="0"/>
              <w:left w:val="nil"/>
              <w:bottom w:val="single" w:color="auto" w:sz="4" w:space="0"/>
              <w:right w:val="single" w:color="auto" w:sz="4" w:space="0"/>
            </w:tcBorders>
            <w:noWrap/>
            <w:vAlign w:val="center"/>
          </w:tcPr>
          <w:p>
            <w:pPr>
              <w:widowControl/>
              <w:rPr>
                <w:color w:val="000000"/>
                <w:kern w:val="0"/>
                <w:sz w:val="24"/>
              </w:rPr>
            </w:pPr>
            <w:r>
              <w:rPr>
                <w:color w:val="000000"/>
                <w:kern w:val="0"/>
                <w:sz w:val="24"/>
              </w:rPr>
              <w:t>湛江市粤绿环保科技有限公司</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kern w:val="0"/>
                <w:sz w:val="24"/>
              </w:rPr>
            </w:pPr>
            <w:r>
              <w:rPr>
                <w:kern w:val="0"/>
                <w:sz w:val="24"/>
              </w:rPr>
              <w:t>遂溪县</w:t>
            </w:r>
          </w:p>
        </w:tc>
        <w:tc>
          <w:tcPr>
            <w:tcW w:w="1276"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第三批</w:t>
            </w:r>
          </w:p>
        </w:tc>
      </w:tr>
      <w:tr>
        <w:tblPrEx>
          <w:tblCellMar>
            <w:top w:w="0" w:type="dxa"/>
            <w:left w:w="108" w:type="dxa"/>
            <w:bottom w:w="0" w:type="dxa"/>
            <w:right w:w="108" w:type="dxa"/>
          </w:tblCellMar>
        </w:tblPrEx>
        <w:trPr>
          <w:trHeight w:val="356" w:hRule="atLeast"/>
          <w:jc w:val="center"/>
        </w:trPr>
        <w:tc>
          <w:tcPr>
            <w:tcW w:w="76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sz w:val="24"/>
              </w:rPr>
            </w:pPr>
            <w:r>
              <w:rPr>
                <w:sz w:val="24"/>
              </w:rPr>
              <w:t>20</w:t>
            </w:r>
          </w:p>
        </w:tc>
        <w:tc>
          <w:tcPr>
            <w:tcW w:w="4395" w:type="dxa"/>
            <w:tcBorders>
              <w:top w:val="single" w:color="auto" w:sz="4" w:space="0"/>
              <w:left w:val="nil"/>
              <w:bottom w:val="single" w:color="auto" w:sz="4" w:space="0"/>
              <w:right w:val="single" w:color="auto" w:sz="4" w:space="0"/>
            </w:tcBorders>
            <w:noWrap/>
            <w:vAlign w:val="center"/>
          </w:tcPr>
          <w:p>
            <w:pPr>
              <w:widowControl/>
              <w:rPr>
                <w:color w:val="000000"/>
                <w:kern w:val="0"/>
                <w:sz w:val="24"/>
              </w:rPr>
            </w:pPr>
            <w:r>
              <w:rPr>
                <w:color w:val="000000"/>
                <w:kern w:val="0"/>
                <w:sz w:val="24"/>
              </w:rPr>
              <w:t>广东省湛江市甘丰农药厂</w:t>
            </w:r>
          </w:p>
        </w:tc>
        <w:tc>
          <w:tcPr>
            <w:tcW w:w="1361" w:type="dxa"/>
            <w:tcBorders>
              <w:top w:val="single" w:color="auto" w:sz="4" w:space="0"/>
              <w:left w:val="nil"/>
              <w:bottom w:val="single" w:color="auto" w:sz="4" w:space="0"/>
              <w:right w:val="single" w:color="auto" w:sz="4" w:space="0"/>
            </w:tcBorders>
            <w:noWrap/>
            <w:vAlign w:val="center"/>
          </w:tcPr>
          <w:p>
            <w:pPr>
              <w:widowControl/>
              <w:jc w:val="center"/>
              <w:rPr>
                <w:kern w:val="0"/>
                <w:sz w:val="24"/>
              </w:rPr>
            </w:pPr>
            <w:r>
              <w:rPr>
                <w:kern w:val="0"/>
                <w:sz w:val="24"/>
              </w:rPr>
              <w:t>遂溪县</w:t>
            </w:r>
          </w:p>
        </w:tc>
        <w:tc>
          <w:tcPr>
            <w:tcW w:w="1276"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2022</w:t>
            </w:r>
          </w:p>
        </w:tc>
        <w:tc>
          <w:tcPr>
            <w:tcW w:w="1417" w:type="dxa"/>
            <w:tcBorders>
              <w:top w:val="single" w:color="auto" w:sz="4" w:space="0"/>
              <w:left w:val="nil"/>
              <w:bottom w:val="single" w:color="auto" w:sz="4" w:space="0"/>
              <w:right w:val="single" w:color="auto" w:sz="4" w:space="0"/>
            </w:tcBorders>
            <w:noWrap/>
          </w:tcPr>
          <w:p>
            <w:pPr>
              <w:jc w:val="center"/>
              <w:rPr>
                <w:sz w:val="24"/>
              </w:rPr>
            </w:pPr>
            <w:r>
              <w:rPr>
                <w:color w:val="000000"/>
                <w:kern w:val="0"/>
                <w:sz w:val="24"/>
              </w:rPr>
              <w:t>第三批</w:t>
            </w:r>
          </w:p>
        </w:tc>
      </w:tr>
    </w:tbl>
    <w:p>
      <w:pPr>
        <w:jc w:val="left"/>
      </w:pPr>
      <w:r>
        <w:rPr>
          <w:color w:val="000000"/>
          <w:kern w:val="0"/>
          <w:sz w:val="21"/>
          <w:szCs w:val="21"/>
          <w:lang w:bidi="ar"/>
        </w:rPr>
        <w:t>备注：土壤污染重点监管单位名录每年更新</w:t>
      </w:r>
      <w:bookmarkEnd w:id="37"/>
    </w:p>
    <w:bookmarkEnd w:id="38"/>
    <w:p>
      <w:pPr>
        <w:widowControl/>
        <w:adjustRightInd w:val="0"/>
        <w:snapToGrid w:val="0"/>
        <w:rPr>
          <w:rFonts w:eastAsia="楷体_GB2312"/>
          <w:color w:val="000000"/>
          <w:kern w:val="0"/>
          <w:sz w:val="24"/>
        </w:rPr>
      </w:pPr>
    </w:p>
    <w:sectPr>
      <w:pgSz w:w="11906" w:h="16838"/>
      <w:pgMar w:top="1440" w:right="1800" w:bottom="1440" w:left="180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1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script"/>
    <w:pitch w:val="default"/>
    <w:sig w:usb0="A00002BF" w:usb1="184F6CFA" w:usb2="00000012" w:usb3="00000000" w:csb0="00040001" w:csb1="00000000"/>
  </w:font>
  <w:font w:name="等线 Light">
    <w:altName w:val="汉仪中圆B5"/>
    <w:panose1 w:val="02010600030101010101"/>
    <w:charset w:val="86"/>
    <w:family w:val="auto"/>
    <w:pitch w:val="default"/>
    <w:sig w:usb0="00000000" w:usb1="00000000" w:usb2="00000016" w:usb3="00000000" w:csb0="0004000F" w:csb1="00000000"/>
  </w:font>
  <w:font w:name="楷体_GB2312">
    <w:altName w:val="方正楷体_GBK"/>
    <w:panose1 w:val="02010609030101010101"/>
    <w:charset w:val="86"/>
    <w:family w:val="modern"/>
    <w:pitch w:val="default"/>
    <w:sig w:usb0="00000000" w:usb1="00000000" w:usb2="0000001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等线 Light">
    <w:altName w:val="汉仪仿宋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8041468"/>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0331365"/>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684B1D"/>
    <w:multiLevelType w:val="multilevel"/>
    <w:tmpl w:val="07684B1D"/>
    <w:lvl w:ilvl="0" w:tentative="0">
      <w:start w:val="1"/>
      <w:numFmt w:val="decimal"/>
      <w:suff w:val="nothing"/>
      <w:lvlText w:val="（%1）"/>
      <w:lvlJc w:val="left"/>
      <w:pPr>
        <w:ind w:left="1060" w:hanging="420"/>
      </w:pPr>
      <w:rPr>
        <w:rFonts w:hint="eastAsia" w:cs="Times New Roman"/>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19660787"/>
    <w:multiLevelType w:val="multilevel"/>
    <w:tmpl w:val="19660787"/>
    <w:lvl w:ilvl="0" w:tentative="0">
      <w:start w:val="1"/>
      <w:numFmt w:val="decimal"/>
      <w:suff w:val="nothing"/>
      <w:lvlText w:val="（%1）"/>
      <w:lvlJc w:val="left"/>
      <w:pPr>
        <w:ind w:left="1060" w:hanging="420"/>
      </w:pPr>
      <w:rPr>
        <w:rFonts w:hint="eastAsia" w:cs="Times New Roman"/>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1A902BC1"/>
    <w:multiLevelType w:val="multilevel"/>
    <w:tmpl w:val="1A902BC1"/>
    <w:lvl w:ilvl="0" w:tentative="0">
      <w:start w:val="1"/>
      <w:numFmt w:val="decimal"/>
      <w:suff w:val="nothing"/>
      <w:lvlText w:val="（%1）"/>
      <w:lvlJc w:val="left"/>
      <w:pPr>
        <w:ind w:left="1060" w:hanging="420"/>
      </w:pPr>
      <w:rPr>
        <w:rFonts w:hint="eastAsia" w:cs="Times New Roman"/>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1E997D96"/>
    <w:multiLevelType w:val="multilevel"/>
    <w:tmpl w:val="1E997D96"/>
    <w:lvl w:ilvl="0" w:tentative="0">
      <w:start w:val="1"/>
      <w:numFmt w:val="decimal"/>
      <w:suff w:val="nothing"/>
      <w:lvlText w:val="（%1）"/>
      <w:lvlJc w:val="left"/>
      <w:pPr>
        <w:ind w:left="1060" w:hanging="420"/>
      </w:pPr>
      <w:rPr>
        <w:rFonts w:hint="eastAsia" w:cs="Times New Roman"/>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1EF12A42"/>
    <w:multiLevelType w:val="multilevel"/>
    <w:tmpl w:val="1EF12A42"/>
    <w:lvl w:ilvl="0" w:tentative="0">
      <w:start w:val="1"/>
      <w:numFmt w:val="decimal"/>
      <w:suff w:val="nothing"/>
      <w:lvlText w:val="（%1）"/>
      <w:lvlJc w:val="left"/>
      <w:pPr>
        <w:ind w:left="1060" w:hanging="420"/>
      </w:pPr>
      <w:rPr>
        <w:rFonts w:hint="eastAsia" w:cs="Times New Roman"/>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217D71BF"/>
    <w:multiLevelType w:val="multilevel"/>
    <w:tmpl w:val="217D71BF"/>
    <w:lvl w:ilvl="0" w:tentative="0">
      <w:start w:val="1"/>
      <w:numFmt w:val="decimal"/>
      <w:suff w:val="nothing"/>
      <w:lvlText w:val="（%1）"/>
      <w:lvlJc w:val="left"/>
      <w:pPr>
        <w:ind w:left="1060" w:hanging="420"/>
      </w:pPr>
      <w:rPr>
        <w:rFonts w:hint="eastAsia" w:cs="Times New Roman"/>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2FE36119"/>
    <w:multiLevelType w:val="multilevel"/>
    <w:tmpl w:val="2FE36119"/>
    <w:lvl w:ilvl="0" w:tentative="0">
      <w:start w:val="1"/>
      <w:numFmt w:val="decimal"/>
      <w:suff w:val="nothing"/>
      <w:lvlText w:val="（%1）"/>
      <w:lvlJc w:val="left"/>
      <w:pPr>
        <w:ind w:left="1060" w:hanging="420"/>
      </w:pPr>
      <w:rPr>
        <w:rFonts w:hint="eastAsia" w:cs="Times New Roman"/>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3BF139B6"/>
    <w:multiLevelType w:val="multilevel"/>
    <w:tmpl w:val="3BF139B6"/>
    <w:lvl w:ilvl="0" w:tentative="0">
      <w:start w:val="1"/>
      <w:numFmt w:val="decimal"/>
      <w:lvlText w:val="%1"/>
      <w:lvlJc w:val="left"/>
      <w:pPr>
        <w:ind w:left="0" w:firstLine="0"/>
      </w:pPr>
      <w:rPr>
        <w:rFonts w:hint="eastAsia"/>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8">
    <w:nsid w:val="447B6DDE"/>
    <w:multiLevelType w:val="multilevel"/>
    <w:tmpl w:val="447B6DDE"/>
    <w:lvl w:ilvl="0" w:tentative="0">
      <w:start w:val="1"/>
      <w:numFmt w:val="decimal"/>
      <w:suff w:val="nothing"/>
      <w:lvlText w:val="（%1）"/>
      <w:lvlJc w:val="left"/>
      <w:pPr>
        <w:ind w:left="3255" w:hanging="420"/>
      </w:pPr>
      <w:rPr>
        <w:rFonts w:hint="eastAsia" w:cs="Times New Roman"/>
        <w:lang w:val="en-US"/>
      </w:rPr>
    </w:lvl>
    <w:lvl w:ilvl="1" w:tentative="0">
      <w:start w:val="1"/>
      <w:numFmt w:val="lowerLetter"/>
      <w:lvlText w:val="%2)"/>
      <w:lvlJc w:val="left"/>
      <w:pPr>
        <w:ind w:left="3675" w:hanging="420"/>
      </w:pPr>
    </w:lvl>
    <w:lvl w:ilvl="2" w:tentative="0">
      <w:start w:val="1"/>
      <w:numFmt w:val="lowerRoman"/>
      <w:lvlText w:val="%3."/>
      <w:lvlJc w:val="right"/>
      <w:pPr>
        <w:ind w:left="4095" w:hanging="420"/>
      </w:pPr>
    </w:lvl>
    <w:lvl w:ilvl="3" w:tentative="0">
      <w:start w:val="1"/>
      <w:numFmt w:val="decimal"/>
      <w:lvlText w:val="%4."/>
      <w:lvlJc w:val="left"/>
      <w:pPr>
        <w:ind w:left="4515" w:hanging="420"/>
      </w:pPr>
    </w:lvl>
    <w:lvl w:ilvl="4" w:tentative="0">
      <w:start w:val="1"/>
      <w:numFmt w:val="lowerLetter"/>
      <w:lvlText w:val="%5)"/>
      <w:lvlJc w:val="left"/>
      <w:pPr>
        <w:ind w:left="4935" w:hanging="420"/>
      </w:pPr>
    </w:lvl>
    <w:lvl w:ilvl="5" w:tentative="0">
      <w:start w:val="1"/>
      <w:numFmt w:val="lowerRoman"/>
      <w:lvlText w:val="%6."/>
      <w:lvlJc w:val="right"/>
      <w:pPr>
        <w:ind w:left="5355" w:hanging="420"/>
      </w:pPr>
    </w:lvl>
    <w:lvl w:ilvl="6" w:tentative="0">
      <w:start w:val="1"/>
      <w:numFmt w:val="decimal"/>
      <w:lvlText w:val="%7."/>
      <w:lvlJc w:val="left"/>
      <w:pPr>
        <w:ind w:left="5775" w:hanging="420"/>
      </w:pPr>
    </w:lvl>
    <w:lvl w:ilvl="7" w:tentative="0">
      <w:start w:val="1"/>
      <w:numFmt w:val="lowerLetter"/>
      <w:lvlText w:val="%8)"/>
      <w:lvlJc w:val="left"/>
      <w:pPr>
        <w:ind w:left="6195" w:hanging="420"/>
      </w:pPr>
    </w:lvl>
    <w:lvl w:ilvl="8" w:tentative="0">
      <w:start w:val="1"/>
      <w:numFmt w:val="lowerRoman"/>
      <w:lvlText w:val="%9."/>
      <w:lvlJc w:val="right"/>
      <w:pPr>
        <w:ind w:left="6615" w:hanging="420"/>
      </w:pPr>
    </w:lvl>
  </w:abstractNum>
  <w:abstractNum w:abstractNumId="9">
    <w:nsid w:val="4A195A92"/>
    <w:multiLevelType w:val="multilevel"/>
    <w:tmpl w:val="4A195A92"/>
    <w:lvl w:ilvl="0" w:tentative="0">
      <w:start w:val="1"/>
      <w:numFmt w:val="decimal"/>
      <w:suff w:val="nothing"/>
      <w:lvlText w:val="（%1）"/>
      <w:lvlJc w:val="left"/>
      <w:pPr>
        <w:ind w:left="1060" w:hanging="420"/>
      </w:pPr>
      <w:rPr>
        <w:rFonts w:hint="eastAsia" w:cs="Times New Roman"/>
        <w:lang w:val="en-US"/>
      </w:rPr>
    </w:lvl>
    <w:lvl w:ilvl="1" w:tentative="0">
      <w:start w:val="8"/>
      <w:numFmt w:val="decimal"/>
      <w:lvlText w:val="%2，"/>
      <w:lvlJc w:val="left"/>
      <w:pPr>
        <w:ind w:left="1780" w:hanging="720"/>
      </w:pPr>
      <w:rPr>
        <w:rFonts w:hint="default"/>
      </w:r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0">
    <w:nsid w:val="5E512320"/>
    <w:multiLevelType w:val="multilevel"/>
    <w:tmpl w:val="5E512320"/>
    <w:lvl w:ilvl="0" w:tentative="0">
      <w:start w:val="1"/>
      <w:numFmt w:val="decimal"/>
      <w:suff w:val="nothing"/>
      <w:lvlText w:val="（%1）"/>
      <w:lvlJc w:val="left"/>
      <w:pPr>
        <w:ind w:left="1060" w:hanging="420"/>
      </w:pPr>
      <w:rPr>
        <w:rFonts w:hint="eastAsia" w:cs="Times New Roman"/>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1">
    <w:nsid w:val="6B2A7EA6"/>
    <w:multiLevelType w:val="multilevel"/>
    <w:tmpl w:val="6B2A7EA6"/>
    <w:lvl w:ilvl="0" w:tentative="0">
      <w:start w:val="1"/>
      <w:numFmt w:val="decimal"/>
      <w:suff w:val="nothing"/>
      <w:lvlText w:val="（%1）"/>
      <w:lvlJc w:val="left"/>
      <w:pPr>
        <w:ind w:left="1060" w:hanging="420"/>
      </w:pPr>
      <w:rPr>
        <w:rFonts w:hint="eastAsia" w:cs="Times New Roman"/>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2">
    <w:nsid w:val="7F5D73B5"/>
    <w:multiLevelType w:val="multilevel"/>
    <w:tmpl w:val="7F5D73B5"/>
    <w:lvl w:ilvl="0" w:tentative="0">
      <w:start w:val="1"/>
      <w:numFmt w:val="decimal"/>
      <w:suff w:val="nothing"/>
      <w:lvlText w:val="（%1）"/>
      <w:lvlJc w:val="left"/>
      <w:pPr>
        <w:ind w:left="1060" w:hanging="420"/>
      </w:pPr>
      <w:rPr>
        <w:rFonts w:hint="eastAsia" w:cs="Times New Roman"/>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7"/>
  </w:num>
  <w:num w:numId="2">
    <w:abstractNumId w:val="11"/>
  </w:num>
  <w:num w:numId="3">
    <w:abstractNumId w:val="1"/>
  </w:num>
  <w:num w:numId="4">
    <w:abstractNumId w:val="2"/>
  </w:num>
  <w:num w:numId="5">
    <w:abstractNumId w:val="8"/>
  </w:num>
  <w:num w:numId="6">
    <w:abstractNumId w:val="0"/>
  </w:num>
  <w:num w:numId="7">
    <w:abstractNumId w:val="4"/>
  </w:num>
  <w:num w:numId="8">
    <w:abstractNumId w:val="6"/>
  </w:num>
  <w:num w:numId="9">
    <w:abstractNumId w:val="5"/>
  </w:num>
  <w:num w:numId="10">
    <w:abstractNumId w:val="3"/>
  </w:num>
  <w:num w:numId="11">
    <w:abstractNumId w:val="9"/>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1ZjgxNjEzYWFlNmI5MzM3ZTg2NjI5N2VhNGY3MDIifQ=="/>
  </w:docVars>
  <w:rsids>
    <w:rsidRoot w:val="00111970"/>
    <w:rsid w:val="00001DBA"/>
    <w:rsid w:val="000031F5"/>
    <w:rsid w:val="00004A8E"/>
    <w:rsid w:val="00011982"/>
    <w:rsid w:val="00014C4A"/>
    <w:rsid w:val="0001686E"/>
    <w:rsid w:val="00017CC4"/>
    <w:rsid w:val="00021225"/>
    <w:rsid w:val="00021EFC"/>
    <w:rsid w:val="00023D91"/>
    <w:rsid w:val="00045064"/>
    <w:rsid w:val="00051C21"/>
    <w:rsid w:val="000521F8"/>
    <w:rsid w:val="00057822"/>
    <w:rsid w:val="00070354"/>
    <w:rsid w:val="000757E4"/>
    <w:rsid w:val="00076F0E"/>
    <w:rsid w:val="0008059F"/>
    <w:rsid w:val="000839E2"/>
    <w:rsid w:val="00084CCB"/>
    <w:rsid w:val="000927B4"/>
    <w:rsid w:val="00095FB5"/>
    <w:rsid w:val="00097AC6"/>
    <w:rsid w:val="000A3DA3"/>
    <w:rsid w:val="000A515A"/>
    <w:rsid w:val="000A5A5D"/>
    <w:rsid w:val="000A5C5C"/>
    <w:rsid w:val="000B3048"/>
    <w:rsid w:val="000B547E"/>
    <w:rsid w:val="000B65BD"/>
    <w:rsid w:val="000C09F5"/>
    <w:rsid w:val="000C0BB6"/>
    <w:rsid w:val="000C14AB"/>
    <w:rsid w:val="000C1E5B"/>
    <w:rsid w:val="000C271C"/>
    <w:rsid w:val="000C2731"/>
    <w:rsid w:val="000C44C5"/>
    <w:rsid w:val="000C5A58"/>
    <w:rsid w:val="000D2828"/>
    <w:rsid w:val="000D4D72"/>
    <w:rsid w:val="000E047C"/>
    <w:rsid w:val="000E3646"/>
    <w:rsid w:val="000F3380"/>
    <w:rsid w:val="000F584B"/>
    <w:rsid w:val="000F5B7F"/>
    <w:rsid w:val="00101FBD"/>
    <w:rsid w:val="0010370F"/>
    <w:rsid w:val="00105E6E"/>
    <w:rsid w:val="001106FF"/>
    <w:rsid w:val="00111970"/>
    <w:rsid w:val="001151FD"/>
    <w:rsid w:val="00115A3C"/>
    <w:rsid w:val="00115CE1"/>
    <w:rsid w:val="00116ED9"/>
    <w:rsid w:val="00136D28"/>
    <w:rsid w:val="001436D1"/>
    <w:rsid w:val="0014684A"/>
    <w:rsid w:val="0015421E"/>
    <w:rsid w:val="001554B1"/>
    <w:rsid w:val="001569A2"/>
    <w:rsid w:val="001652B8"/>
    <w:rsid w:val="00165E47"/>
    <w:rsid w:val="001668A4"/>
    <w:rsid w:val="001713BB"/>
    <w:rsid w:val="00175B0E"/>
    <w:rsid w:val="0018339F"/>
    <w:rsid w:val="00187AE7"/>
    <w:rsid w:val="00195DC3"/>
    <w:rsid w:val="001A3A64"/>
    <w:rsid w:val="001A470E"/>
    <w:rsid w:val="001B07C7"/>
    <w:rsid w:val="001C1934"/>
    <w:rsid w:val="001C37A5"/>
    <w:rsid w:val="001C42B9"/>
    <w:rsid w:val="001D0983"/>
    <w:rsid w:val="001D287B"/>
    <w:rsid w:val="001E2747"/>
    <w:rsid w:val="001E4A99"/>
    <w:rsid w:val="001E6263"/>
    <w:rsid w:val="001E6966"/>
    <w:rsid w:val="001E73FD"/>
    <w:rsid w:val="001F0B24"/>
    <w:rsid w:val="001F339B"/>
    <w:rsid w:val="001F3533"/>
    <w:rsid w:val="001F44C0"/>
    <w:rsid w:val="001F591B"/>
    <w:rsid w:val="001F75B6"/>
    <w:rsid w:val="002053C9"/>
    <w:rsid w:val="00211A0D"/>
    <w:rsid w:val="00212B0A"/>
    <w:rsid w:val="002147B7"/>
    <w:rsid w:val="00215014"/>
    <w:rsid w:val="00215335"/>
    <w:rsid w:val="0022005D"/>
    <w:rsid w:val="00224FD8"/>
    <w:rsid w:val="00232D2C"/>
    <w:rsid w:val="00234665"/>
    <w:rsid w:val="00240EC0"/>
    <w:rsid w:val="002414DB"/>
    <w:rsid w:val="00241FA5"/>
    <w:rsid w:val="002442C2"/>
    <w:rsid w:val="002452E3"/>
    <w:rsid w:val="00246C19"/>
    <w:rsid w:val="00247E9C"/>
    <w:rsid w:val="002513E4"/>
    <w:rsid w:val="00251C39"/>
    <w:rsid w:val="00260432"/>
    <w:rsid w:val="00261813"/>
    <w:rsid w:val="00271A59"/>
    <w:rsid w:val="002728A9"/>
    <w:rsid w:val="00274132"/>
    <w:rsid w:val="00275741"/>
    <w:rsid w:val="00282222"/>
    <w:rsid w:val="00284843"/>
    <w:rsid w:val="00284E9E"/>
    <w:rsid w:val="00290D93"/>
    <w:rsid w:val="00295119"/>
    <w:rsid w:val="002A1D36"/>
    <w:rsid w:val="002A2C39"/>
    <w:rsid w:val="002A5182"/>
    <w:rsid w:val="002B453E"/>
    <w:rsid w:val="002B5F24"/>
    <w:rsid w:val="002C0FE3"/>
    <w:rsid w:val="002C54AF"/>
    <w:rsid w:val="002D3EA7"/>
    <w:rsid w:val="002E089F"/>
    <w:rsid w:val="002E1468"/>
    <w:rsid w:val="002F2D86"/>
    <w:rsid w:val="002F5369"/>
    <w:rsid w:val="002F60C5"/>
    <w:rsid w:val="00300E2D"/>
    <w:rsid w:val="00306D2A"/>
    <w:rsid w:val="00307AA8"/>
    <w:rsid w:val="003124AF"/>
    <w:rsid w:val="003157AC"/>
    <w:rsid w:val="00317C5C"/>
    <w:rsid w:val="003213C0"/>
    <w:rsid w:val="00324532"/>
    <w:rsid w:val="003338C3"/>
    <w:rsid w:val="00336F19"/>
    <w:rsid w:val="00340BD2"/>
    <w:rsid w:val="00347998"/>
    <w:rsid w:val="00351A9B"/>
    <w:rsid w:val="00352E9D"/>
    <w:rsid w:val="00353241"/>
    <w:rsid w:val="003550F1"/>
    <w:rsid w:val="00355F81"/>
    <w:rsid w:val="00357F4D"/>
    <w:rsid w:val="003608A1"/>
    <w:rsid w:val="00362AFE"/>
    <w:rsid w:val="00363855"/>
    <w:rsid w:val="003701B1"/>
    <w:rsid w:val="003733E8"/>
    <w:rsid w:val="00377F29"/>
    <w:rsid w:val="003812D0"/>
    <w:rsid w:val="00385F10"/>
    <w:rsid w:val="00390962"/>
    <w:rsid w:val="00392F09"/>
    <w:rsid w:val="00393812"/>
    <w:rsid w:val="00393DBB"/>
    <w:rsid w:val="00395DC6"/>
    <w:rsid w:val="003970F2"/>
    <w:rsid w:val="003B2F73"/>
    <w:rsid w:val="003B528A"/>
    <w:rsid w:val="003B7133"/>
    <w:rsid w:val="003C1850"/>
    <w:rsid w:val="003C360E"/>
    <w:rsid w:val="003C3BDA"/>
    <w:rsid w:val="003C45C9"/>
    <w:rsid w:val="003C60DF"/>
    <w:rsid w:val="003D5C65"/>
    <w:rsid w:val="003F338C"/>
    <w:rsid w:val="003F6D7F"/>
    <w:rsid w:val="004127CC"/>
    <w:rsid w:val="004169C7"/>
    <w:rsid w:val="004179F4"/>
    <w:rsid w:val="00422BCA"/>
    <w:rsid w:val="004268EA"/>
    <w:rsid w:val="00426FEB"/>
    <w:rsid w:val="004305DD"/>
    <w:rsid w:val="00431285"/>
    <w:rsid w:val="004325EE"/>
    <w:rsid w:val="00432D9F"/>
    <w:rsid w:val="00435861"/>
    <w:rsid w:val="0043678B"/>
    <w:rsid w:val="0043745E"/>
    <w:rsid w:val="004405C7"/>
    <w:rsid w:val="00441C3C"/>
    <w:rsid w:val="00444F3B"/>
    <w:rsid w:val="00446324"/>
    <w:rsid w:val="00451391"/>
    <w:rsid w:val="00453141"/>
    <w:rsid w:val="0045339C"/>
    <w:rsid w:val="004674E0"/>
    <w:rsid w:val="00475B18"/>
    <w:rsid w:val="00476303"/>
    <w:rsid w:val="004801B9"/>
    <w:rsid w:val="00480C7B"/>
    <w:rsid w:val="00481F78"/>
    <w:rsid w:val="00482E1B"/>
    <w:rsid w:val="00483116"/>
    <w:rsid w:val="00484A3D"/>
    <w:rsid w:val="00485DF3"/>
    <w:rsid w:val="004A048F"/>
    <w:rsid w:val="004A0989"/>
    <w:rsid w:val="004B2489"/>
    <w:rsid w:val="004B3211"/>
    <w:rsid w:val="004B5A41"/>
    <w:rsid w:val="004B79D2"/>
    <w:rsid w:val="004C042B"/>
    <w:rsid w:val="004C3AC8"/>
    <w:rsid w:val="004C50E2"/>
    <w:rsid w:val="004C6626"/>
    <w:rsid w:val="004D722F"/>
    <w:rsid w:val="004E6379"/>
    <w:rsid w:val="004F009E"/>
    <w:rsid w:val="004F1F44"/>
    <w:rsid w:val="004F3390"/>
    <w:rsid w:val="00501A92"/>
    <w:rsid w:val="00503A1B"/>
    <w:rsid w:val="00505604"/>
    <w:rsid w:val="00506A33"/>
    <w:rsid w:val="005129F7"/>
    <w:rsid w:val="00513052"/>
    <w:rsid w:val="005152BE"/>
    <w:rsid w:val="00527F76"/>
    <w:rsid w:val="0053137B"/>
    <w:rsid w:val="005318C5"/>
    <w:rsid w:val="00532AFB"/>
    <w:rsid w:val="005358F6"/>
    <w:rsid w:val="005406F6"/>
    <w:rsid w:val="00541CE5"/>
    <w:rsid w:val="00542739"/>
    <w:rsid w:val="00550DCD"/>
    <w:rsid w:val="00555AAD"/>
    <w:rsid w:val="00557088"/>
    <w:rsid w:val="0056554B"/>
    <w:rsid w:val="00571A72"/>
    <w:rsid w:val="00581739"/>
    <w:rsid w:val="00584D32"/>
    <w:rsid w:val="00584F8B"/>
    <w:rsid w:val="00590A3E"/>
    <w:rsid w:val="00594229"/>
    <w:rsid w:val="0059450E"/>
    <w:rsid w:val="005A0E1A"/>
    <w:rsid w:val="005A7252"/>
    <w:rsid w:val="005A75FA"/>
    <w:rsid w:val="005B6C02"/>
    <w:rsid w:val="005C0485"/>
    <w:rsid w:val="005C0EDE"/>
    <w:rsid w:val="005C2A97"/>
    <w:rsid w:val="005D6FDD"/>
    <w:rsid w:val="005E1C93"/>
    <w:rsid w:val="005E5174"/>
    <w:rsid w:val="005E5B73"/>
    <w:rsid w:val="005E62AB"/>
    <w:rsid w:val="005E683A"/>
    <w:rsid w:val="005F0A55"/>
    <w:rsid w:val="005F1605"/>
    <w:rsid w:val="005F2F3C"/>
    <w:rsid w:val="005F2FB6"/>
    <w:rsid w:val="005F7D85"/>
    <w:rsid w:val="0060012B"/>
    <w:rsid w:val="00601769"/>
    <w:rsid w:val="00601E86"/>
    <w:rsid w:val="0060568E"/>
    <w:rsid w:val="006114F3"/>
    <w:rsid w:val="006149A6"/>
    <w:rsid w:val="0062229F"/>
    <w:rsid w:val="00622F3F"/>
    <w:rsid w:val="006263BA"/>
    <w:rsid w:val="006405D9"/>
    <w:rsid w:val="006427A3"/>
    <w:rsid w:val="00643F74"/>
    <w:rsid w:val="00650302"/>
    <w:rsid w:val="00651966"/>
    <w:rsid w:val="00652009"/>
    <w:rsid w:val="0065219D"/>
    <w:rsid w:val="00654385"/>
    <w:rsid w:val="006543D7"/>
    <w:rsid w:val="006551C9"/>
    <w:rsid w:val="006570C7"/>
    <w:rsid w:val="0066145C"/>
    <w:rsid w:val="00661C50"/>
    <w:rsid w:val="006672BF"/>
    <w:rsid w:val="0067235A"/>
    <w:rsid w:val="00672FE3"/>
    <w:rsid w:val="0067350B"/>
    <w:rsid w:val="00675B06"/>
    <w:rsid w:val="00676629"/>
    <w:rsid w:val="00676BF5"/>
    <w:rsid w:val="006773F0"/>
    <w:rsid w:val="00680BD5"/>
    <w:rsid w:val="00681425"/>
    <w:rsid w:val="006817AE"/>
    <w:rsid w:val="006829B3"/>
    <w:rsid w:val="00683F26"/>
    <w:rsid w:val="00691D3B"/>
    <w:rsid w:val="00694D7D"/>
    <w:rsid w:val="006B0DFB"/>
    <w:rsid w:val="006B7090"/>
    <w:rsid w:val="006C00C5"/>
    <w:rsid w:val="006C4EA3"/>
    <w:rsid w:val="006C71BB"/>
    <w:rsid w:val="006D2875"/>
    <w:rsid w:val="006E0D4A"/>
    <w:rsid w:val="006E45EB"/>
    <w:rsid w:val="006F17BC"/>
    <w:rsid w:val="006F344D"/>
    <w:rsid w:val="006F7287"/>
    <w:rsid w:val="00701080"/>
    <w:rsid w:val="0070356B"/>
    <w:rsid w:val="007035A8"/>
    <w:rsid w:val="0070446E"/>
    <w:rsid w:val="0070624D"/>
    <w:rsid w:val="00707EB5"/>
    <w:rsid w:val="0071333D"/>
    <w:rsid w:val="007143FF"/>
    <w:rsid w:val="00721601"/>
    <w:rsid w:val="00730C34"/>
    <w:rsid w:val="007369AA"/>
    <w:rsid w:val="007439E0"/>
    <w:rsid w:val="00747485"/>
    <w:rsid w:val="00752EF7"/>
    <w:rsid w:val="00755650"/>
    <w:rsid w:val="00757D3D"/>
    <w:rsid w:val="00760D38"/>
    <w:rsid w:val="007643FC"/>
    <w:rsid w:val="00772ED5"/>
    <w:rsid w:val="00776850"/>
    <w:rsid w:val="00776C71"/>
    <w:rsid w:val="00776D36"/>
    <w:rsid w:val="0078006C"/>
    <w:rsid w:val="007815F7"/>
    <w:rsid w:val="007907EF"/>
    <w:rsid w:val="00790990"/>
    <w:rsid w:val="00797E10"/>
    <w:rsid w:val="007A3422"/>
    <w:rsid w:val="007A5371"/>
    <w:rsid w:val="007A5A33"/>
    <w:rsid w:val="007B0DE4"/>
    <w:rsid w:val="007B3DED"/>
    <w:rsid w:val="007B4C4B"/>
    <w:rsid w:val="007C065D"/>
    <w:rsid w:val="007C22F2"/>
    <w:rsid w:val="007C640A"/>
    <w:rsid w:val="007C70E6"/>
    <w:rsid w:val="007D1D8C"/>
    <w:rsid w:val="007E225D"/>
    <w:rsid w:val="007F518A"/>
    <w:rsid w:val="007F54E3"/>
    <w:rsid w:val="007F6E7C"/>
    <w:rsid w:val="00800450"/>
    <w:rsid w:val="008046CF"/>
    <w:rsid w:val="00806B25"/>
    <w:rsid w:val="008075CB"/>
    <w:rsid w:val="00807FF3"/>
    <w:rsid w:val="008110B3"/>
    <w:rsid w:val="008150EB"/>
    <w:rsid w:val="00815740"/>
    <w:rsid w:val="0082560A"/>
    <w:rsid w:val="00827369"/>
    <w:rsid w:val="00832305"/>
    <w:rsid w:val="008335EB"/>
    <w:rsid w:val="00836018"/>
    <w:rsid w:val="00841202"/>
    <w:rsid w:val="00842635"/>
    <w:rsid w:val="0084509F"/>
    <w:rsid w:val="00846D17"/>
    <w:rsid w:val="0085263A"/>
    <w:rsid w:val="008529DE"/>
    <w:rsid w:val="008542F0"/>
    <w:rsid w:val="00856CB1"/>
    <w:rsid w:val="00861807"/>
    <w:rsid w:val="008667EE"/>
    <w:rsid w:val="00866AF2"/>
    <w:rsid w:val="00870721"/>
    <w:rsid w:val="00871B70"/>
    <w:rsid w:val="0087637F"/>
    <w:rsid w:val="00886C0A"/>
    <w:rsid w:val="008B0D69"/>
    <w:rsid w:val="008B30DC"/>
    <w:rsid w:val="008C02B8"/>
    <w:rsid w:val="008D7284"/>
    <w:rsid w:val="008D7DB0"/>
    <w:rsid w:val="008E2945"/>
    <w:rsid w:val="008E6A01"/>
    <w:rsid w:val="008E7A10"/>
    <w:rsid w:val="008F2148"/>
    <w:rsid w:val="008F7B6C"/>
    <w:rsid w:val="00900B93"/>
    <w:rsid w:val="009012FF"/>
    <w:rsid w:val="00903649"/>
    <w:rsid w:val="00904772"/>
    <w:rsid w:val="00906315"/>
    <w:rsid w:val="009119C2"/>
    <w:rsid w:val="00911A12"/>
    <w:rsid w:val="00916A59"/>
    <w:rsid w:val="009172FF"/>
    <w:rsid w:val="00920A87"/>
    <w:rsid w:val="00921525"/>
    <w:rsid w:val="0092532D"/>
    <w:rsid w:val="00926D1C"/>
    <w:rsid w:val="0092797D"/>
    <w:rsid w:val="00933D41"/>
    <w:rsid w:val="0093478A"/>
    <w:rsid w:val="00936CF5"/>
    <w:rsid w:val="009379FF"/>
    <w:rsid w:val="009403A0"/>
    <w:rsid w:val="0094214A"/>
    <w:rsid w:val="00942272"/>
    <w:rsid w:val="00942B1C"/>
    <w:rsid w:val="00943778"/>
    <w:rsid w:val="0094500D"/>
    <w:rsid w:val="00945F6B"/>
    <w:rsid w:val="009477B5"/>
    <w:rsid w:val="00950963"/>
    <w:rsid w:val="00953405"/>
    <w:rsid w:val="0095391C"/>
    <w:rsid w:val="00957CB3"/>
    <w:rsid w:val="00957EF0"/>
    <w:rsid w:val="00971E4F"/>
    <w:rsid w:val="00972DE3"/>
    <w:rsid w:val="009737F9"/>
    <w:rsid w:val="00973B0A"/>
    <w:rsid w:val="009753FE"/>
    <w:rsid w:val="00975955"/>
    <w:rsid w:val="00976587"/>
    <w:rsid w:val="00977034"/>
    <w:rsid w:val="009831DB"/>
    <w:rsid w:val="00985B9D"/>
    <w:rsid w:val="00990197"/>
    <w:rsid w:val="009A00D9"/>
    <w:rsid w:val="009A20FA"/>
    <w:rsid w:val="009A64F1"/>
    <w:rsid w:val="009C067D"/>
    <w:rsid w:val="009D2C67"/>
    <w:rsid w:val="009D2FD4"/>
    <w:rsid w:val="009D55C2"/>
    <w:rsid w:val="009E516E"/>
    <w:rsid w:val="009E78E8"/>
    <w:rsid w:val="009F0AB8"/>
    <w:rsid w:val="009F7E20"/>
    <w:rsid w:val="00A00430"/>
    <w:rsid w:val="00A0474D"/>
    <w:rsid w:val="00A10FCA"/>
    <w:rsid w:val="00A11613"/>
    <w:rsid w:val="00A174CA"/>
    <w:rsid w:val="00A17748"/>
    <w:rsid w:val="00A219D2"/>
    <w:rsid w:val="00A22519"/>
    <w:rsid w:val="00A22579"/>
    <w:rsid w:val="00A2339B"/>
    <w:rsid w:val="00A23A8D"/>
    <w:rsid w:val="00A274B7"/>
    <w:rsid w:val="00A30C86"/>
    <w:rsid w:val="00A32C3A"/>
    <w:rsid w:val="00A35355"/>
    <w:rsid w:val="00A37D2A"/>
    <w:rsid w:val="00A40003"/>
    <w:rsid w:val="00A41D65"/>
    <w:rsid w:val="00A43253"/>
    <w:rsid w:val="00A43FE7"/>
    <w:rsid w:val="00A46192"/>
    <w:rsid w:val="00A47EC7"/>
    <w:rsid w:val="00A5074A"/>
    <w:rsid w:val="00A50787"/>
    <w:rsid w:val="00A638D3"/>
    <w:rsid w:val="00A63968"/>
    <w:rsid w:val="00A64C5E"/>
    <w:rsid w:val="00A75B85"/>
    <w:rsid w:val="00A82590"/>
    <w:rsid w:val="00A838F2"/>
    <w:rsid w:val="00A861ED"/>
    <w:rsid w:val="00A86393"/>
    <w:rsid w:val="00A87301"/>
    <w:rsid w:val="00A9224D"/>
    <w:rsid w:val="00A95034"/>
    <w:rsid w:val="00A976C1"/>
    <w:rsid w:val="00A97BC4"/>
    <w:rsid w:val="00AA1086"/>
    <w:rsid w:val="00AA14C7"/>
    <w:rsid w:val="00AA25BA"/>
    <w:rsid w:val="00AA397E"/>
    <w:rsid w:val="00AA4274"/>
    <w:rsid w:val="00AA61AE"/>
    <w:rsid w:val="00AB0AD1"/>
    <w:rsid w:val="00AB7376"/>
    <w:rsid w:val="00AC4403"/>
    <w:rsid w:val="00AE22DD"/>
    <w:rsid w:val="00AE5AF4"/>
    <w:rsid w:val="00AE7326"/>
    <w:rsid w:val="00AF1659"/>
    <w:rsid w:val="00AF6D4B"/>
    <w:rsid w:val="00AF6EFC"/>
    <w:rsid w:val="00B14C6A"/>
    <w:rsid w:val="00B15795"/>
    <w:rsid w:val="00B15A7F"/>
    <w:rsid w:val="00B21D42"/>
    <w:rsid w:val="00B233D7"/>
    <w:rsid w:val="00B25608"/>
    <w:rsid w:val="00B27098"/>
    <w:rsid w:val="00B304DA"/>
    <w:rsid w:val="00B320A1"/>
    <w:rsid w:val="00B35028"/>
    <w:rsid w:val="00B37CB8"/>
    <w:rsid w:val="00B43D09"/>
    <w:rsid w:val="00B465AE"/>
    <w:rsid w:val="00B472C2"/>
    <w:rsid w:val="00B5193E"/>
    <w:rsid w:val="00B51B13"/>
    <w:rsid w:val="00B549D0"/>
    <w:rsid w:val="00B56318"/>
    <w:rsid w:val="00B57B4D"/>
    <w:rsid w:val="00B63994"/>
    <w:rsid w:val="00B663FC"/>
    <w:rsid w:val="00B678D2"/>
    <w:rsid w:val="00B70129"/>
    <w:rsid w:val="00B723ED"/>
    <w:rsid w:val="00B7666F"/>
    <w:rsid w:val="00B81722"/>
    <w:rsid w:val="00B90569"/>
    <w:rsid w:val="00B946A8"/>
    <w:rsid w:val="00B96D20"/>
    <w:rsid w:val="00B96FFE"/>
    <w:rsid w:val="00BA18AE"/>
    <w:rsid w:val="00BA5A67"/>
    <w:rsid w:val="00BB5D95"/>
    <w:rsid w:val="00BB7A99"/>
    <w:rsid w:val="00BC01B4"/>
    <w:rsid w:val="00BD3382"/>
    <w:rsid w:val="00BD3ED8"/>
    <w:rsid w:val="00BD51BA"/>
    <w:rsid w:val="00BD59B8"/>
    <w:rsid w:val="00BE01EB"/>
    <w:rsid w:val="00BE0FE1"/>
    <w:rsid w:val="00BE4073"/>
    <w:rsid w:val="00BE6F99"/>
    <w:rsid w:val="00BF3A93"/>
    <w:rsid w:val="00BF7621"/>
    <w:rsid w:val="00C00583"/>
    <w:rsid w:val="00C0077F"/>
    <w:rsid w:val="00C13587"/>
    <w:rsid w:val="00C15E1F"/>
    <w:rsid w:val="00C21A2A"/>
    <w:rsid w:val="00C221EB"/>
    <w:rsid w:val="00C22BB0"/>
    <w:rsid w:val="00C25281"/>
    <w:rsid w:val="00C2689B"/>
    <w:rsid w:val="00C43A63"/>
    <w:rsid w:val="00C4429C"/>
    <w:rsid w:val="00C45FF8"/>
    <w:rsid w:val="00C4748F"/>
    <w:rsid w:val="00C47707"/>
    <w:rsid w:val="00C510C9"/>
    <w:rsid w:val="00C56553"/>
    <w:rsid w:val="00C56D45"/>
    <w:rsid w:val="00C619C0"/>
    <w:rsid w:val="00C63526"/>
    <w:rsid w:val="00C65BC0"/>
    <w:rsid w:val="00C66B76"/>
    <w:rsid w:val="00C749C0"/>
    <w:rsid w:val="00C77F75"/>
    <w:rsid w:val="00C813C5"/>
    <w:rsid w:val="00C83DF1"/>
    <w:rsid w:val="00C96BB6"/>
    <w:rsid w:val="00CA2D9E"/>
    <w:rsid w:val="00CA5FE1"/>
    <w:rsid w:val="00CB59BE"/>
    <w:rsid w:val="00CB5FDF"/>
    <w:rsid w:val="00CB7436"/>
    <w:rsid w:val="00CC24F1"/>
    <w:rsid w:val="00CC265B"/>
    <w:rsid w:val="00CD10A4"/>
    <w:rsid w:val="00CD2759"/>
    <w:rsid w:val="00CD403D"/>
    <w:rsid w:val="00CD7EC8"/>
    <w:rsid w:val="00CE05A8"/>
    <w:rsid w:val="00CE3529"/>
    <w:rsid w:val="00CE3D27"/>
    <w:rsid w:val="00CE557E"/>
    <w:rsid w:val="00CE6055"/>
    <w:rsid w:val="00CE7E7B"/>
    <w:rsid w:val="00CF32A8"/>
    <w:rsid w:val="00CF56C5"/>
    <w:rsid w:val="00D032A4"/>
    <w:rsid w:val="00D056D6"/>
    <w:rsid w:val="00D11CBF"/>
    <w:rsid w:val="00D13118"/>
    <w:rsid w:val="00D13309"/>
    <w:rsid w:val="00D1462E"/>
    <w:rsid w:val="00D150BB"/>
    <w:rsid w:val="00D1573F"/>
    <w:rsid w:val="00D212B3"/>
    <w:rsid w:val="00D230A4"/>
    <w:rsid w:val="00D26273"/>
    <w:rsid w:val="00D41EDD"/>
    <w:rsid w:val="00D43D45"/>
    <w:rsid w:val="00D461DF"/>
    <w:rsid w:val="00D4687E"/>
    <w:rsid w:val="00D46DE8"/>
    <w:rsid w:val="00D511AF"/>
    <w:rsid w:val="00D51203"/>
    <w:rsid w:val="00D54370"/>
    <w:rsid w:val="00D57607"/>
    <w:rsid w:val="00D576E5"/>
    <w:rsid w:val="00D61E80"/>
    <w:rsid w:val="00D63883"/>
    <w:rsid w:val="00D7059D"/>
    <w:rsid w:val="00D72711"/>
    <w:rsid w:val="00D73453"/>
    <w:rsid w:val="00D739F2"/>
    <w:rsid w:val="00D77DA9"/>
    <w:rsid w:val="00D82BFF"/>
    <w:rsid w:val="00D83657"/>
    <w:rsid w:val="00D84368"/>
    <w:rsid w:val="00D86B71"/>
    <w:rsid w:val="00D86EBB"/>
    <w:rsid w:val="00D9027C"/>
    <w:rsid w:val="00D932EE"/>
    <w:rsid w:val="00DA23FC"/>
    <w:rsid w:val="00DA3EC8"/>
    <w:rsid w:val="00DB25C5"/>
    <w:rsid w:val="00DB69F1"/>
    <w:rsid w:val="00DB7FDF"/>
    <w:rsid w:val="00DD4478"/>
    <w:rsid w:val="00DD5562"/>
    <w:rsid w:val="00DE0665"/>
    <w:rsid w:val="00DE53D2"/>
    <w:rsid w:val="00DE670F"/>
    <w:rsid w:val="00DE67BD"/>
    <w:rsid w:val="00DE798E"/>
    <w:rsid w:val="00DF03EE"/>
    <w:rsid w:val="00DF2647"/>
    <w:rsid w:val="00DF520A"/>
    <w:rsid w:val="00DF6A05"/>
    <w:rsid w:val="00E00E11"/>
    <w:rsid w:val="00E0475F"/>
    <w:rsid w:val="00E05C64"/>
    <w:rsid w:val="00E074A8"/>
    <w:rsid w:val="00E15C45"/>
    <w:rsid w:val="00E17DBE"/>
    <w:rsid w:val="00E22026"/>
    <w:rsid w:val="00E226A5"/>
    <w:rsid w:val="00E24152"/>
    <w:rsid w:val="00E24E7A"/>
    <w:rsid w:val="00E323AF"/>
    <w:rsid w:val="00E330C4"/>
    <w:rsid w:val="00E339E3"/>
    <w:rsid w:val="00E36E64"/>
    <w:rsid w:val="00E37AE1"/>
    <w:rsid w:val="00E46F32"/>
    <w:rsid w:val="00E549C0"/>
    <w:rsid w:val="00E55C14"/>
    <w:rsid w:val="00E56FD4"/>
    <w:rsid w:val="00E5763E"/>
    <w:rsid w:val="00E61F00"/>
    <w:rsid w:val="00E62C59"/>
    <w:rsid w:val="00E63700"/>
    <w:rsid w:val="00E6712E"/>
    <w:rsid w:val="00E67BE7"/>
    <w:rsid w:val="00E703F1"/>
    <w:rsid w:val="00E7117F"/>
    <w:rsid w:val="00E81116"/>
    <w:rsid w:val="00E84BBD"/>
    <w:rsid w:val="00EA3F50"/>
    <w:rsid w:val="00EA712C"/>
    <w:rsid w:val="00EB052A"/>
    <w:rsid w:val="00EC097D"/>
    <w:rsid w:val="00EC435E"/>
    <w:rsid w:val="00EC4AE6"/>
    <w:rsid w:val="00EC4FBF"/>
    <w:rsid w:val="00EC5111"/>
    <w:rsid w:val="00EC69FD"/>
    <w:rsid w:val="00ED079F"/>
    <w:rsid w:val="00ED3CE6"/>
    <w:rsid w:val="00ED503F"/>
    <w:rsid w:val="00EE1716"/>
    <w:rsid w:val="00EE3D44"/>
    <w:rsid w:val="00EE7CD3"/>
    <w:rsid w:val="00EF5299"/>
    <w:rsid w:val="00EF5D87"/>
    <w:rsid w:val="00F00588"/>
    <w:rsid w:val="00F02B99"/>
    <w:rsid w:val="00F06289"/>
    <w:rsid w:val="00F10019"/>
    <w:rsid w:val="00F10D93"/>
    <w:rsid w:val="00F110CE"/>
    <w:rsid w:val="00F113C1"/>
    <w:rsid w:val="00F1369A"/>
    <w:rsid w:val="00F14F8C"/>
    <w:rsid w:val="00F17A68"/>
    <w:rsid w:val="00F20847"/>
    <w:rsid w:val="00F2761A"/>
    <w:rsid w:val="00F27EA3"/>
    <w:rsid w:val="00F34571"/>
    <w:rsid w:val="00F34B21"/>
    <w:rsid w:val="00F415D5"/>
    <w:rsid w:val="00F41873"/>
    <w:rsid w:val="00F435A3"/>
    <w:rsid w:val="00F4434D"/>
    <w:rsid w:val="00F44F6D"/>
    <w:rsid w:val="00F452B6"/>
    <w:rsid w:val="00F5624D"/>
    <w:rsid w:val="00F606C1"/>
    <w:rsid w:val="00F67458"/>
    <w:rsid w:val="00F70F71"/>
    <w:rsid w:val="00F73409"/>
    <w:rsid w:val="00F75657"/>
    <w:rsid w:val="00F768B1"/>
    <w:rsid w:val="00F76ACE"/>
    <w:rsid w:val="00F76D43"/>
    <w:rsid w:val="00F824F8"/>
    <w:rsid w:val="00F83406"/>
    <w:rsid w:val="00F85E7F"/>
    <w:rsid w:val="00F87300"/>
    <w:rsid w:val="00F94743"/>
    <w:rsid w:val="00F94DB1"/>
    <w:rsid w:val="00F96240"/>
    <w:rsid w:val="00FA0C2D"/>
    <w:rsid w:val="00FA2E76"/>
    <w:rsid w:val="00FA3ED5"/>
    <w:rsid w:val="00FA55A1"/>
    <w:rsid w:val="00FA7115"/>
    <w:rsid w:val="00FB0484"/>
    <w:rsid w:val="00FB5F6E"/>
    <w:rsid w:val="00FC1269"/>
    <w:rsid w:val="00FC19FF"/>
    <w:rsid w:val="00FC4334"/>
    <w:rsid w:val="00FC488B"/>
    <w:rsid w:val="00FC78B9"/>
    <w:rsid w:val="00FD03B8"/>
    <w:rsid w:val="00FD2F91"/>
    <w:rsid w:val="00FD3BAD"/>
    <w:rsid w:val="00FD5329"/>
    <w:rsid w:val="00FE0CED"/>
    <w:rsid w:val="00FE3C60"/>
    <w:rsid w:val="00FE618D"/>
    <w:rsid w:val="00FE74A0"/>
    <w:rsid w:val="00FF1439"/>
    <w:rsid w:val="00FF2230"/>
    <w:rsid w:val="00FF2590"/>
    <w:rsid w:val="00FF2AF3"/>
    <w:rsid w:val="00FF5924"/>
    <w:rsid w:val="47DE35F0"/>
    <w:rsid w:val="7BFF466F"/>
    <w:rsid w:val="BF3ED63E"/>
    <w:rsid w:val="FBD9D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unhideWhenUsed/>
    <w:qFormat/>
    <w:uiPriority w:val="99"/>
    <w:pPr>
      <w:jc w:val="left"/>
    </w:pPr>
  </w:style>
  <w:style w:type="paragraph" w:styleId="4">
    <w:name w:val="Plain Text"/>
    <w:basedOn w:val="1"/>
    <w:link w:val="19"/>
    <w:qFormat/>
    <w:uiPriority w:val="99"/>
    <w:rPr>
      <w:rFonts w:ascii="宋体" w:eastAsia="宋体" w:cs="Tahoma"/>
      <w:sz w:val="21"/>
      <w:szCs w:val="21"/>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toc 2"/>
    <w:basedOn w:val="1"/>
    <w:next w:val="1"/>
    <w:unhideWhenUsed/>
    <w:qFormat/>
    <w:uiPriority w:val="39"/>
    <w:pPr>
      <w:ind w:left="420" w:leftChars="200"/>
    </w:pPr>
  </w:style>
  <w:style w:type="paragraph" w:styleId="9">
    <w:name w:val="Title"/>
    <w:basedOn w:val="1"/>
    <w:next w:val="1"/>
    <w:link w:val="28"/>
    <w:qFormat/>
    <w:uiPriority w:val="10"/>
    <w:pPr>
      <w:spacing w:line="560" w:lineRule="exact"/>
      <w:jc w:val="center"/>
      <w:outlineLvl w:val="0"/>
    </w:pPr>
    <w:rPr>
      <w:rFonts w:eastAsia="方正小标宋简体" w:cstheme="majorBidi"/>
      <w:b/>
      <w:bCs/>
      <w:sz w:val="44"/>
      <w:szCs w:val="32"/>
    </w:rPr>
  </w:style>
  <w:style w:type="paragraph" w:styleId="10">
    <w:name w:val="annotation subject"/>
    <w:basedOn w:val="3"/>
    <w:next w:val="3"/>
    <w:link w:val="23"/>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character" w:customStyle="1" w:styleId="16">
    <w:name w:val="页眉 字符"/>
    <w:basedOn w:val="13"/>
    <w:link w:val="6"/>
    <w:qFormat/>
    <w:uiPriority w:val="99"/>
    <w:rPr>
      <w:sz w:val="18"/>
      <w:szCs w:val="18"/>
    </w:rPr>
  </w:style>
  <w:style w:type="character" w:customStyle="1" w:styleId="17">
    <w:name w:val="页脚 字符"/>
    <w:basedOn w:val="13"/>
    <w:link w:val="5"/>
    <w:qFormat/>
    <w:uiPriority w:val="99"/>
    <w:rPr>
      <w:sz w:val="18"/>
      <w:szCs w:val="18"/>
    </w:rPr>
  </w:style>
  <w:style w:type="character" w:customStyle="1" w:styleId="18">
    <w:name w:val="纯文本 字符"/>
    <w:basedOn w:val="13"/>
    <w:semiHidden/>
    <w:qFormat/>
    <w:uiPriority w:val="99"/>
    <w:rPr>
      <w:rFonts w:hAnsi="Courier New" w:cs="Courier New" w:asciiTheme="minorEastAsia"/>
      <w:sz w:val="32"/>
      <w:szCs w:val="24"/>
    </w:rPr>
  </w:style>
  <w:style w:type="character" w:customStyle="1" w:styleId="19">
    <w:name w:val="纯文本 字符1"/>
    <w:link w:val="4"/>
    <w:qFormat/>
    <w:uiPriority w:val="99"/>
    <w:rPr>
      <w:rFonts w:ascii="宋体" w:hAnsi="Times New Roman" w:eastAsia="宋体" w:cs="Tahoma"/>
      <w:szCs w:val="21"/>
    </w:rPr>
  </w:style>
  <w:style w:type="paragraph" w:styleId="20">
    <w:name w:val="List Paragraph"/>
    <w:basedOn w:val="1"/>
    <w:qFormat/>
    <w:uiPriority w:val="34"/>
    <w:pPr>
      <w:ind w:firstLine="420" w:firstLineChars="200"/>
    </w:pPr>
  </w:style>
  <w:style w:type="table" w:customStyle="1" w:styleId="21">
    <w:name w:val="Table Normal"/>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character" w:customStyle="1" w:styleId="22">
    <w:name w:val="批注文字 字符"/>
    <w:basedOn w:val="13"/>
    <w:link w:val="3"/>
    <w:qFormat/>
    <w:uiPriority w:val="99"/>
    <w:rPr>
      <w:rFonts w:ascii="Times New Roman" w:hAnsi="Times New Roman" w:eastAsia="仿宋_GB2312" w:cs="Times New Roman"/>
      <w:sz w:val="32"/>
      <w:szCs w:val="24"/>
    </w:rPr>
  </w:style>
  <w:style w:type="character" w:customStyle="1" w:styleId="23">
    <w:name w:val="批注主题 字符"/>
    <w:basedOn w:val="22"/>
    <w:link w:val="10"/>
    <w:semiHidden/>
    <w:qFormat/>
    <w:uiPriority w:val="99"/>
    <w:rPr>
      <w:rFonts w:ascii="Times New Roman" w:hAnsi="Times New Roman" w:eastAsia="仿宋_GB2312" w:cs="Times New Roman"/>
      <w:b/>
      <w:bCs/>
      <w:sz w:val="32"/>
      <w:szCs w:val="24"/>
    </w:rPr>
  </w:style>
  <w:style w:type="paragraph" w:customStyle="1" w:styleId="24">
    <w:name w:val="Table Paragraph"/>
    <w:basedOn w:val="1"/>
    <w:qFormat/>
    <w:uiPriority w:val="1"/>
    <w:pPr>
      <w:autoSpaceDE w:val="0"/>
      <w:autoSpaceDN w:val="0"/>
      <w:jc w:val="left"/>
    </w:pPr>
    <w:rPr>
      <w:rFonts w:ascii="宋体" w:hAnsi="宋体" w:eastAsia="宋体" w:cs="宋体"/>
      <w:kern w:val="0"/>
      <w:sz w:val="22"/>
      <w:szCs w:val="22"/>
      <w:lang w:eastAsia="en-US"/>
    </w:rPr>
  </w:style>
  <w:style w:type="paragraph" w:customStyle="1" w:styleId="25">
    <w:name w:val="Revision"/>
    <w:hidden/>
    <w:semiHidden/>
    <w:qFormat/>
    <w:uiPriority w:val="99"/>
    <w:rPr>
      <w:rFonts w:ascii="Times New Roman" w:hAnsi="Times New Roman" w:eastAsia="仿宋_GB2312" w:cs="Times New Roman"/>
      <w:kern w:val="2"/>
      <w:sz w:val="32"/>
      <w:szCs w:val="24"/>
      <w:lang w:val="en-US" w:eastAsia="zh-CN" w:bidi="ar-SA"/>
    </w:rPr>
  </w:style>
  <w:style w:type="paragraph" w:customStyle="1" w:styleId="26">
    <w:name w:val="段"/>
    <w:basedOn w:val="1"/>
    <w:qFormat/>
    <w:uiPriority w:val="0"/>
    <w:pPr>
      <w:adjustRightInd w:val="0"/>
      <w:ind w:firstLine="200" w:firstLineChars="200"/>
    </w:pPr>
    <w:rPr>
      <w:rFonts w:cs="Calibri"/>
      <w:szCs w:val="21"/>
    </w:rPr>
  </w:style>
  <w:style w:type="paragraph" w:customStyle="1" w:styleId="27">
    <w:name w:val="*正文"/>
    <w:basedOn w:val="1"/>
    <w:qFormat/>
    <w:uiPriority w:val="0"/>
    <w:pPr>
      <w:ind w:firstLine="640" w:firstLineChars="200"/>
    </w:pPr>
  </w:style>
  <w:style w:type="character" w:customStyle="1" w:styleId="28">
    <w:name w:val="标题 字符"/>
    <w:basedOn w:val="13"/>
    <w:link w:val="9"/>
    <w:qFormat/>
    <w:uiPriority w:val="10"/>
    <w:rPr>
      <w:rFonts w:ascii="Times New Roman" w:hAnsi="Times New Roman" w:eastAsia="方正小标宋简体" w:cstheme="majorBidi"/>
      <w:b/>
      <w:bCs/>
      <w:sz w:val="44"/>
      <w:szCs w:val="32"/>
    </w:rPr>
  </w:style>
  <w:style w:type="character" w:customStyle="1" w:styleId="29">
    <w:name w:val="标题 1 字符"/>
    <w:basedOn w:val="13"/>
    <w:link w:val="2"/>
    <w:qFormat/>
    <w:uiPriority w:val="9"/>
    <w:rPr>
      <w:rFonts w:ascii="Times New Roman" w:hAnsi="Times New Roman" w:eastAsia="仿宋_GB2312" w:cs="Times New Roman"/>
      <w:b/>
      <w:bCs/>
      <w:kern w:val="44"/>
      <w:sz w:val="44"/>
      <w:szCs w:val="44"/>
    </w:rPr>
  </w:style>
  <w:style w:type="paragraph" w:customStyle="1" w:styleId="30">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12995</Words>
  <Characters>14885</Characters>
  <Lines>132</Lines>
  <Paragraphs>37</Paragraphs>
  <TotalTime>3</TotalTime>
  <ScaleCrop>false</ScaleCrop>
  <LinksUpToDate>false</LinksUpToDate>
  <CharactersWithSpaces>15096</CharactersWithSpaces>
  <Application>WPS Office_11.8.2.10599_F1E327BC-269C-435d-A152-05C5408002CA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2022-11-22T03:13:00Z</dcterms:created>
  <dc:creator>Hp</dc:creator>
  <cp:lastModifiedBy>ht706</cp:lastModifiedBy>
  <cp:lastPrinted>2022-05-07T08:40:00Z</cp:lastPrinted>
  <dcterms:modified xsi:type="dcterms:W3CDTF">2022-12-09T11:51:32Z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y fmtid="{D5CDD505-2E9C-101B-9397-08002B2CF9AE}" pid="3" name="ICV">
    <vt:lpwstr>C45BEB84E39F42A397572A28D29BAB15</vt:lpwstr>
  </property>
</Properties>
</file>