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中小企业声明函</w:t>
      </w:r>
    </w:p>
    <w:p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2"/>
      <w:bookmarkStart w:id="1" w:name="OLE_LINK5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项目（采购编号：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本公司对上述声明的真实性负责。如有虚假，将依法承担相应责任。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注：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企业名称（盖章）：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 xml:space="preserve"> 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41"/>
    <w:rsid w:val="00004FDF"/>
    <w:rsid w:val="002C58AA"/>
    <w:rsid w:val="00594DE2"/>
    <w:rsid w:val="008D4D56"/>
    <w:rsid w:val="008E5644"/>
    <w:rsid w:val="00C17E8A"/>
    <w:rsid w:val="00C37A41"/>
    <w:rsid w:val="00D042D0"/>
    <w:rsid w:val="4F778C55"/>
    <w:rsid w:val="E77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2019-11-07T23:47:00Z</dcterms:created>
  <dc:creator>何召凯</dc:creator>
  <cp:lastModifiedBy>何召凯</cp:lastModifiedBy>
  <dcterms:modified xsi:type="dcterms:W3CDTF">2022-02-09T21:33:15Z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