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1767" w:hanging="1767" w:hangingChars="400"/>
        <w:jc w:val="both"/>
        <w:rPr>
          <w:rFonts w:ascii="仿宋_GB2312" w:hAnsi="宋体" w:eastAsia="仿宋_GB2312" w:cs="宋体"/>
          <w:b/>
          <w:sz w:val="44"/>
          <w:szCs w:val="44"/>
        </w:rPr>
      </w:pPr>
      <w:bookmarkStart w:id="0" w:name="PO_part3A3Year1"/>
      <w:r>
        <w:rPr>
          <w:rFonts w:ascii="仿宋_GB2312" w:hAnsi="宋体" w:eastAsia="仿宋_GB2312" w:cs="宋体"/>
          <w:b/>
          <w:sz w:val="44"/>
          <w:szCs w:val="44"/>
        </w:rPr>
        <w:t>202</w:t>
      </w:r>
      <w:r>
        <w:rPr>
          <w:rFonts w:hint="eastAsia" w:ascii="仿宋_GB2312" w:hAnsi="宋体" w:eastAsia="仿宋_GB2312" w:cs="宋体"/>
          <w:b/>
          <w:sz w:val="44"/>
          <w:szCs w:val="44"/>
          <w:lang w:val="en-US" w:eastAsia="zh-CN"/>
        </w:rPr>
        <w:t>1</w:t>
      </w:r>
      <w:r>
        <w:rPr>
          <w:rFonts w:hint="eastAsia" w:ascii="仿宋_GB2312" w:hAnsi="宋体" w:eastAsia="仿宋_GB2312" w:cs="宋体"/>
          <w:b/>
          <w:sz w:val="44"/>
          <w:szCs w:val="44"/>
        </w:rPr>
        <w:t xml:space="preserve"> </w:t>
      </w:r>
      <w:bookmarkEnd w:id="0"/>
      <w:r>
        <w:rPr>
          <w:rFonts w:hint="eastAsia" w:ascii="仿宋_GB2312" w:hAnsi="宋体" w:eastAsia="仿宋_GB2312" w:cs="宋体"/>
          <w:b/>
          <w:sz w:val="44"/>
          <w:szCs w:val="44"/>
        </w:rPr>
        <w:t>年度一般公共预算财政拨款“三公”经费支出决算情况说明</w:t>
      </w:r>
    </w:p>
    <w:p>
      <w:pPr>
        <w:ind w:firstLine="643" w:firstLineChars="200"/>
        <w:jc w:val="left"/>
        <w:rPr>
          <w:rFonts w:hint="eastAsia" w:ascii="仿宋_GB2312" w:hAnsi="宋体" w:eastAsia="仿宋_GB2312" w:cs="宋体"/>
          <w:b/>
          <w:sz w:val="32"/>
          <w:szCs w:val="32"/>
        </w:rPr>
      </w:pP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lang w:val="en-US" w:eastAsia="zh-CN"/>
        </w:rPr>
        <w:t>一、</w:t>
      </w:r>
      <w:r>
        <w:rPr>
          <w:rFonts w:hint="eastAsia" w:ascii="仿宋_GB2312" w:hAnsi="宋体" w:eastAsia="仿宋_GB2312" w:cs="宋体"/>
          <w:b/>
          <w:sz w:val="32"/>
          <w:szCs w:val="32"/>
        </w:rPr>
        <w:t>“三公”经费财政拨款支出决算总体情况说明</w:t>
      </w:r>
    </w:p>
    <w:p>
      <w:pPr>
        <w:ind w:firstLine="640" w:firstLineChars="200"/>
        <w:rPr>
          <w:rFonts w:ascii="仿宋_GB2312" w:hAnsi="宋体" w:eastAsia="仿宋_GB2312" w:cs="宋体"/>
          <w:sz w:val="32"/>
          <w:szCs w:val="32"/>
        </w:rPr>
      </w:pPr>
      <w:bookmarkStart w:id="1" w:name="PO_part3A3B1C1DivNameYear1"/>
      <w:r>
        <w:rPr>
          <w:rFonts w:hint="eastAsia" w:ascii="仿宋_GB2312" w:hAnsi="宋体" w:eastAsia="仿宋_GB2312" w:cs="宋体"/>
          <w:sz w:val="32"/>
          <w:szCs w:val="32"/>
        </w:rPr>
        <w:t>湛江市交通运输局</w:t>
      </w:r>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年度“三公”经费财政拨款支出决算为</w:t>
      </w:r>
      <w:bookmarkStart w:id="2" w:name="PO_part3A3B1C1Amount1"/>
      <w:r>
        <w:rPr>
          <w:rFonts w:ascii="仿宋_GB2312" w:hAnsi="宋体" w:eastAsia="仿宋_GB2312" w:cs="宋体"/>
          <w:sz w:val="32"/>
          <w:szCs w:val="32"/>
        </w:rPr>
        <w:t>181.16</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万元，完成预算</w:t>
      </w:r>
      <w:bookmarkStart w:id="3" w:name="PO_part3A3B1C1Amount2"/>
      <w:r>
        <w:rPr>
          <w:rFonts w:hint="eastAsia" w:ascii="仿宋_GB2312" w:hAnsi="宋体" w:eastAsia="仿宋_GB2312" w:cs="宋体"/>
          <w:sz w:val="32"/>
          <w:szCs w:val="32"/>
          <w:lang w:val="en-US" w:eastAsia="zh-CN"/>
        </w:rPr>
        <w:t>234.46</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万元的</w:t>
      </w:r>
      <w:bookmarkStart w:id="4" w:name="PO_part3A3B1C1Percent1"/>
      <w:r>
        <w:rPr>
          <w:rFonts w:hint="eastAsia" w:ascii="仿宋_GB2312" w:hAnsi="宋体" w:eastAsia="仿宋_GB2312" w:cs="宋体"/>
          <w:sz w:val="32"/>
          <w:szCs w:val="32"/>
          <w:lang w:val="en-US" w:eastAsia="zh-CN"/>
        </w:rPr>
        <w:t>77.3</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。其中：因公出国（境）费支出决算为</w:t>
      </w:r>
      <w:bookmarkStart w:id="5"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万元，完成预算</w:t>
      </w:r>
      <w:bookmarkStart w:id="6"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万元的</w:t>
      </w:r>
      <w:bookmarkStart w:id="7" w:name="PO_part3A3B1C1qzPercent1"/>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；公务用车购置及运行费支出决算为</w:t>
      </w:r>
      <w:bookmarkStart w:id="8" w:name="PO_part3A3B1C1qzAmount2"/>
      <w:r>
        <w:rPr>
          <w:rFonts w:ascii="仿宋_GB2312" w:hAnsi="宋体" w:eastAsia="仿宋_GB2312" w:cs="宋体"/>
          <w:sz w:val="32"/>
          <w:szCs w:val="32"/>
        </w:rPr>
        <w:t>171.27</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万元，完成预算</w:t>
      </w:r>
      <w:bookmarkStart w:id="9" w:name="PO_part3A3B1C1qzysAmount2"/>
      <w:r>
        <w:rPr>
          <w:rFonts w:hint="eastAsia" w:ascii="仿宋_GB2312" w:hAnsi="宋体" w:eastAsia="仿宋_GB2312" w:cs="宋体"/>
          <w:sz w:val="32"/>
          <w:szCs w:val="32"/>
          <w:lang w:val="en-US" w:eastAsia="zh-CN"/>
        </w:rPr>
        <w:t>214.35</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万元的</w:t>
      </w:r>
      <w:bookmarkStart w:id="10" w:name="PO_part3A3B1C1qzPercent2"/>
      <w:r>
        <w:rPr>
          <w:rFonts w:hint="eastAsia" w:ascii="仿宋_GB2312" w:hAnsi="宋体" w:eastAsia="仿宋_GB2312" w:cs="宋体"/>
          <w:sz w:val="32"/>
          <w:szCs w:val="32"/>
          <w:lang w:val="en-US" w:eastAsia="zh-CN"/>
        </w:rPr>
        <w:t>79.9</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（其中：公务用车购置支出决算为</w:t>
      </w:r>
      <w:bookmarkStart w:id="11" w:name="PO_part3A3B1C1qzAmount4"/>
      <w:r>
        <w:rPr>
          <w:rFonts w:ascii="仿宋_GB2312" w:hAnsi="宋体" w:eastAsia="仿宋_GB2312" w:cs="宋体"/>
          <w:sz w:val="32"/>
          <w:szCs w:val="32"/>
        </w:rPr>
        <w:t>45</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万元，完成预算</w:t>
      </w:r>
      <w:bookmarkStart w:id="12" w:name="PO_part3A3B1C1qzysAmount4"/>
      <w:r>
        <w:rPr>
          <w:rFonts w:hint="eastAsia" w:ascii="仿宋_GB2312" w:hAnsi="宋体" w:eastAsia="仿宋_GB2312" w:cs="宋体"/>
          <w:sz w:val="32"/>
          <w:szCs w:val="32"/>
          <w:lang w:val="en-US" w:eastAsia="zh-CN"/>
        </w:rPr>
        <w:t>87.16</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万元的</w:t>
      </w:r>
      <w:bookmarkStart w:id="13" w:name="PO_part3A3B1C1qzPercent4"/>
      <w:r>
        <w:rPr>
          <w:rFonts w:hint="eastAsia" w:ascii="仿宋_GB2312" w:hAnsi="宋体" w:eastAsia="仿宋_GB2312" w:cs="宋体"/>
          <w:sz w:val="32"/>
          <w:szCs w:val="32"/>
          <w:lang w:val="en-US" w:eastAsia="zh-CN"/>
        </w:rPr>
        <w:t>51.6</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；公务用车运行费支出决算为</w:t>
      </w:r>
      <w:bookmarkStart w:id="14" w:name="PO_part3A3B1C1qzAmount5"/>
      <w:r>
        <w:rPr>
          <w:rFonts w:ascii="仿宋_GB2312" w:hAnsi="宋体" w:eastAsia="仿宋_GB2312" w:cs="宋体"/>
          <w:sz w:val="32"/>
          <w:szCs w:val="32"/>
        </w:rPr>
        <w:t>126.27</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万元，完成预算</w:t>
      </w:r>
      <w:bookmarkStart w:id="15" w:name="PO_part3A3B1C1qzysAmount5"/>
      <w:r>
        <w:rPr>
          <w:rFonts w:hint="eastAsia" w:ascii="仿宋_GB2312" w:hAnsi="宋体" w:eastAsia="仿宋_GB2312" w:cs="宋体"/>
          <w:sz w:val="32"/>
          <w:szCs w:val="32"/>
          <w:lang w:val="en-US" w:eastAsia="zh-CN"/>
        </w:rPr>
        <w:t>127.19</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万元的</w:t>
      </w:r>
      <w:bookmarkStart w:id="16" w:name="PO_part3A3B1C1qzPercent5"/>
      <w:r>
        <w:rPr>
          <w:rFonts w:hint="eastAsia" w:ascii="仿宋_GB2312" w:hAnsi="宋体" w:eastAsia="仿宋_GB2312" w:cs="宋体"/>
          <w:sz w:val="32"/>
          <w:szCs w:val="32"/>
          <w:lang w:val="en-US" w:eastAsia="zh-CN"/>
        </w:rPr>
        <w:t>99.3</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）；公务接待费支出决算为</w:t>
      </w:r>
      <w:bookmarkStart w:id="17" w:name="PO_part3A3B1C1qzAmount3"/>
      <w:r>
        <w:rPr>
          <w:rFonts w:ascii="仿宋_GB2312" w:hAnsi="宋体" w:eastAsia="仿宋_GB2312" w:cs="宋体"/>
          <w:sz w:val="32"/>
          <w:szCs w:val="32"/>
        </w:rPr>
        <w:t>9.9</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万元，完成预算</w:t>
      </w:r>
      <w:bookmarkStart w:id="18" w:name="PO_part3A3B1C1qzysAmount3"/>
      <w:r>
        <w:rPr>
          <w:rFonts w:hint="eastAsia" w:ascii="仿宋_GB2312" w:hAnsi="宋体" w:eastAsia="仿宋_GB2312" w:cs="宋体"/>
          <w:sz w:val="32"/>
          <w:szCs w:val="32"/>
          <w:lang w:val="en-US" w:eastAsia="zh-CN"/>
        </w:rPr>
        <w:t>20.11</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万元的</w:t>
      </w:r>
      <w:bookmarkStart w:id="19" w:name="PO_part3A3B1C1qzPercent3"/>
      <w:r>
        <w:rPr>
          <w:rFonts w:hint="eastAsia" w:ascii="仿宋_GB2312" w:hAnsi="宋体" w:eastAsia="仿宋_GB2312" w:cs="宋体"/>
          <w:sz w:val="32"/>
          <w:szCs w:val="32"/>
          <w:lang w:val="en-US" w:eastAsia="zh-CN"/>
        </w:rPr>
        <w:t>49.2</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bookmarkStart w:id="20" w:name="PO_part3A3B1C1Year1"/>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年度“三公”经费支出决算</w:t>
      </w:r>
      <w:bookmarkStart w:id="21" w:name="PO_part3A3B1C1Diff1"/>
      <w:r>
        <w:rPr>
          <w:rFonts w:hint="eastAsia" w:ascii="仿宋_GB2312" w:hAnsi="宋体" w:eastAsia="仿宋_GB2312" w:cs="宋体"/>
          <w:sz w:val="32"/>
          <w:szCs w:val="32"/>
        </w:rPr>
        <w:t>小于</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预算数的主要情况：</w:t>
      </w:r>
      <w:bookmarkStart w:id="22" w:name="PO_part3A3B1C1DiffReason1"/>
      <w:r>
        <w:rPr>
          <w:rFonts w:hint="eastAsia" w:ascii="仿宋_GB2312" w:hAnsi="宋体" w:eastAsia="仿宋_GB2312" w:cs="宋体"/>
          <w:sz w:val="32"/>
          <w:szCs w:val="32"/>
        </w:rPr>
        <w:t>认真贯彻落实中央八项规定精神和厉行节约的要求，从严控制“三公”经费开支，全年实际支出比预算有所节约</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bookmarkEnd w:id="22"/>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lang w:val="en-US" w:eastAsia="zh-CN"/>
        </w:rPr>
        <w:t>二、</w:t>
      </w:r>
      <w:r>
        <w:rPr>
          <w:rFonts w:hint="eastAsia" w:ascii="仿宋_GB2312" w:hAnsi="宋体" w:eastAsia="仿宋_GB2312" w:cs="宋体"/>
          <w:b/>
          <w:sz w:val="32"/>
          <w:szCs w:val="32"/>
        </w:rPr>
        <w:t>“三公”经费财政拨款支出决算具体情况说明</w:t>
      </w:r>
    </w:p>
    <w:p>
      <w:pPr>
        <w:ind w:firstLine="640" w:firstLineChars="200"/>
        <w:rPr>
          <w:rFonts w:ascii="仿宋_GB2312" w:hAnsi="宋体" w:eastAsia="仿宋_GB2312" w:cs="宋体"/>
          <w:sz w:val="32"/>
          <w:szCs w:val="32"/>
        </w:rPr>
      </w:pPr>
      <w:bookmarkStart w:id="23" w:name="PO_part3A3B2Year1"/>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年“三公”经费财政拨款支出决算中，因公出国（境）费</w:t>
      </w:r>
      <w:bookmarkStart w:id="24" w:name="PO_part3A3B2Amount1"/>
      <w:r>
        <w:rPr>
          <w:rFonts w:ascii="仿宋_GB2312" w:hAnsi="宋体" w:eastAsia="仿宋_GB2312" w:cs="宋体"/>
          <w:sz w:val="32"/>
          <w:szCs w:val="32"/>
        </w:rPr>
        <w:t>0万元，占0.0%</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；公务用车购置及运行费支出</w:t>
      </w:r>
      <w:bookmarkStart w:id="25" w:name="PO_part3A3B2Amount2"/>
      <w:r>
        <w:rPr>
          <w:rFonts w:ascii="仿宋_GB2312" w:hAnsi="宋体" w:eastAsia="仿宋_GB2312" w:cs="宋体"/>
          <w:sz w:val="32"/>
          <w:szCs w:val="32"/>
        </w:rPr>
        <w:t>171.27万元，占94.5%</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；公务接待费支出</w:t>
      </w:r>
      <w:bookmarkStart w:id="26" w:name="PO_part3A3B2Amount3"/>
      <w:r>
        <w:rPr>
          <w:rFonts w:ascii="仿宋_GB2312" w:hAnsi="宋体" w:eastAsia="仿宋_GB2312" w:cs="宋体"/>
          <w:sz w:val="32"/>
          <w:szCs w:val="32"/>
        </w:rPr>
        <w:t>9.9万元，占5.5%</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。具体情况如下：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7"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万元。全年使用财政拨款安排出国（境）团组</w:t>
      </w:r>
      <w:bookmarkStart w:id="28"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个、累计</w:t>
      </w:r>
      <w:bookmarkStart w:id="29"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人次</w:t>
      </w:r>
      <w:bookmarkStart w:id="30" w:name="PO_part3A3B2C1D1Meeting1"/>
      <w:r>
        <w:rPr>
          <w:rFonts w:hint="eastAsia" w:ascii="仿宋_GB2312" w:hAnsi="宋体" w:eastAsia="仿宋_GB2312" w:cs="宋体"/>
          <w:sz w:val="32"/>
          <w:szCs w:val="32"/>
        </w:rPr>
        <w:t xml:space="preserve">。 </w:t>
      </w:r>
      <w:bookmarkEnd w:id="30"/>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1" w:name="PO_part3A3B2C2Amount1"/>
      <w:r>
        <w:rPr>
          <w:rFonts w:ascii="仿宋_GB2312" w:hAnsi="宋体" w:eastAsia="仿宋_GB2312" w:cs="宋体"/>
          <w:sz w:val="32"/>
          <w:szCs w:val="32"/>
        </w:rPr>
        <w:t>171.27</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万元，其中：公务用车购置支出为</w:t>
      </w:r>
      <w:bookmarkStart w:id="32" w:name="PO_part3A3B2C2D1Amount1"/>
      <w:r>
        <w:rPr>
          <w:rFonts w:ascii="仿宋_GB2312" w:hAnsi="宋体" w:eastAsia="仿宋_GB2312" w:cs="宋体"/>
          <w:sz w:val="32"/>
          <w:szCs w:val="32"/>
        </w:rPr>
        <w:t>45</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万元，公务用车购置数</w:t>
      </w:r>
      <w:bookmarkStart w:id="33" w:name="PO_part3A3B2C2D1CarCount1"/>
      <w:r>
        <w:rPr>
          <w:rFonts w:ascii="仿宋_GB2312" w:hAnsi="宋体" w:eastAsia="仿宋_GB2312" w:cs="宋体"/>
          <w:sz w:val="32"/>
          <w:szCs w:val="32"/>
        </w:rPr>
        <w:t>1</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辆。公务用车运行及维护支出</w:t>
      </w:r>
      <w:bookmarkStart w:id="34" w:name="PO_part3A3B2C2D2Amount1"/>
      <w:r>
        <w:rPr>
          <w:rFonts w:ascii="仿宋_GB2312" w:hAnsi="宋体" w:eastAsia="仿宋_GB2312" w:cs="宋体"/>
          <w:sz w:val="32"/>
          <w:szCs w:val="32"/>
        </w:rPr>
        <w:t>126.27</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万元，公务用车保有量为</w:t>
      </w:r>
      <w:bookmarkStart w:id="35" w:name="PO_part3A3B2C2D2CarCount1"/>
      <w:r>
        <w:rPr>
          <w:rFonts w:ascii="仿宋_GB2312" w:hAnsi="宋体" w:eastAsia="仿宋_GB2312" w:cs="宋体"/>
          <w:sz w:val="32"/>
          <w:szCs w:val="32"/>
        </w:rPr>
        <w:t>51</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辆，主要用于</w:t>
      </w:r>
      <w:bookmarkStart w:id="36" w:name="PO_part3A3B2C2D2Use1"/>
      <w:r>
        <w:rPr>
          <w:rFonts w:hint="eastAsia" w:ascii="仿宋_GB2312" w:hAnsi="宋体" w:eastAsia="仿宋_GB2312" w:cs="宋体"/>
          <w:sz w:val="32"/>
          <w:szCs w:val="32"/>
        </w:rPr>
        <w:t>一般公务和一般执法执勤。</w:t>
      </w:r>
      <w:r>
        <w:rPr>
          <w:rFonts w:hint="eastAsia" w:ascii="仿宋_GB2312" w:hAnsi="宋体" w:eastAsia="仿宋_GB2312" w:cs="宋体"/>
          <w:sz w:val="32"/>
          <w:szCs w:val="32"/>
          <w:lang w:val="en-US" w:eastAsia="zh-CN"/>
        </w:rPr>
        <w:t>公务用车</w:t>
      </w:r>
      <w:r>
        <w:rPr>
          <w:rFonts w:hint="eastAsia" w:ascii="仿宋_GB2312" w:hAnsi="宋体" w:eastAsia="仿宋_GB2312" w:cs="宋体"/>
          <w:sz w:val="32"/>
          <w:szCs w:val="32"/>
        </w:rPr>
        <w:t>保有量</w:t>
      </w:r>
      <w:r>
        <w:rPr>
          <w:rFonts w:hint="eastAsia" w:ascii="仿宋_GB2312" w:hAnsi="宋体" w:eastAsia="仿宋_GB2312" w:cs="宋体"/>
          <w:sz w:val="32"/>
          <w:szCs w:val="32"/>
          <w:lang w:val="en-US" w:eastAsia="zh-CN"/>
        </w:rPr>
        <w:t>51辆</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与</w:t>
      </w:r>
      <w:r>
        <w:rPr>
          <w:rFonts w:hint="eastAsia" w:ascii="仿宋_GB2312" w:hAnsi="宋体" w:eastAsia="仿宋_GB2312" w:cs="宋体"/>
          <w:sz w:val="32"/>
          <w:szCs w:val="32"/>
        </w:rPr>
        <w:t>国有资产占有情况中的车辆数</w:t>
      </w:r>
      <w:r>
        <w:rPr>
          <w:rFonts w:hint="eastAsia" w:ascii="仿宋_GB2312" w:hAnsi="宋体" w:eastAsia="仿宋_GB2312" w:cs="宋体"/>
          <w:sz w:val="32"/>
          <w:szCs w:val="32"/>
          <w:lang w:val="en-US" w:eastAsia="zh-CN"/>
        </w:rPr>
        <w:t>282辆</w:t>
      </w:r>
      <w:r>
        <w:rPr>
          <w:rFonts w:hint="eastAsia" w:ascii="仿宋_GB2312" w:hAnsi="宋体" w:eastAsia="仿宋_GB2312" w:cs="宋体"/>
          <w:sz w:val="32"/>
          <w:szCs w:val="32"/>
        </w:rPr>
        <w:t>不一致</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差异的原因是：待处置车辆4辆；公路养护用车保有量227辆</w:t>
      </w:r>
      <w:r>
        <w:rPr>
          <w:rFonts w:hint="eastAsia" w:ascii="仿宋" w:hAnsi="仿宋" w:eastAsia="仿宋" w:cs="仿宋"/>
          <w:color w:val="000000"/>
          <w:kern w:val="0"/>
          <w:sz w:val="31"/>
          <w:szCs w:val="31"/>
          <w:lang w:val="en-US" w:eastAsia="zh-CN" w:bidi="ar"/>
        </w:rPr>
        <w:t>，公路养护用车不属于公务用车。</w:t>
      </w:r>
      <w:r>
        <w:rPr>
          <w:rFonts w:hint="eastAsia" w:ascii="仿宋_GB2312" w:hAnsi="宋体" w:eastAsia="仿宋_GB2312" w:cs="宋体"/>
          <w:sz w:val="32"/>
          <w:szCs w:val="32"/>
        </w:rPr>
        <w:t xml:space="preserve"> </w:t>
      </w:r>
      <w:bookmarkEnd w:id="36"/>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37" w:name="PO_part3A3B2C3Amount1"/>
      <w:r>
        <w:rPr>
          <w:rFonts w:ascii="仿宋_GB2312" w:hAnsi="宋体" w:eastAsia="仿宋_GB2312" w:cs="宋体"/>
          <w:sz w:val="32"/>
          <w:szCs w:val="32"/>
        </w:rPr>
        <w:t>9.9</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万元，主要用于</w:t>
      </w:r>
      <w:bookmarkStart w:id="38" w:name="PO_part3A3B2C3Detail1"/>
      <w:r>
        <w:rPr>
          <w:rFonts w:hint="eastAsia" w:ascii="仿宋_GB2312" w:hAnsi="宋体" w:eastAsia="仿宋_GB2312" w:cs="宋体"/>
          <w:sz w:val="32"/>
          <w:szCs w:val="32"/>
        </w:rPr>
        <w:t>上级单位检查和相关单位交流工作等方面的接待</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，共接待国外、境外来访团组</w:t>
      </w:r>
      <w:bookmarkStart w:id="39"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个，来访外宾</w:t>
      </w:r>
      <w:bookmarkStart w:id="40"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人次；发生国内接待</w:t>
      </w:r>
      <w:bookmarkStart w:id="41" w:name="PO_part3A3B2C3GnjdCount1"/>
      <w:r>
        <w:rPr>
          <w:rFonts w:ascii="仿宋_GB2312" w:hAnsi="宋体" w:eastAsia="仿宋_GB2312" w:cs="宋体"/>
          <w:sz w:val="32"/>
          <w:szCs w:val="32"/>
        </w:rPr>
        <w:t>96</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次，接待人数共</w:t>
      </w:r>
      <w:bookmarkStart w:id="42" w:name="PO_part3A3B2C3GnjdManCount1"/>
      <w:r>
        <w:rPr>
          <w:rFonts w:ascii="仿宋_GB2312" w:hAnsi="宋体" w:eastAsia="仿宋_GB2312" w:cs="宋体"/>
          <w:sz w:val="32"/>
          <w:szCs w:val="32"/>
        </w:rPr>
        <w:t>973</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人。</w:t>
      </w:r>
      <w:bookmarkStart w:id="43" w:name="PO_part3A3B2C3GnjdInclude1"/>
      <w:r>
        <w:rPr>
          <w:rFonts w:hint="eastAsia" w:ascii="仿宋_GB2312" w:hAnsi="宋体" w:eastAsia="仿宋_GB2312" w:cs="宋体"/>
          <w:sz w:val="32"/>
          <w:szCs w:val="32"/>
        </w:rPr>
        <w:t>主要包括</w:t>
      </w:r>
      <w:bookmarkStart w:id="46" w:name="_GoBack"/>
      <w:bookmarkEnd w:id="46"/>
      <w:r>
        <w:rPr>
          <w:rFonts w:hint="eastAsia" w:ascii="仿宋_GB2312" w:hAnsi="宋体" w:eastAsia="仿宋_GB2312" w:cs="宋体"/>
          <w:sz w:val="32"/>
          <w:szCs w:val="32"/>
        </w:rPr>
        <w:t xml:space="preserve">省厅各项业务检查以及相关单位业务交流学习等产生的接待费用。 </w:t>
      </w:r>
      <w:bookmarkEnd w:id="43"/>
    </w:p>
    <w:p>
      <w:pPr>
        <w:ind w:firstLine="640" w:firstLineChars="200"/>
        <w:jc w:val="left"/>
        <w:rPr>
          <w:rFonts w:hint="eastAsia" w:ascii="仿宋_GB2312" w:hAnsi="宋体" w:eastAsia="仿宋_GB2312" w:cs="宋体"/>
          <w:sz w:val="32"/>
          <w:szCs w:val="32"/>
        </w:rPr>
      </w:pPr>
    </w:p>
    <w:p>
      <w:pPr>
        <w:ind w:firstLine="640" w:firstLineChars="200"/>
        <w:jc w:val="left"/>
        <w:rPr>
          <w:rFonts w:hint="eastAsia" w:ascii="仿宋_GB2312" w:hAnsi="宋体" w:eastAsia="仿宋_GB2312" w:cs="宋体"/>
          <w:sz w:val="32"/>
          <w:szCs w:val="32"/>
        </w:rPr>
      </w:pPr>
    </w:p>
    <w:p>
      <w:pPr>
        <w:ind w:firstLine="640" w:firstLineChars="200"/>
        <w:jc w:val="left"/>
        <w:rPr>
          <w:rFonts w:hint="eastAsia" w:ascii="仿宋_GB2312" w:hAnsi="宋体" w:eastAsia="仿宋_GB2312" w:cs="宋体"/>
          <w:sz w:val="32"/>
          <w:szCs w:val="32"/>
        </w:rPr>
        <w:sectPr>
          <w:pgSz w:w="11906" w:h="16838"/>
          <w:pgMar w:top="1440" w:right="1800" w:bottom="1440" w:left="1800" w:header="851" w:footer="992" w:gutter="0"/>
          <w:cols w:space="425" w:num="1"/>
          <w:docGrid w:type="lines" w:linePitch="312" w:charSpace="0"/>
        </w:sectPr>
      </w:pPr>
    </w:p>
    <w:p>
      <w:pPr>
        <w:ind w:firstLine="640" w:firstLineChars="200"/>
        <w:jc w:val="left"/>
        <w:rPr>
          <w:rFonts w:hint="eastAsia" w:ascii="仿宋_GB2312" w:hAnsi="宋体" w:eastAsia="仿宋_GB2312" w:cs="宋体"/>
          <w:sz w:val="32"/>
          <w:szCs w:val="32"/>
        </w:rPr>
      </w:pPr>
    </w:p>
    <w:p>
      <w:pPr>
        <w:spacing w:line="288" w:lineRule="auto"/>
        <w:rPr>
          <w:rFonts w:hint="eastAsia" w:ascii="宋体" w:hAnsi="宋体" w:cs="宋体"/>
          <w:szCs w:val="21"/>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44" w:name="PO_part2DivName7"/>
            <w:r>
              <w:rPr>
                <w:rFonts w:hint="eastAsia" w:ascii="宋体" w:hAnsi="宋体" w:cs="宋体"/>
                <w:kern w:val="0"/>
                <w:sz w:val="20"/>
                <w:szCs w:val="20"/>
              </w:rPr>
              <w:t xml:space="preserve"> 部门</w:t>
            </w:r>
            <w:r>
              <w:rPr>
                <w:rFonts w:hint="eastAsia" w:ascii="宋体" w:hAnsi="宋体" w:cs="宋体"/>
                <w:kern w:val="0"/>
                <w:sz w:val="11"/>
                <w:szCs w:val="11"/>
              </w:rPr>
              <w:t xml:space="preserve"> </w:t>
            </w:r>
            <w:bookmarkEnd w:id="44"/>
            <w:r>
              <w:rPr>
                <w:rFonts w:hint="eastAsia" w:ascii="宋体" w:hAnsi="宋体" w:cs="宋体"/>
                <w:kern w:val="0"/>
                <w:sz w:val="20"/>
                <w:szCs w:val="20"/>
              </w:rPr>
              <w:t xml:space="preserve">：湛江市交通运输局 </w:t>
            </w:r>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234.46</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214.35</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87.16</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127.19</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20.11</w:t>
            </w:r>
          </w:p>
        </w:tc>
        <w:tc>
          <w:tcPr>
            <w:tcW w:w="1182" w:type="dxa"/>
            <w:vAlign w:val="center"/>
          </w:tcPr>
          <w:p>
            <w:pPr>
              <w:widowControl/>
              <w:jc w:val="right"/>
              <w:rPr>
                <w:rFonts w:ascii="宋体" w:hAnsi="宋体" w:cs="宋体"/>
                <w:kern w:val="0"/>
                <w:szCs w:val="21"/>
              </w:rPr>
            </w:pPr>
            <w:r>
              <w:rPr>
                <w:rFonts w:ascii="宋体" w:hAnsi="宋体" w:cs="宋体"/>
                <w:kern w:val="0"/>
                <w:szCs w:val="21"/>
              </w:rPr>
              <w:t>181.16</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171.27</w:t>
            </w:r>
          </w:p>
        </w:tc>
        <w:tc>
          <w:tcPr>
            <w:tcW w:w="1182" w:type="dxa"/>
            <w:vAlign w:val="center"/>
          </w:tcPr>
          <w:p>
            <w:pPr>
              <w:widowControl/>
              <w:jc w:val="right"/>
              <w:rPr>
                <w:rFonts w:ascii="宋体" w:hAnsi="宋体" w:cs="宋体"/>
                <w:kern w:val="0"/>
                <w:szCs w:val="21"/>
              </w:rPr>
            </w:pPr>
            <w:r>
              <w:rPr>
                <w:rFonts w:ascii="宋体" w:hAnsi="宋体" w:cs="宋体"/>
                <w:kern w:val="0"/>
                <w:szCs w:val="21"/>
              </w:rPr>
              <w:t>45.00</w:t>
            </w:r>
          </w:p>
        </w:tc>
        <w:tc>
          <w:tcPr>
            <w:tcW w:w="1182" w:type="dxa"/>
            <w:vAlign w:val="center"/>
          </w:tcPr>
          <w:p>
            <w:pPr>
              <w:widowControl/>
              <w:jc w:val="right"/>
              <w:rPr>
                <w:rFonts w:ascii="宋体" w:hAnsi="宋体" w:cs="宋体"/>
                <w:kern w:val="0"/>
                <w:szCs w:val="21"/>
              </w:rPr>
            </w:pPr>
            <w:r>
              <w:rPr>
                <w:rFonts w:ascii="宋体" w:hAnsi="宋体" w:cs="宋体"/>
                <w:kern w:val="0"/>
                <w:szCs w:val="21"/>
              </w:rPr>
              <w:t>126.27</w:t>
            </w:r>
          </w:p>
        </w:tc>
        <w:tc>
          <w:tcPr>
            <w:tcW w:w="1171" w:type="dxa"/>
            <w:vAlign w:val="center"/>
          </w:tcPr>
          <w:p>
            <w:pPr>
              <w:widowControl/>
              <w:jc w:val="right"/>
              <w:rPr>
                <w:rFonts w:ascii="宋体" w:hAnsi="宋体" w:cs="宋体"/>
                <w:kern w:val="0"/>
                <w:szCs w:val="21"/>
              </w:rPr>
            </w:pPr>
            <w:r>
              <w:rPr>
                <w:rFonts w:ascii="宋体" w:hAnsi="宋体" w:cs="宋体"/>
                <w:kern w:val="0"/>
                <w:szCs w:val="21"/>
              </w:rPr>
              <w:t>9.90</w:t>
            </w:r>
          </w:p>
        </w:tc>
      </w:tr>
    </w:tbl>
    <w:p>
      <w:pPr>
        <w:spacing w:line="360" w:lineRule="auto"/>
        <w:ind w:firstLine="420" w:firstLineChars="200"/>
        <w:rPr>
          <w:rFonts w:ascii="宋体" w:hAnsi="宋体" w:cs="宋体"/>
          <w:szCs w:val="21"/>
        </w:rPr>
      </w:pPr>
      <w:r>
        <w:rPr>
          <w:rFonts w:hint="eastAsia" w:ascii="宋体" w:hAnsi="宋体" w:cs="宋体"/>
          <w:szCs w:val="21"/>
        </w:rPr>
        <w:t>注：</w:t>
      </w:r>
      <w:bookmarkStart w:id="45" w:name="PO_part2Table1Remark7"/>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360" w:lineRule="auto"/>
        <w:ind w:firstLine="420" w:firstLineChars="200"/>
        <w:rPr>
          <w:rFonts w:ascii="宋体" w:hAnsi="宋体" w:cs="宋体"/>
          <w:sz w:val="28"/>
          <w:szCs w:val="28"/>
        </w:rPr>
      </w:pPr>
      <w:r>
        <w:rPr>
          <w:rFonts w:hint="eastAsia" w:ascii="宋体" w:hAnsi="宋体" w:cs="宋体"/>
          <w:szCs w:val="21"/>
        </w:rPr>
        <w:t xml:space="preserve">  </w:t>
      </w:r>
      <w:bookmarkEnd w:id="45"/>
      <w:r>
        <w:rPr>
          <w:rFonts w:hint="eastAsia" w:ascii="宋体" w:hAnsi="宋体" w:cs="宋体"/>
          <w:sz w:val="28"/>
          <w:szCs w:val="28"/>
        </w:rPr>
        <w:t xml:space="preserve"> </w:t>
      </w:r>
    </w:p>
    <w:p>
      <w:pPr>
        <w:spacing w:line="288" w:lineRule="auto"/>
        <w:rPr>
          <w:rFonts w:hint="eastAsia" w:ascii="宋体" w:hAnsi="宋体" w:cs="宋体"/>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YTlmODYwMThmYjgzZTE5ZTY4NmZhMDgwZTRkNzIifQ=="/>
  </w:docVars>
  <w:rsids>
    <w:rsidRoot w:val="77817FC0"/>
    <w:rsid w:val="074731B9"/>
    <w:rsid w:val="0B4A7984"/>
    <w:rsid w:val="46CD691B"/>
    <w:rsid w:val="4CB41B97"/>
    <w:rsid w:val="71C97C97"/>
    <w:rsid w:val="733E7BB3"/>
    <w:rsid w:val="77817FC0"/>
    <w:rsid w:val="780C2DEC"/>
    <w:rsid w:val="7CE3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954</Words>
  <Characters>1126</Characters>
  <Lines>0</Lines>
  <Paragraphs>0</Paragraphs>
  <TotalTime>2</TotalTime>
  <ScaleCrop>false</ScaleCrop>
  <LinksUpToDate>false</LinksUpToDate>
  <CharactersWithSpaces>1176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2021-09-09T03:34:00Z</dcterms:created>
  <dc:creator>琉璃雪</dc:creator>
  <cp:lastModifiedBy>琉璃雪</cp:lastModifiedBy>
  <dcterms:modified xsi:type="dcterms:W3CDTF">2022-09-07T00:49:33Z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91B9F74A4C6A421482A444A7D1960CFE</vt:lpwstr>
  </property>
</Properties>
</file>