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kern w:val="2"/>
          <w:sz w:val="40"/>
          <w:szCs w:val="40"/>
          <w:lang w:val="en-US" w:eastAsia="zh-CN" w:bidi="ar-SA"/>
        </w:rPr>
      </w:pPr>
      <w:r>
        <w:rPr>
          <w:rFonts w:hint="eastAsia" w:ascii="方正小标宋简体" w:hAnsi="方正小标宋简体" w:eastAsia="方正小标宋简体" w:cs="方正小标宋简体"/>
          <w:kern w:val="2"/>
          <w:sz w:val="40"/>
          <w:szCs w:val="40"/>
          <w:lang w:val="en-US" w:eastAsia="zh-CN" w:bidi="ar-SA"/>
        </w:rPr>
        <w:t>关于《湛江市新型研发机构管理办法》起草说明</w:t>
      </w:r>
    </w:p>
    <w:p>
      <w:pPr>
        <w:keepNext w:val="0"/>
        <w:keepLines w:val="0"/>
        <w:pageBreakBefore w:val="0"/>
        <w:kinsoku/>
        <w:wordWrap/>
        <w:overflowPunct/>
        <w:topLinePunct w:val="0"/>
        <w:autoSpaceDE/>
        <w:autoSpaceDN/>
        <w:bidi w:val="0"/>
        <w:adjustRightInd/>
        <w:snapToGrid/>
        <w:spacing w:line="600" w:lineRule="exact"/>
        <w:textAlignment w:val="auto"/>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rPr>
        <w:t>《广东省行政规范性文件管理规定》（粤府令</w:t>
      </w:r>
      <w:r>
        <w:rPr>
          <w:rFonts w:hint="eastAsia" w:ascii="仿宋_GB2312" w:hAnsi="仿宋_GB2312" w:eastAsia="仿宋_GB2312" w:cs="仿宋_GB2312"/>
          <w:sz w:val="32"/>
          <w:szCs w:val="32"/>
          <w:lang w:eastAsia="zh-CN"/>
        </w:rPr>
        <w:t>第</w:t>
      </w:r>
      <w:r>
        <w:rPr>
          <w:rFonts w:hint="eastAsia" w:ascii="仿宋_GB2312" w:hAnsi="仿宋_GB2312" w:eastAsia="仿宋_GB2312" w:cs="仿宋_GB2312"/>
          <w:sz w:val="32"/>
          <w:szCs w:val="32"/>
          <w:lang w:val="en-US" w:eastAsia="zh-CN"/>
        </w:rPr>
        <w:t>277</w:t>
      </w:r>
      <w:r>
        <w:rPr>
          <w:rFonts w:hint="eastAsia" w:ascii="仿宋_GB2312" w:hAnsi="仿宋_GB2312" w:eastAsia="仿宋_GB2312" w:cs="仿宋_GB2312"/>
          <w:sz w:val="32"/>
          <w:szCs w:val="32"/>
        </w:rPr>
        <w:t>号）第十</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条和《广东省人民政府办公厅关于进一步加强行政规范性文件监督管理工作的意见》第四点要求，我局针对《湛江市新型研发机构管理办法》制定有关事宜作说明如下：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一、制定文件的目的</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Calibri" w:eastAsia="仿宋_GB2312" w:cs="Times New Roman"/>
          <w:b w:val="0"/>
          <w:bCs w:val="0"/>
          <w:kern w:val="2"/>
          <w:sz w:val="32"/>
          <w:szCs w:val="32"/>
          <w:lang w:val="en-US" w:eastAsia="zh-CN" w:bidi="ar-SA"/>
        </w:rPr>
        <w:t>为贯彻落实《中共广东省委 广东省人民政府关于支持湛江加快建设省域副中心城市 打造现代化沿海经济带重要发展级的意见》（粤发〔2021〕4号）工作部署， 深入实施创新驱动发展战略，</w:t>
      </w:r>
      <w:r>
        <w:rPr>
          <w:rFonts w:hint="default" w:ascii="仿宋_GB2312" w:hAnsi="Calibri" w:eastAsia="仿宋_GB2312" w:cs="Times New Roman"/>
          <w:b w:val="0"/>
          <w:bCs w:val="0"/>
          <w:kern w:val="2"/>
          <w:sz w:val="32"/>
          <w:szCs w:val="32"/>
          <w:lang w:val="en-US" w:eastAsia="zh-CN" w:bidi="ar-SA"/>
        </w:rPr>
        <w:t>进一步拓展我市与国内外高校院所、企业的合作，积极引进和培植科技创新资源，打造科技成果转化应用体系</w:t>
      </w:r>
      <w:r>
        <w:rPr>
          <w:rFonts w:hint="eastAsia" w:ascii="仿宋_GB2312" w:cs="Times New Roman"/>
          <w:b w:val="0"/>
          <w:bCs w:val="0"/>
          <w:kern w:val="2"/>
          <w:sz w:val="32"/>
          <w:szCs w:val="32"/>
          <w:lang w:val="en-US" w:eastAsia="zh-CN" w:bidi="ar-SA"/>
        </w:rPr>
        <w:t>，</w:t>
      </w:r>
      <w:r>
        <w:rPr>
          <w:rFonts w:hint="default" w:ascii="仿宋_GB2312" w:hAnsi="Calibri" w:eastAsia="仿宋_GB2312" w:cs="Times New Roman"/>
          <w:b w:val="0"/>
          <w:bCs w:val="0"/>
          <w:kern w:val="2"/>
          <w:sz w:val="32"/>
          <w:szCs w:val="32"/>
          <w:lang w:val="en-US" w:eastAsia="zh-CN" w:bidi="ar-SA"/>
        </w:rPr>
        <w:t>促进新型研发机构高质量发展</w:t>
      </w:r>
      <w:r>
        <w:rPr>
          <w:rFonts w:hint="eastAsia" w:ascii="仿宋_GB2312" w:hAnsi="Calibri" w:eastAsia="仿宋_GB2312" w:cs="Times New Roman"/>
          <w:b w:val="0"/>
          <w:bCs w:val="0"/>
          <w:kern w:val="2"/>
          <w:sz w:val="32"/>
          <w:szCs w:val="32"/>
          <w:lang w:val="en-US" w:eastAsia="zh-CN" w:bidi="ar-SA"/>
        </w:rPr>
        <w:t>，现结合我市实际特制定本办法。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val="en-US" w:eastAsia="zh-CN"/>
        </w:rPr>
        <w:t>法律</w:t>
      </w:r>
      <w:r>
        <w:rPr>
          <w:rFonts w:hint="eastAsia" w:ascii="黑体" w:hAnsi="黑体" w:eastAsia="黑体" w:cs="黑体"/>
          <w:sz w:val="32"/>
          <w:szCs w:val="32"/>
        </w:rPr>
        <w:t>政策依据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国家法律法规：《</w:t>
      </w:r>
      <w:r>
        <w:rPr>
          <w:rFonts w:hint="eastAsia" w:ascii="仿宋_GB2312" w:hAnsi="仿宋_GB2312" w:eastAsia="仿宋_GB2312" w:cs="仿宋_GB2312"/>
          <w:sz w:val="32"/>
          <w:szCs w:val="32"/>
          <w:lang w:val="en-US" w:eastAsia="zh-CN"/>
        </w:rPr>
        <w:t>科技进步</w:t>
      </w:r>
      <w:r>
        <w:rPr>
          <w:rFonts w:hint="eastAsia" w:ascii="仿宋_GB2312" w:hAnsi="仿宋_GB2312" w:eastAsia="仿宋_GB2312" w:cs="仿宋_GB2312"/>
          <w:sz w:val="32"/>
          <w:szCs w:val="32"/>
        </w:rPr>
        <w:t>法》。</w:t>
      </w:r>
    </w:p>
    <w:p>
      <w:pPr>
        <w:keepNext w:val="0"/>
        <w:keepLines w:val="0"/>
        <w:pageBreakBefore w:val="0"/>
        <w:widowControl/>
        <w:suppressLineNumbers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2.国家部委规章和政府规章：《科技部印发</w:t>
      </w:r>
      <w:r>
        <w:rPr>
          <w:rFonts w:hint="eastAsia" w:ascii="仿宋_GB2312" w:hAnsi="仿宋_GB2312" w:eastAsia="仿宋_GB2312" w:cs="仿宋_GB2312"/>
          <w:b w:val="0"/>
          <w:bCs w:val="0"/>
          <w:kern w:val="2"/>
          <w:sz w:val="32"/>
          <w:szCs w:val="32"/>
          <w:lang w:val="en-US" w:eastAsia="zh" w:bidi="ar-SA"/>
        </w:rPr>
        <w:t>&lt;</w:t>
      </w:r>
      <w:r>
        <w:rPr>
          <w:rFonts w:hint="eastAsia" w:ascii="仿宋_GB2312" w:hAnsi="仿宋_GB2312" w:eastAsia="仿宋_GB2312" w:cs="仿宋_GB2312"/>
          <w:kern w:val="2"/>
          <w:sz w:val="32"/>
          <w:szCs w:val="32"/>
          <w:lang w:val="en-US" w:eastAsia="zh-CN" w:bidi="ar-SA"/>
        </w:rPr>
        <w:t>关于促进新型研发机构发展的指导意见</w:t>
      </w:r>
      <w:r>
        <w:rPr>
          <w:rFonts w:hint="eastAsia" w:ascii="仿宋_GB2312" w:hAnsi="仿宋_GB2312" w:eastAsia="仿宋_GB2312" w:cs="仿宋_GB2312"/>
          <w:b w:val="0"/>
          <w:bCs w:val="0"/>
          <w:kern w:val="2"/>
          <w:sz w:val="32"/>
          <w:szCs w:val="32"/>
          <w:lang w:val="en-US" w:eastAsia="zh" w:bidi="ar-SA"/>
        </w:rPr>
        <w:t>&gt;</w:t>
      </w:r>
      <w:r>
        <w:rPr>
          <w:rFonts w:hint="eastAsia" w:ascii="仿宋_GB2312" w:hAnsi="仿宋_GB2312" w:eastAsia="仿宋_GB2312" w:cs="仿宋_GB2312"/>
          <w:kern w:val="2"/>
          <w:sz w:val="32"/>
          <w:szCs w:val="32"/>
          <w:lang w:val="en-US" w:eastAsia="zh-CN" w:bidi="ar-SA"/>
        </w:rPr>
        <w:t>的通知》（国科发政〔2019〕313号）。</w:t>
      </w:r>
    </w:p>
    <w:p>
      <w:pPr>
        <w:pStyle w:val="13"/>
        <w:keepNext w:val="0"/>
        <w:keepLines w:val="0"/>
        <w:pageBreakBefore w:val="0"/>
        <w:kinsoku/>
        <w:wordWrap/>
        <w:overflowPunct/>
        <w:topLinePunct w:val="0"/>
        <w:autoSpaceDE/>
        <w:autoSpaceDN/>
        <w:bidi w:val="0"/>
        <w:adjustRightInd w:val="0"/>
        <w:spacing w:beforeLines="0" w:afterLines="0" w:line="600" w:lineRule="exact"/>
        <w:ind w:left="0" w:leftChars="0" w:right="0" w:righ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3.相关规范性文件：《广东省人民政府印发</w:t>
      </w:r>
      <w:r>
        <w:rPr>
          <w:rFonts w:hint="eastAsia" w:ascii="仿宋_GB2312" w:hAnsi="仿宋_GB2312" w:eastAsia="仿宋_GB2312" w:cs="仿宋_GB2312"/>
          <w:b w:val="0"/>
          <w:bCs w:val="0"/>
          <w:kern w:val="2"/>
          <w:sz w:val="32"/>
          <w:szCs w:val="32"/>
          <w:lang w:val="en-US" w:eastAsia="zh" w:bidi="ar-SA"/>
        </w:rPr>
        <w:t>&lt;</w:t>
      </w:r>
      <w:r>
        <w:rPr>
          <w:rFonts w:hint="eastAsia" w:ascii="仿宋_GB2312" w:hAnsi="仿宋_GB2312" w:eastAsia="仿宋_GB2312" w:cs="仿宋_GB2312"/>
          <w:b w:val="0"/>
          <w:bCs w:val="0"/>
          <w:kern w:val="2"/>
          <w:sz w:val="32"/>
          <w:szCs w:val="32"/>
          <w:lang w:val="en-US" w:eastAsia="zh-CN" w:bidi="ar-SA"/>
        </w:rPr>
        <w:t>关于进一步促进科技创新若干政策措施</w:t>
      </w:r>
      <w:r>
        <w:rPr>
          <w:rFonts w:hint="eastAsia" w:ascii="仿宋_GB2312" w:hAnsi="仿宋_GB2312" w:eastAsia="仿宋_GB2312" w:cs="仿宋_GB2312"/>
          <w:b w:val="0"/>
          <w:bCs w:val="0"/>
          <w:kern w:val="2"/>
          <w:sz w:val="32"/>
          <w:szCs w:val="32"/>
          <w:lang w:val="en-US" w:eastAsia="zh" w:bidi="ar-SA"/>
        </w:rPr>
        <w:t>&gt;</w:t>
      </w:r>
      <w:r>
        <w:rPr>
          <w:rFonts w:hint="eastAsia" w:ascii="仿宋_GB2312" w:hAnsi="仿宋_GB2312" w:eastAsia="仿宋_GB2312" w:cs="仿宋_GB2312"/>
          <w:b w:val="0"/>
          <w:bCs w:val="0"/>
          <w:kern w:val="2"/>
          <w:sz w:val="32"/>
          <w:szCs w:val="32"/>
          <w:lang w:val="en-US" w:eastAsia="zh-CN" w:bidi="ar-SA"/>
        </w:rPr>
        <w:t>的通知》（粤府〔2019〕1号）</w:t>
      </w:r>
    </w:p>
    <w:p>
      <w:pPr>
        <w:pStyle w:val="13"/>
        <w:keepNext w:val="0"/>
        <w:keepLines w:val="0"/>
        <w:pageBreakBefore w:val="0"/>
        <w:kinsoku/>
        <w:wordWrap/>
        <w:overflowPunct/>
        <w:topLinePunct w:val="0"/>
        <w:autoSpaceDE/>
        <w:autoSpaceDN/>
        <w:bidi w:val="0"/>
        <w:adjustRightInd w:val="0"/>
        <w:spacing w:beforeLines="0" w:afterLines="0" w:line="600" w:lineRule="exact"/>
        <w:ind w:left="0" w:leftChars="0" w:right="0" w:righ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w:t>
      </w:r>
      <w:r>
        <w:rPr>
          <w:rFonts w:hint="default" w:ascii="仿宋_GB2312" w:hAnsi="仿宋_GB2312" w:eastAsia="仿宋_GB2312" w:cs="仿宋_GB2312"/>
          <w:b w:val="0"/>
          <w:bCs w:val="0"/>
          <w:kern w:val="2"/>
          <w:sz w:val="32"/>
          <w:szCs w:val="32"/>
          <w:lang w:val="en-US" w:eastAsia="zh-CN" w:bidi="ar-SA"/>
        </w:rPr>
        <w:t>广东省新型研发机构管理办法</w:t>
      </w:r>
      <w:r>
        <w:rPr>
          <w:rFonts w:hint="eastAsia" w:ascii="仿宋_GB2312" w:hAnsi="仿宋_GB2312" w:eastAsia="仿宋_GB2312" w:cs="仿宋_GB2312"/>
          <w:b w:val="0"/>
          <w:bCs w:val="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4.相关地市政策文件：</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东莞市科学技术局关于印发《东莞市新型研发机构管理暂行办法》的通知（东科〔2022〕41号）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关于印发《惠州市科学技术局关于促进新型研发机构发展的扶持办法》的通知（惠市科字〔2020〕102号）</w:t>
      </w:r>
    </w:p>
    <w:p>
      <w:pPr>
        <w:pStyle w:val="2"/>
        <w:keepNext w:val="0"/>
        <w:keepLines w:val="0"/>
        <w:pageBreakBefore w:val="0"/>
        <w:kinsoku/>
        <w:wordWrap/>
        <w:overflowPunct/>
        <w:topLinePunct w:val="0"/>
        <w:autoSpaceDE/>
        <w:autoSpaceDN/>
        <w:bidi w:val="0"/>
        <w:adjustRightInd/>
        <w:snapToGrid/>
        <w:spacing w:line="600" w:lineRule="exact"/>
        <w:ind w:left="0" w:leftChars="0" w:firstLine="640" w:firstLineChars="200"/>
        <w:textAlignment w:val="auto"/>
        <w:rPr>
          <w:rFonts w:hint="eastAsia"/>
          <w:lang w:val="en-US" w:eastAsia="zh-CN"/>
        </w:rPr>
      </w:pPr>
      <w:r>
        <w:rPr>
          <w:rFonts w:hint="eastAsia" w:ascii="仿宋_GB2312" w:hAnsi="仿宋_GB2312" w:eastAsia="仿宋_GB2312" w:cs="仿宋_GB2312"/>
          <w:kern w:val="2"/>
          <w:sz w:val="32"/>
          <w:szCs w:val="32"/>
          <w:lang w:val="en-US" w:eastAsia="zh-CN" w:bidi="ar-SA"/>
        </w:rPr>
        <w:t>汕头市新型研发机构认定管理办法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三、起草过程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仿宋_GB2312" w:hAnsi="Calibri" w:eastAsia="仿宋_GB2312" w:cs="Times New Roman"/>
          <w:b w:val="0"/>
          <w:bCs w:val="0"/>
          <w:kern w:val="2"/>
          <w:sz w:val="32"/>
          <w:szCs w:val="32"/>
          <w:lang w:val="en-US" w:eastAsia="zh-CN" w:bidi="ar-SA"/>
        </w:rPr>
      </w:pPr>
      <w:r>
        <w:rPr>
          <w:rFonts w:hint="eastAsia" w:ascii="仿宋_GB2312" w:hAnsi="Calibri" w:eastAsia="仿宋_GB2312" w:cs="Times New Roman"/>
          <w:b w:val="0"/>
          <w:bCs w:val="0"/>
          <w:kern w:val="2"/>
          <w:sz w:val="32"/>
          <w:szCs w:val="32"/>
          <w:lang w:val="en-US" w:eastAsia="zh-CN" w:bidi="ar-SA"/>
        </w:rPr>
        <w:t>为进一步健全完善我市科技创新体系政策措施，支撑湛江区域创新中心建设，2021年10月起，市科技局开始谋划起草新型研发机构管理办法。为学习先进地市的成功经验和做法，2022年6月，市科技局材料调研了广州、东莞、惠州等6地市，梳理各地新型研发机构做法和亮点，初步构建湛江市新型研发机构管理办法思路和框架。2022年8月1-5日，市科技局调研组先后赴汕头、惠州、东莞、广州、清远等地开展实地调研，详细了解到不同类型新型研发机构的运行机制，并充实了管理办法相关内容。2022年8月底，在征求局领导班子及各科室修改意见的基础上，我局开始征求各县（市、区）科技主管部门和市发展改革局、市工信局等有关单位修改意见，开展公平竞争审查并在市科技局网站上公开征求社会公众对《湛江市新型研发机构管理办法（征求意见稿）》和公平竞争</w:t>
      </w:r>
      <w:bookmarkStart w:id="0" w:name="_GoBack"/>
      <w:bookmarkEnd w:id="0"/>
      <w:r>
        <w:rPr>
          <w:rFonts w:hint="eastAsia" w:ascii="仿宋_GB2312" w:hAnsi="Calibri" w:eastAsia="仿宋_GB2312" w:cs="Times New Roman"/>
          <w:b w:val="0"/>
          <w:bCs w:val="0"/>
          <w:kern w:val="2"/>
          <w:sz w:val="32"/>
          <w:szCs w:val="32"/>
          <w:lang w:val="en-US" w:eastAsia="zh-CN" w:bidi="ar-SA"/>
        </w:rPr>
        <w:t>审查初步结论修改意见，目前征求意见正在开展中。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主要内容说明</w:t>
      </w:r>
    </w:p>
    <w:p>
      <w:pPr>
        <w:keepNext w:val="0"/>
        <w:keepLines w:val="0"/>
        <w:pageBreakBefore w:val="0"/>
        <w:kinsoku/>
        <w:wordWrap/>
        <w:overflowPunct/>
        <w:topLinePunct w:val="0"/>
        <w:autoSpaceDE/>
        <w:autoSpaceDN/>
        <w:bidi w:val="0"/>
        <w:adjustRightInd/>
        <w:snapToGrid/>
        <w:spacing w:line="600" w:lineRule="exact"/>
        <w:ind w:firstLine="645"/>
        <w:textAlignment w:val="auto"/>
      </w:pPr>
      <w:r>
        <w:rPr>
          <w:rFonts w:hint="eastAsia" w:ascii="仿宋_GB2312" w:hAnsi="仿宋_GB2312" w:cs="仿宋_GB2312"/>
          <w:sz w:val="32"/>
          <w:szCs w:val="32"/>
          <w:lang w:val="en-US" w:eastAsia="zh-CN"/>
        </w:rPr>
        <w:t>《办法》</w:t>
      </w:r>
      <w:r>
        <w:rPr>
          <w:rFonts w:hint="eastAsia" w:ascii="仿宋_GB2312" w:hAnsi="仿宋_GB2312" w:eastAsia="仿宋_GB2312" w:cs="仿宋_GB2312"/>
          <w:sz w:val="32"/>
          <w:szCs w:val="32"/>
          <w:lang w:val="en-US" w:eastAsia="zh-CN"/>
        </w:rPr>
        <w:t>分为</w:t>
      </w:r>
      <w:r>
        <w:rPr>
          <w:rFonts w:hint="eastAsia" w:ascii="仿宋_GB2312" w:hAnsi="仿宋_GB2312" w:cs="仿宋_GB2312"/>
          <w:sz w:val="32"/>
          <w:szCs w:val="32"/>
          <w:lang w:val="en-US" w:eastAsia="zh-CN"/>
        </w:rPr>
        <w:t>五章</w:t>
      </w:r>
      <w:r>
        <w:rPr>
          <w:rFonts w:hint="eastAsia" w:ascii="仿宋_GB2312" w:hAnsi="仿宋_GB2312" w:eastAsia="仿宋_GB2312" w:cs="仿宋_GB2312"/>
          <w:sz w:val="32"/>
          <w:szCs w:val="32"/>
        </w:rPr>
        <w:t>组成。第一</w:t>
      </w:r>
      <w:r>
        <w:rPr>
          <w:rFonts w:hint="eastAsia" w:ascii="仿宋_GB2312" w:hAnsi="仿宋_GB2312" w:cs="仿宋_GB2312"/>
          <w:sz w:val="32"/>
          <w:szCs w:val="32"/>
          <w:lang w:val="en-US" w:eastAsia="zh-CN"/>
        </w:rPr>
        <w:t>章总则</w:t>
      </w:r>
      <w:r>
        <w:rPr>
          <w:rFonts w:hint="eastAsia" w:ascii="仿宋_GB2312" w:hAnsi="仿宋_GB2312" w:eastAsia="仿宋_GB2312" w:cs="仿宋_GB2312"/>
          <w:sz w:val="32"/>
          <w:szCs w:val="32"/>
          <w:lang w:val="en-US" w:eastAsia="zh-CN"/>
        </w:rPr>
        <w:t>。</w:t>
      </w:r>
      <w:r>
        <w:rPr>
          <w:rFonts w:hint="eastAsia" w:ascii="仿宋_GB2312" w:hAnsi="仿宋_GB2312" w:cs="仿宋_GB2312"/>
          <w:sz w:val="32"/>
          <w:szCs w:val="32"/>
          <w:lang w:val="en-US" w:eastAsia="zh-CN"/>
        </w:rPr>
        <w:t>提出制定办法背景和意义，解释了</w:t>
      </w:r>
      <w:r>
        <w:rPr>
          <w:rFonts w:hint="eastAsia" w:ascii="仿宋_GB2312" w:hAnsi="仿宋_GB2312" w:cs="仿宋_GB2312"/>
          <w:sz w:val="32"/>
          <w:szCs w:val="32"/>
          <w:lang w:eastAsia="zh-CN"/>
        </w:rPr>
        <w:t>新型研发机构</w:t>
      </w:r>
      <w:r>
        <w:rPr>
          <w:rFonts w:hint="eastAsia" w:ascii="仿宋_GB2312" w:hAnsi="仿宋_GB2312" w:cs="仿宋_GB2312"/>
          <w:sz w:val="32"/>
          <w:szCs w:val="32"/>
          <w:lang w:val="en-US" w:eastAsia="zh-CN"/>
        </w:rPr>
        <w:t>定义、注册类型以及各级</w:t>
      </w:r>
      <w:r>
        <w:rPr>
          <w:rFonts w:hint="eastAsia" w:ascii="仿宋_GB2312" w:hAnsi="仿宋_GB2312" w:eastAsia="仿宋_GB2312" w:cs="仿宋_GB2312"/>
          <w:sz w:val="32"/>
          <w:szCs w:val="32"/>
        </w:rPr>
        <w:t>科技行政管理部门</w:t>
      </w:r>
      <w:r>
        <w:rPr>
          <w:rFonts w:hint="eastAsia" w:ascii="仿宋_GB2312" w:hAnsi="仿宋_GB2312" w:cs="仿宋_GB2312"/>
          <w:sz w:val="32"/>
          <w:szCs w:val="32"/>
          <w:lang w:val="en-US" w:eastAsia="zh-CN"/>
        </w:rPr>
        <w:t>责任；第二章申报与认定。阐述</w:t>
      </w:r>
      <w:r>
        <w:rPr>
          <w:rFonts w:hint="eastAsia" w:ascii="仿宋_GB2312" w:hAnsi="仿宋_GB2312" w:cs="仿宋_GB2312"/>
          <w:sz w:val="32"/>
          <w:szCs w:val="32"/>
          <w:lang w:eastAsia="zh-CN"/>
        </w:rPr>
        <w:t>新型研发机构具备的基本条件以及认定</w:t>
      </w:r>
      <w:r>
        <w:rPr>
          <w:rFonts w:hint="eastAsia" w:ascii="仿宋_GB2312" w:hAnsi="仿宋_GB2312" w:cs="仿宋_GB2312"/>
          <w:sz w:val="32"/>
          <w:szCs w:val="32"/>
          <w:lang w:val="en-US" w:eastAsia="zh-CN"/>
        </w:rPr>
        <w:t>程序；第三章运行与管理。侧重说明了新型研发机构应加强党建管理、市场化运行机制、内部管理、产学研合作、重大事项制度等管理；第四章支持发展。提出新型研发机构各项扶持措施；第五章评估监督。实行</w:t>
      </w:r>
      <w:r>
        <w:rPr>
          <w:rFonts w:hint="eastAsia" w:ascii="CESI仿宋-GB2312" w:hAnsi="CESI仿宋-GB2312" w:eastAsia="CESI仿宋-GB2312" w:cs="CESI仿宋-GB2312"/>
          <w:sz w:val="32"/>
          <w:szCs w:val="32"/>
        </w:rPr>
        <w:t>新型研发机构动态管理</w:t>
      </w:r>
      <w:r>
        <w:rPr>
          <w:rFonts w:hint="eastAsia" w:ascii="CESI仿宋-GB2312" w:hAnsi="CESI仿宋-GB2312" w:eastAsia="CESI仿宋-GB2312" w:cs="CESI仿宋-GB2312"/>
          <w:sz w:val="32"/>
          <w:szCs w:val="32"/>
          <w:lang w:eastAsia="zh-CN"/>
        </w:rPr>
        <w:t>定期</w:t>
      </w:r>
      <w:r>
        <w:rPr>
          <w:rFonts w:hint="eastAsia" w:ascii="CESI仿宋-GB2312" w:hAnsi="CESI仿宋-GB2312" w:eastAsia="CESI仿宋-GB2312" w:cs="CESI仿宋-GB2312"/>
          <w:sz w:val="32"/>
          <w:szCs w:val="32"/>
        </w:rPr>
        <w:t>考核</w:t>
      </w:r>
      <w:r>
        <w:rPr>
          <w:rFonts w:hint="eastAsia" w:ascii="CESI仿宋-GB2312" w:hAnsi="CESI仿宋-GB2312" w:eastAsia="CESI仿宋-GB2312" w:cs="CESI仿宋-GB2312"/>
          <w:sz w:val="32"/>
          <w:szCs w:val="32"/>
          <w:lang w:eastAsia="zh-CN"/>
        </w:rPr>
        <w:t>管理，</w:t>
      </w:r>
      <w:r>
        <w:rPr>
          <w:rFonts w:hint="eastAsia" w:ascii="CESI仿宋-GB2312" w:hAnsi="CESI仿宋-GB2312" w:eastAsia="CESI仿宋-GB2312" w:cs="CESI仿宋-GB2312"/>
          <w:sz w:val="32"/>
          <w:szCs w:val="32"/>
        </w:rPr>
        <w:t>建立</w:t>
      </w:r>
      <w:r>
        <w:rPr>
          <w:rFonts w:hint="eastAsia" w:ascii="CESI仿宋-GB2312" w:hAnsi="CESI仿宋-GB2312" w:eastAsia="CESI仿宋-GB2312" w:cs="CESI仿宋-GB2312"/>
          <w:sz w:val="32"/>
          <w:szCs w:val="32"/>
          <w:lang w:eastAsia="zh-CN"/>
        </w:rPr>
        <w:t>诚信监督管理</w:t>
      </w:r>
      <w:r>
        <w:rPr>
          <w:rFonts w:hint="eastAsia" w:ascii="CESI仿宋-GB2312" w:hAnsi="CESI仿宋-GB2312" w:eastAsia="CESI仿宋-GB2312" w:cs="CESI仿宋-GB2312"/>
          <w:sz w:val="32"/>
          <w:szCs w:val="32"/>
        </w:rPr>
        <w:t>机制</w:t>
      </w:r>
      <w:r>
        <w:rPr>
          <w:rFonts w:hint="eastAsia" w:ascii="CESI仿宋-GB2312" w:hAnsi="CESI仿宋-GB2312" w:eastAsia="CESI仿宋-GB2312" w:cs="CESI仿宋-GB2312"/>
          <w:sz w:val="32"/>
          <w:szCs w:val="32"/>
          <w:lang w:eastAsia="zh-CN"/>
        </w:rPr>
        <w:t>。</w:t>
      </w:r>
      <w:r>
        <w:rPr>
          <w:rFonts w:hint="eastAsia" w:ascii="仿宋_GB2312" w:hAnsi="仿宋_GB2312" w:cs="仿宋_GB2312"/>
          <w:sz w:val="32"/>
          <w:szCs w:val="32"/>
          <w:lang w:val="en-US" w:eastAsia="zh-CN"/>
        </w:rPr>
        <w:t>第六章附件。说明本办法由市科技局负责解释以及文件实施日期，载明有效期为5年。</w:t>
      </w:r>
    </w:p>
    <w:p>
      <w:pPr>
        <w:keepNext w:val="0"/>
        <w:keepLines w:val="0"/>
        <w:pageBreakBefore w:val="0"/>
        <w:kinsoku/>
        <w:wordWrap/>
        <w:overflowPunct/>
        <w:topLinePunct w:val="0"/>
        <w:autoSpaceDE/>
        <w:autoSpaceDN/>
        <w:bidi w:val="0"/>
        <w:adjustRightInd/>
        <w:snapToGrid/>
        <w:spacing w:line="600" w:lineRule="exact"/>
        <w:textAlignment w:val="auto"/>
      </w:pPr>
    </w:p>
    <w:sectPr>
      <w:pgSz w:w="11906" w:h="16838"/>
      <w:pgMar w:top="215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2000000" w:usb3="00000000" w:csb0="2000019F" w:csb1="00000000"/>
  </w:font>
  <w:font w:name="华文中宋">
    <w:altName w:val="汉仪中宋简"/>
    <w:panose1 w:val="02010600040101010101"/>
    <w:charset w:val="00"/>
    <w:family w:val="auto"/>
    <w:pitch w:val="default"/>
    <w:sig w:usb0="00000000" w:usb1="00000000" w:usb2="00000010" w:usb3="00000000" w:csb0="0004009F" w:csb1="00000000"/>
  </w:font>
  <w:font w:name="方正小标宋简体">
    <w:panose1 w:val="02000000000000000000"/>
    <w:charset w:val="86"/>
    <w:family w:val="script"/>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312B4D"/>
    <w:rsid w:val="0C3E2F0D"/>
    <w:rsid w:val="2DAE2FDE"/>
    <w:rsid w:val="32AF670B"/>
    <w:rsid w:val="3E5F3668"/>
    <w:rsid w:val="44312B4D"/>
    <w:rsid w:val="561F248C"/>
    <w:rsid w:val="677A46B9"/>
    <w:rsid w:val="69F95843"/>
    <w:rsid w:val="6FDFDAFA"/>
    <w:rsid w:val="708A63B9"/>
    <w:rsid w:val="7EF269E3"/>
    <w:rsid w:val="DE3FF87D"/>
    <w:rsid w:val="E7FD4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6">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ind w:firstLine="420"/>
    </w:pPr>
    <w:rPr>
      <w:szCs w:val="20"/>
    </w:rPr>
  </w:style>
  <w:style w:type="paragraph" w:styleId="3">
    <w:name w:val="Body Text Indent"/>
    <w:basedOn w:val="1"/>
    <w:semiHidden/>
    <w:unhideWhenUsed/>
    <w:qFormat/>
    <w:uiPriority w:val="99"/>
    <w:pPr>
      <w:spacing w:after="120"/>
      <w:ind w:left="420" w:leftChars="200"/>
    </w:pPr>
  </w:style>
  <w:style w:type="paragraph" w:styleId="7">
    <w:name w:val="footer"/>
    <w:basedOn w:val="1"/>
    <w:qFormat/>
    <w:uiPriority w:val="99"/>
    <w:pPr>
      <w:tabs>
        <w:tab w:val="center" w:pos="4153"/>
        <w:tab w:val="right" w:pos="8306"/>
      </w:tabs>
      <w:snapToGrid w:val="0"/>
      <w:jc w:val="left"/>
    </w:pPr>
    <w:rPr>
      <w:kern w:val="0"/>
      <w:sz w:val="18"/>
      <w:szCs w:val="18"/>
    </w:rPr>
  </w:style>
  <w:style w:type="paragraph" w:styleId="8">
    <w:name w:val="Normal (Web)"/>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1">
    <w:name w:val="FollowedHyperlink"/>
    <w:basedOn w:val="10"/>
    <w:qFormat/>
    <w:uiPriority w:val="0"/>
    <w:rPr>
      <w:color w:val="333333"/>
      <w:u w:val="none"/>
    </w:rPr>
  </w:style>
  <w:style w:type="character" w:styleId="12">
    <w:name w:val="Hyperlink"/>
    <w:basedOn w:val="10"/>
    <w:qFormat/>
    <w:uiPriority w:val="0"/>
    <w:rPr>
      <w:color w:val="333333"/>
      <w:u w:val="none"/>
    </w:rPr>
  </w:style>
  <w:style w:type="paragraph" w:customStyle="1" w:styleId="13">
    <w:name w:val="宋二标题"/>
    <w:basedOn w:val="14"/>
    <w:next w:val="1"/>
    <w:qFormat/>
    <w:uiPriority w:val="99"/>
    <w:pPr>
      <w:snapToGrid w:val="0"/>
      <w:spacing w:beforeLines="100" w:afterLines="100"/>
      <w:ind w:left="424" w:leftChars="202" w:right="368" w:rightChars="175" w:firstLine="0" w:firstLineChars="0"/>
      <w:jc w:val="center"/>
    </w:pPr>
    <w:rPr>
      <w:rFonts w:ascii="华文中宋" w:hAnsi="华文中宋" w:eastAsia="华文中宋" w:cs="华文中宋"/>
      <w:b/>
      <w:bCs/>
      <w:sz w:val="44"/>
      <w:szCs w:val="44"/>
    </w:rPr>
  </w:style>
  <w:style w:type="paragraph" w:customStyle="1" w:styleId="14">
    <w:name w:val="仿三正文"/>
    <w:basedOn w:val="1"/>
    <w:qFormat/>
    <w:uiPriority w:val="99"/>
    <w:pPr>
      <w:wordWrap w:val="0"/>
      <w:ind w:firstLine="200" w:firstLineChars="200"/>
    </w:pPr>
    <w:rPr>
      <w:rFonts w:ascii="仿宋_GB2312"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2021-10-15T02:17:00Z</dcterms:created>
  <dc:creator>宁宁柒</dc:creator>
  <cp:lastModifiedBy>宁经梁</cp:lastModifiedBy>
  <cp:lastPrinted>2022-01-19T03:23:00Z</cp:lastPrinted>
  <dcterms:modified xsi:type="dcterms:W3CDTF">2022-08-23T10:59:26Z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6063E2E7F9C1498495425BEA7CAE6138</vt:lpwstr>
  </property>
</Properties>
</file>